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版本号：YC25301019(ZBQ)20251212001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陕西省审计厅2025年度金审工程驻场运维服务项目（第二期）</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YC25301019(ZBQ)</w:t>
      </w:r>
      <w:r>
        <w:br/>
      </w:r>
      <w:r>
        <w:br/>
      </w:r>
      <w:r>
        <w:br/>
      </w:r>
    </w:p>
    <w:p>
      <w:pPr>
        <w:pStyle w:val="null3"/>
        <w:jc w:val="center"/>
        <w:outlineLvl w:val="5"/>
      </w:pPr>
      <w:r>
        <w:rPr>
          <w:rFonts w:ascii="仿宋_GB2312" w:hAnsi="仿宋_GB2312" w:cs="仿宋_GB2312" w:eastAsia="仿宋_GB2312"/>
          <w:sz w:val="15"/>
          <w:b/>
        </w:rPr>
        <w:t>省审计厅机关</w:t>
      </w:r>
    </w:p>
    <w:p>
      <w:pPr>
        <w:pStyle w:val="null3"/>
        <w:jc w:val="center"/>
        <w:outlineLvl w:val="5"/>
      </w:pPr>
      <w:r>
        <w:rPr>
          <w:rFonts w:ascii="仿宋_GB2312" w:hAnsi="仿宋_GB2312" w:cs="仿宋_GB2312" w:eastAsia="仿宋_GB2312"/>
          <w:sz w:val="15"/>
          <w:b/>
        </w:rPr>
        <w:t>亿诚建设项目管理有限公司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省审计厅机关</w:t>
      </w:r>
      <w:r>
        <w:rPr>
          <w:rFonts w:ascii="仿宋_GB2312" w:hAnsi="仿宋_GB2312" w:cs="仿宋_GB2312" w:eastAsia="仿宋_GB2312"/>
        </w:rPr>
        <w:t>委托，拟对</w:t>
      </w:r>
      <w:r>
        <w:rPr>
          <w:rFonts w:ascii="仿宋_GB2312" w:hAnsi="仿宋_GB2312" w:cs="仿宋_GB2312" w:eastAsia="仿宋_GB2312"/>
        </w:rPr>
        <w:t>陕西省审计厅2025年度金审工程驻场运维服务项目（第二期）</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YC25301019(ZBQ)</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陕西省审计厅2025年度金审工程驻场运维服务项目（第二期）</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陕西省审计厅2025年度金审工程驻场运维服务项目（第二期），具体详见采购文件。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2、授权书：法定代表人(负责人)参与投标时，提供法定代表人(负责人)身份证明及本人身份证复印件加盖公章；授权代表参与投标时，提供企业法人授权委托书及被授权人身份证复印件加盖公章；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5、社会保障资金缴纳证明：提供2025年6月至今已缴存的一个月的社会保障资金缴存单据或社保机构开具的社会保险参保缴费情况证明，依法不需要缴纳社会保障资金的投标单位应提供相关文件证明；</w:t>
      </w:r>
    </w:p>
    <w:p>
      <w:pPr>
        <w:pStyle w:val="null3"/>
      </w:pPr>
      <w:r>
        <w:rPr>
          <w:rFonts w:ascii="仿宋_GB2312" w:hAnsi="仿宋_GB2312" w:cs="仿宋_GB2312" w:eastAsia="仿宋_GB2312"/>
        </w:rPr>
        <w:t>6、承诺函：提供具有履行合同所必需的专业技术能力的承诺函；</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8、书面声明：参加政府采购活动前3年内经营活动中没有重大违法记录声明；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省审计厅机关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西安市莲湖区四府街48号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省审计厅机关经办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029-87628716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029-85410678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采购包1：1,501,800.00元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采购包1：1,501,800.00元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开户名称：亿诚建设项目管理有限公司</w:t>
            </w:r>
          </w:p>
          <w:p>
            <w:pPr>
              <w:pStyle w:val="null3"/>
            </w:pPr>
            <w:r>
              <w:rPr>
                <w:rFonts w:ascii="仿宋_GB2312" w:hAnsi="仿宋_GB2312" w:cs="仿宋_GB2312" w:eastAsia="仿宋_GB2312"/>
              </w:rPr>
              <w:t>开户银行：平安银行西安含光路支行</w:t>
            </w:r>
          </w:p>
          <w:p>
            <w:pPr>
              <w:pStyle w:val="null3"/>
            </w:pPr>
            <w:r>
              <w:rPr>
                <w:rFonts w:ascii="仿宋_GB2312" w:hAnsi="仿宋_GB2312" w:cs="仿宋_GB2312" w:eastAsia="仿宋_GB2312"/>
              </w:rPr>
              <w:t>银行账号：30205199004607</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作为计算基数,参考国家计委《招标代理服务收费管理暂行办法》计价格[2002]1980号、国家发展改革委办公厅《关于招标代理服务收费有关问题的通知》发改办价格［2003］857号规定的标准计取。2.由成交供应商在领取成交通知书的同时向采购代理机构交纳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省审计厅机关</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省审计厅机关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服务商需提交年度运维报告、季度运维报告、运维工作记录（如日常巡检记录、故障处理记录、资源统计清单等）及服务期内的所有运维技术清单（如设备及产品的配置信息、版本扩充与升级信息等），且服务质量满足采购人要求。 （二）驻场人员服务期间须服从采购人指定部门和人员的日常管理，日常工作接受采购人的考核，考核办法按照省审计厅运维中心制定的《陕西省金审工程运维管理中心运维驻场人员量化考核制度》执行，驻场人员考核结果应达到合格标准。采购人对不满足基本服务要求或考核未达标的服务人员可提出调换服务人员要求，供应商须及时更换并调派与服务内容相适应的人员继续提供服务，并应在10个工作日内完成服务人员替换及工作交接。此外，驻场服务人员中途因故更替的，供应商应及时选派合适合规人员接替并延续服务，原则上新旧人员交接期应不少于3周。 上述2个要求均满足后，6个月服务期到期时成交服务商向采购人提出1次书面服务验收申请，采购人在接到申请15个工作日内组织验收并做出验收结论。验收合格后采购人将按照合同规定支付对应比例驻场运维费用。</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陕西省审计厅2025年度金审工程驻场运维服务项目（第二期），具体详见采购文件。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1,501,800.00</w:t>
      </w:r>
    </w:p>
    <w:p>
      <w:pPr>
        <w:pStyle w:val="null3"/>
      </w:pPr>
      <w:r>
        <w:rPr>
          <w:rFonts w:ascii="仿宋_GB2312" w:hAnsi="仿宋_GB2312" w:cs="仿宋_GB2312" w:eastAsia="仿宋_GB2312"/>
        </w:rPr>
        <w:t>采购包最高限价（元）: 1,501,800.00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金审工程线上应用系统软硬件运维服务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1,501,800.00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标的名称：金审工程线上应用系统软硬件运维服务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一、项目概述</w:t>
            </w:r>
          </w:p>
          <w:p>
            <w:pPr>
              <w:pStyle w:val="null3"/>
              <w:jc w:val="both"/>
            </w:pPr>
            <w:r>
              <w:rPr>
                <w:rFonts w:ascii="仿宋_GB2312" w:hAnsi="仿宋_GB2312" w:cs="仿宋_GB2312" w:eastAsia="仿宋_GB2312"/>
                <w:sz w:val="24"/>
              </w:rPr>
              <w:t>陕西省审计厅金审三期工程作为我省审计行业信息化建设的核心支撑和审计机关重要信息化工程，现有上线应用系统共计</w:t>
            </w:r>
            <w:r>
              <w:rPr>
                <w:rFonts w:ascii="仿宋_GB2312" w:hAnsi="仿宋_GB2312" w:cs="仿宋_GB2312" w:eastAsia="仿宋_GB2312"/>
                <w:sz w:val="24"/>
              </w:rPr>
              <w:t>46个（含分、子应用），部署了620余台虚拟服务器及相关云服务，承载了综合服务支撑系统、审计大数据中心、审计综合作业平台、审计数字化管理平台、审计综合研究系统、基线管控以及其他成品软件等核心业务系统。</w:t>
            </w:r>
          </w:p>
          <w:p>
            <w:pPr>
              <w:pStyle w:val="null3"/>
              <w:jc w:val="both"/>
            </w:pPr>
            <w:r>
              <w:rPr>
                <w:rFonts w:ascii="仿宋_GB2312" w:hAnsi="仿宋_GB2312" w:cs="仿宋_GB2312" w:eastAsia="仿宋_GB2312"/>
                <w:sz w:val="24"/>
              </w:rPr>
              <w:t>二、项目目标</w:t>
            </w:r>
          </w:p>
          <w:p>
            <w:pPr>
              <w:pStyle w:val="null3"/>
              <w:jc w:val="both"/>
            </w:pPr>
            <w:r>
              <w:rPr>
                <w:rFonts w:ascii="仿宋_GB2312" w:hAnsi="仿宋_GB2312" w:cs="仿宋_GB2312" w:eastAsia="仿宋_GB2312"/>
                <w:sz w:val="24"/>
              </w:rPr>
              <w:t>通过购买符合项目要求的长期驻场运维服务，与采购人既有运维力量协同开展金审工程运维保障，共同组建陕西省金审工程运维服务团队，确保省审计厅金审工程上线应用系统安全稳定运行，及时响应并处置出现的各类问题和完善整改相关专业运维服务工作。</w:t>
            </w:r>
          </w:p>
          <w:p>
            <w:pPr>
              <w:pStyle w:val="null3"/>
              <w:jc w:val="both"/>
            </w:pPr>
            <w:r>
              <w:rPr>
                <w:rFonts w:ascii="仿宋_GB2312" w:hAnsi="仿宋_GB2312" w:cs="仿宋_GB2312" w:eastAsia="仿宋_GB2312"/>
                <w:sz w:val="24"/>
              </w:rPr>
              <w:t>三、采购内容</w:t>
            </w:r>
          </w:p>
          <w:p>
            <w:pPr>
              <w:pStyle w:val="null3"/>
              <w:jc w:val="both"/>
            </w:pPr>
            <w:r>
              <w:rPr>
                <w:rFonts w:ascii="仿宋_GB2312" w:hAnsi="仿宋_GB2312" w:cs="仿宋_GB2312" w:eastAsia="仿宋_GB2312"/>
                <w:sz w:val="24"/>
              </w:rPr>
              <w:t>陕西省审计厅</w:t>
            </w:r>
            <w:r>
              <w:rPr>
                <w:rFonts w:ascii="仿宋_GB2312" w:hAnsi="仿宋_GB2312" w:cs="仿宋_GB2312" w:eastAsia="仿宋_GB2312"/>
                <w:sz w:val="24"/>
              </w:rPr>
              <w:t>2025年度金审工程运维服务采购项目（第二期）采购内容为委托北京太极信息</w:t>
            </w:r>
            <w:r>
              <w:rPr>
                <w:rFonts w:ascii="仿宋_GB2312" w:hAnsi="仿宋_GB2312" w:cs="仿宋_GB2312" w:eastAsia="仿宋_GB2312"/>
                <w:sz w:val="24"/>
              </w:rPr>
              <w:t>系统</w:t>
            </w:r>
            <w:r>
              <w:rPr>
                <w:rFonts w:ascii="仿宋_GB2312" w:hAnsi="仿宋_GB2312" w:cs="仿宋_GB2312" w:eastAsia="仿宋_GB2312"/>
                <w:sz w:val="24"/>
              </w:rPr>
              <w:t>技术有限公司提供为期半年的驻场运维服务。驻场运维服务团队人员不少于</w:t>
            </w:r>
            <w:r>
              <w:rPr>
                <w:rFonts w:ascii="仿宋_GB2312" w:hAnsi="仿宋_GB2312" w:cs="仿宋_GB2312" w:eastAsia="仿宋_GB2312"/>
                <w:sz w:val="24"/>
              </w:rPr>
              <w:t>15人（包含1名技术主管），为金审工程线上应用系统软硬件等内容提供技术支持，确保现有应用系统的稳定运行。</w:t>
            </w:r>
          </w:p>
          <w:p>
            <w:pPr>
              <w:pStyle w:val="null3"/>
              <w:jc w:val="both"/>
            </w:pPr>
            <w:r>
              <w:rPr>
                <w:rFonts w:ascii="仿宋_GB2312" w:hAnsi="仿宋_GB2312" w:cs="仿宋_GB2312" w:eastAsia="仿宋_GB2312"/>
                <w:sz w:val="24"/>
              </w:rPr>
              <w:t>主要运维工作内容涵盖但不限于：金审工程三期大数据中心、行政办公、审计业务管理、审计现场作业、移动审计支撑等核心系统运维保障、推广培训、版本更新、漏洞修复及应急处置；相关计算存储和网络安全设备、数据库及中间件等基础设施的监控、维护、故障处理及性能优化；协助建立完善的运维工作及应急响应机制等。</w:t>
            </w:r>
          </w:p>
          <w:p>
            <w:pPr>
              <w:pStyle w:val="null3"/>
              <w:jc w:val="both"/>
            </w:pPr>
            <w:r>
              <w:rPr>
                <w:rFonts w:ascii="仿宋_GB2312" w:hAnsi="仿宋_GB2312" w:cs="仿宋_GB2312" w:eastAsia="仿宋_GB2312"/>
                <w:sz w:val="24"/>
              </w:rPr>
              <w:t>四、服务周期</w:t>
            </w:r>
          </w:p>
          <w:p>
            <w:pPr>
              <w:pStyle w:val="null3"/>
              <w:jc w:val="both"/>
            </w:pPr>
            <w:r>
              <w:rPr>
                <w:rFonts w:ascii="仿宋_GB2312" w:hAnsi="仿宋_GB2312" w:cs="仿宋_GB2312" w:eastAsia="仿宋_GB2312"/>
                <w:sz w:val="24"/>
              </w:rPr>
              <w:t>本项目服务周期为</w:t>
            </w:r>
            <w:r>
              <w:rPr>
                <w:rFonts w:ascii="仿宋_GB2312" w:hAnsi="仿宋_GB2312" w:cs="仿宋_GB2312" w:eastAsia="仿宋_GB2312"/>
                <w:sz w:val="24"/>
              </w:rPr>
              <w:t>6个月，服务起止日期为合同约定服务启动日起6个月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五、运维服务要求及工作职责</w:t>
            </w:r>
          </w:p>
          <w:p>
            <w:pPr>
              <w:pStyle w:val="null3"/>
              <w:jc w:val="both"/>
            </w:pPr>
            <w:r>
              <w:rPr>
                <w:rFonts w:ascii="仿宋_GB2312" w:hAnsi="仿宋_GB2312" w:cs="仿宋_GB2312" w:eastAsia="仿宋_GB2312"/>
                <w:sz w:val="24"/>
              </w:rPr>
              <w:t>（一）服务地点要求</w:t>
            </w:r>
          </w:p>
          <w:p>
            <w:pPr>
              <w:pStyle w:val="null3"/>
              <w:jc w:val="both"/>
            </w:pPr>
            <w:r>
              <w:rPr>
                <w:rFonts w:ascii="仿宋_GB2312" w:hAnsi="仿宋_GB2312" w:cs="仿宋_GB2312" w:eastAsia="仿宋_GB2312"/>
                <w:sz w:val="24"/>
              </w:rPr>
              <w:t>陕西省审计厅相关办公场地、计算机机房以及采购人指定的省内其他服务地点。</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人员配置要求</w:t>
            </w:r>
          </w:p>
          <w:p>
            <w:pPr>
              <w:pStyle w:val="null3"/>
              <w:jc w:val="both"/>
            </w:pPr>
            <w:r>
              <w:rPr>
                <w:rFonts w:ascii="仿宋_GB2312" w:hAnsi="仿宋_GB2312" w:cs="仿宋_GB2312" w:eastAsia="仿宋_GB2312"/>
                <w:sz w:val="24"/>
              </w:rPr>
              <w:t>现场驻场运维人员数量不得少于</w:t>
            </w:r>
            <w:r>
              <w:rPr>
                <w:rFonts w:ascii="仿宋_GB2312" w:hAnsi="仿宋_GB2312" w:cs="仿宋_GB2312" w:eastAsia="仿宋_GB2312"/>
                <w:sz w:val="24"/>
              </w:rPr>
              <w:t>15人（包含运维技术主管1名）。此外服务商需指定1名中高级管理人员，作为项目后续工作协调人（非驻场人员）。</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服务范围要求</w:t>
            </w:r>
          </w:p>
          <w:p>
            <w:pPr>
              <w:pStyle w:val="null3"/>
              <w:jc w:val="both"/>
            </w:pPr>
            <w:r>
              <w:rPr>
                <w:rFonts w:ascii="仿宋_GB2312" w:hAnsi="仿宋_GB2312" w:cs="仿宋_GB2312" w:eastAsia="仿宋_GB2312"/>
                <w:sz w:val="24"/>
              </w:rPr>
              <w:t>运维服务范围和涉及软硬件清单以采购人现状为准，驻场运维团队在自行管理的基础上，接受采购人工作安排和第三方监理单位监督，按照采购人相关制度接受工作奖惩和考核评价。</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岗位人员配置要求</w:t>
            </w:r>
          </w:p>
          <w:p>
            <w:pPr>
              <w:pStyle w:val="null3"/>
              <w:jc w:val="both"/>
            </w:pPr>
            <w:r>
              <w:rPr>
                <w:rFonts w:ascii="仿宋_GB2312" w:hAnsi="仿宋_GB2312" w:cs="仿宋_GB2312" w:eastAsia="仿宋_GB2312"/>
                <w:sz w:val="24"/>
              </w:rPr>
              <w:t>项目协调人</w:t>
            </w:r>
            <w:r>
              <w:rPr>
                <w:rFonts w:ascii="仿宋_GB2312" w:hAnsi="仿宋_GB2312" w:cs="仿宋_GB2312" w:eastAsia="仿宋_GB2312"/>
                <w:sz w:val="24"/>
              </w:rPr>
              <w:t>1人，须提供在服务商本单位近6个月的社保缴纳证明，应具备中高级工程师资格。</w:t>
            </w:r>
          </w:p>
          <w:p>
            <w:pPr>
              <w:pStyle w:val="null3"/>
              <w:jc w:val="both"/>
            </w:pPr>
            <w:r>
              <w:rPr>
                <w:rFonts w:ascii="仿宋_GB2312" w:hAnsi="仿宋_GB2312" w:cs="仿宋_GB2312" w:eastAsia="仿宋_GB2312"/>
                <w:sz w:val="24"/>
              </w:rPr>
              <w:t>项目技术主管</w:t>
            </w:r>
            <w:r>
              <w:rPr>
                <w:rFonts w:ascii="仿宋_GB2312" w:hAnsi="仿宋_GB2312" w:cs="仿宋_GB2312" w:eastAsia="仿宋_GB2312"/>
                <w:sz w:val="24"/>
              </w:rPr>
              <w:t>1人，须具备金审工程项目实施经历和两年以上运维团队管理经验。</w:t>
            </w:r>
          </w:p>
          <w:p>
            <w:pPr>
              <w:pStyle w:val="null3"/>
              <w:jc w:val="both"/>
            </w:pPr>
            <w:r>
              <w:rPr>
                <w:rFonts w:ascii="仿宋_GB2312" w:hAnsi="仿宋_GB2312" w:cs="仿宋_GB2312" w:eastAsia="仿宋_GB2312"/>
                <w:sz w:val="24"/>
              </w:rPr>
              <w:t>其余运维服务团队人员中，中级工程师人数应不低于</w:t>
            </w:r>
            <w:r>
              <w:rPr>
                <w:rFonts w:ascii="仿宋_GB2312" w:hAnsi="仿宋_GB2312" w:cs="仿宋_GB2312" w:eastAsia="仿宋_GB2312"/>
                <w:sz w:val="24"/>
              </w:rPr>
              <w:t>6人，需提供在服务商本单位或签约人事代理机构社保缴纳或入职证明。</w:t>
            </w:r>
          </w:p>
          <w:p>
            <w:pPr>
              <w:pStyle w:val="null3"/>
              <w:jc w:val="both"/>
            </w:pPr>
            <w:r>
              <w:rPr>
                <w:rFonts w:ascii="仿宋_GB2312" w:hAnsi="仿宋_GB2312" w:cs="仿宋_GB2312" w:eastAsia="仿宋_GB2312"/>
                <w:sz w:val="24"/>
              </w:rPr>
              <w:t>六、驻场服务人员要求</w:t>
            </w:r>
          </w:p>
          <w:p>
            <w:pPr>
              <w:pStyle w:val="null3"/>
              <w:jc w:val="both"/>
            </w:pPr>
            <w:r>
              <w:rPr>
                <w:rFonts w:ascii="仿宋_GB2312" w:hAnsi="仿宋_GB2312" w:cs="仿宋_GB2312" w:eastAsia="仿宋_GB2312"/>
                <w:sz w:val="24"/>
              </w:rPr>
              <w:t>（一）人员等级划分的要求和依据</w:t>
            </w:r>
          </w:p>
          <w:p>
            <w:pPr>
              <w:pStyle w:val="null3"/>
              <w:jc w:val="both"/>
            </w:pPr>
            <w:r>
              <w:rPr>
                <w:rFonts w:ascii="仿宋_GB2312" w:hAnsi="仿宋_GB2312" w:cs="仿宋_GB2312" w:eastAsia="仿宋_GB2312"/>
                <w:sz w:val="24"/>
              </w:rPr>
              <w:t>参照省财政厅和省</w:t>
            </w:r>
            <w:r>
              <w:rPr>
                <w:rFonts w:ascii="仿宋_GB2312" w:hAnsi="仿宋_GB2312" w:cs="仿宋_GB2312" w:eastAsia="仿宋_GB2312"/>
                <w:sz w:val="24"/>
              </w:rPr>
              <w:t>数据和政务服务</w:t>
            </w:r>
            <w:r>
              <w:rPr>
                <w:rFonts w:ascii="仿宋_GB2312" w:hAnsi="仿宋_GB2312" w:cs="仿宋_GB2312" w:eastAsia="仿宋_GB2312"/>
                <w:sz w:val="24"/>
              </w:rPr>
              <w:t>局下发的《省级政务信息化运维类项目投资编制指南（试行）》要求，人员等级划分通常基于在审计行业运维领域的专业技能、经验、工作表现以及对新技术和新方法的掌握程度进行划分，将运维服务人员划分为初级、中级、高级三个等级，人员等级划定标准由采购人结合国家专业职称标准、人员学历、从业经验和取得对应岗位运维相关核心产品厂商认证等级等情况确定。驻场运维人员在现场服务前须接受并配合采购人开展相关背景调查、能力等级核准。若人员等级不达标，采购人有权要求服务商更换合规人员或结合岗位预算标准核减对应岗位预算和合同额。</w:t>
            </w:r>
          </w:p>
          <w:p>
            <w:pPr>
              <w:pStyle w:val="null3"/>
              <w:jc w:val="both"/>
            </w:pPr>
            <w:r>
              <w:rPr>
                <w:rFonts w:ascii="仿宋_GB2312" w:hAnsi="仿宋_GB2312" w:cs="仿宋_GB2312" w:eastAsia="仿宋_GB2312"/>
                <w:sz w:val="24"/>
              </w:rPr>
              <w:t>（二）职业素质要求</w:t>
            </w:r>
          </w:p>
          <w:p>
            <w:pPr>
              <w:pStyle w:val="null3"/>
              <w:jc w:val="both"/>
            </w:pPr>
            <w:r>
              <w:rPr>
                <w:rFonts w:ascii="仿宋_GB2312" w:hAnsi="仿宋_GB2312" w:cs="仿宋_GB2312" w:eastAsia="仿宋_GB2312"/>
                <w:sz w:val="24"/>
              </w:rPr>
              <w:t>具有良好的学习能力和服务意识，能够适应服务工单受理分派跟进、驻场服务的工作模式；具备良好的沟通能力和团队合作精神，工作积极主动，耐心细致，责任心强；具备问题定位分析能力，能够与用户、开发人员、技术运维人员对接分析处理问题；具有良好的信息安全意识和优化技术流程意识；能够熟练使用</w:t>
            </w:r>
            <w:r>
              <w:rPr>
                <w:rFonts w:ascii="仿宋_GB2312" w:hAnsi="仿宋_GB2312" w:cs="仿宋_GB2312" w:eastAsia="仿宋_GB2312"/>
                <w:sz w:val="24"/>
              </w:rPr>
              <w:t>WPS等日常办公软件。</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岗位保密要求</w:t>
            </w:r>
          </w:p>
          <w:p>
            <w:pPr>
              <w:pStyle w:val="null3"/>
              <w:jc w:val="both"/>
            </w:pPr>
            <w:r>
              <w:rPr>
                <w:rFonts w:ascii="仿宋_GB2312" w:hAnsi="仿宋_GB2312" w:cs="仿宋_GB2312" w:eastAsia="仿宋_GB2312"/>
                <w:sz w:val="24"/>
              </w:rPr>
              <w:t>熟知并严格遵守国家保密法律法规；熟悉本职岗位的保密要求，并按规定履行保密工作责任；严格执行相关保密管理规定，不得泄露本项目相关的秘密；签订保密责任书，明确个人的保密责任和义务，确保在履职过程中始终坚守保密底线；使用统一配发的电脑和移动存储介质；管理人员定期对运维团队人员进行保密教育培训和考核，提高保密意识和技能，定期或不定期组织保密监督检查，及时发现和纠正保密工作中的问题，确保保密制度得到有效执行。</w:t>
            </w:r>
          </w:p>
          <w:p>
            <w:pPr>
              <w:pStyle w:val="null3"/>
              <w:jc w:val="both"/>
            </w:pPr>
            <w:r>
              <w:rPr>
                <w:rFonts w:ascii="仿宋_GB2312" w:hAnsi="仿宋_GB2312" w:cs="仿宋_GB2312" w:eastAsia="仿宋_GB2312"/>
                <w:sz w:val="24"/>
              </w:rPr>
              <w:t>七、服务验收要求</w:t>
            </w:r>
          </w:p>
          <w:p>
            <w:pPr>
              <w:pStyle w:val="null3"/>
              <w:jc w:val="both"/>
            </w:pPr>
            <w:r>
              <w:rPr>
                <w:rFonts w:ascii="仿宋_GB2312" w:hAnsi="仿宋_GB2312" w:cs="仿宋_GB2312" w:eastAsia="仿宋_GB2312"/>
                <w:sz w:val="24"/>
              </w:rPr>
              <w:t>（一）成交服务商需提交年度运维报告、季度运维报告、运维工作记录（如日常巡检记录、故障处理记录、资源统计清单等）及服务期内的所有运维技术清单（如设备及产品的配置信息、版本扩充与升级信息等），且服务质量满足采购人要求。</w:t>
            </w:r>
          </w:p>
          <w:p>
            <w:pPr>
              <w:pStyle w:val="null3"/>
              <w:jc w:val="both"/>
            </w:pPr>
            <w:r>
              <w:rPr>
                <w:rFonts w:ascii="仿宋_GB2312" w:hAnsi="仿宋_GB2312" w:cs="仿宋_GB2312" w:eastAsia="仿宋_GB2312"/>
                <w:sz w:val="24"/>
              </w:rPr>
              <w:t>（二）驻场人员服务期间须服从采购人指定部门和人员的日常管理，日常工作接受采购人的考核，考核办法按照省审计厅运维中心制定的《陕西省金审工程运维管理中心运维驻场人员量化考核制度》执行，驻场人员考核结果应达到合格标准。采购人对不满足基本服务要求或考核未达标的服务人员可提出调换服务人员要求，供应商须及时更换并调派与服务内容相适应的人员继续提供服务，并应在</w:t>
            </w:r>
            <w:r>
              <w:rPr>
                <w:rFonts w:ascii="仿宋_GB2312" w:hAnsi="仿宋_GB2312" w:cs="仿宋_GB2312" w:eastAsia="仿宋_GB2312"/>
                <w:sz w:val="24"/>
              </w:rPr>
              <w:t>10个工作日内完成服务人员替换及工作交接。此外，驻场服务人员中途因故更替的，供应商应及时选派合适合规人员接替并延续服务，原则上新旧人员交接期应不少于3周。</w:t>
            </w:r>
          </w:p>
          <w:p>
            <w:pPr>
              <w:pStyle w:val="null3"/>
              <w:jc w:val="both"/>
            </w:pPr>
            <w:r>
              <w:rPr>
                <w:rFonts w:ascii="仿宋_GB2312" w:hAnsi="仿宋_GB2312" w:cs="仿宋_GB2312" w:eastAsia="仿宋_GB2312"/>
                <w:sz w:val="24"/>
              </w:rPr>
              <w:t>上述</w:t>
            </w:r>
            <w:r>
              <w:rPr>
                <w:rFonts w:ascii="仿宋_GB2312" w:hAnsi="仿宋_GB2312" w:cs="仿宋_GB2312" w:eastAsia="仿宋_GB2312"/>
                <w:sz w:val="24"/>
              </w:rPr>
              <w:t>2个要求均满足后，6个月服务期到期时成交服务商向采购人提出1次书面服务验收申请，采购人在接到申请15个工作日内组织验收并做出验收结论。验收合格后采购人将按照合同规定支付对应比例驻场运维费用。</w:t>
            </w:r>
          </w:p>
          <w:p>
            <w:pPr>
              <w:pStyle w:val="null3"/>
              <w:jc w:val="both"/>
            </w:pPr>
            <w:r>
              <w:rPr>
                <w:rFonts w:ascii="仿宋_GB2312" w:hAnsi="仿宋_GB2312" w:cs="仿宋_GB2312" w:eastAsia="仿宋_GB2312"/>
                <w:sz w:val="24"/>
              </w:rPr>
              <w:t>八、服务保密要求</w:t>
            </w:r>
          </w:p>
          <w:p>
            <w:pPr>
              <w:pStyle w:val="null3"/>
              <w:jc w:val="both"/>
            </w:pPr>
            <w:r>
              <w:rPr>
                <w:rFonts w:ascii="仿宋_GB2312" w:hAnsi="仿宋_GB2312" w:cs="仿宋_GB2312" w:eastAsia="仿宋_GB2312"/>
                <w:sz w:val="24"/>
              </w:rPr>
              <w:t>（一）成交服务商及驻场人员需遵守《中华人民共和国保守国家秘密法》及相关保密法律法规要求。</w:t>
            </w:r>
          </w:p>
          <w:p>
            <w:pPr>
              <w:pStyle w:val="null3"/>
              <w:jc w:val="both"/>
            </w:pPr>
            <w:r>
              <w:rPr>
                <w:rFonts w:ascii="仿宋_GB2312" w:hAnsi="仿宋_GB2312" w:cs="仿宋_GB2312" w:eastAsia="仿宋_GB2312"/>
                <w:sz w:val="24"/>
              </w:rPr>
              <w:t>（二）履行服务过程中所获得或接触到的来源于采购人的任何数据资料，未经采购人书面同意，不得向第三方透露。</w:t>
            </w:r>
          </w:p>
          <w:p>
            <w:pPr>
              <w:pStyle w:val="null3"/>
              <w:jc w:val="both"/>
            </w:pPr>
            <w:r>
              <w:rPr>
                <w:rFonts w:ascii="仿宋_GB2312" w:hAnsi="仿宋_GB2312" w:cs="仿宋_GB2312" w:eastAsia="仿宋_GB2312"/>
                <w:sz w:val="24"/>
              </w:rPr>
              <w:t>（三）成交服务商及所有驻场人员均需与采购人签署运维服务保密协议，并禁止将本项目的任何资料传播给项目外人员。</w:t>
            </w:r>
          </w:p>
          <w:p>
            <w:pPr>
              <w:pStyle w:val="null3"/>
              <w:jc w:val="both"/>
            </w:pPr>
            <w:r>
              <w:rPr>
                <w:rFonts w:ascii="仿宋_GB2312" w:hAnsi="仿宋_GB2312" w:cs="仿宋_GB2312" w:eastAsia="仿宋_GB2312"/>
                <w:sz w:val="24"/>
              </w:rPr>
              <w:t>九、其他要求</w:t>
            </w:r>
          </w:p>
          <w:p>
            <w:pPr>
              <w:pStyle w:val="null3"/>
            </w:pPr>
            <w:r>
              <w:rPr>
                <w:rFonts w:ascii="仿宋_GB2312" w:hAnsi="仿宋_GB2312" w:cs="仿宋_GB2312" w:eastAsia="仿宋_GB2312"/>
                <w:sz w:val="24"/>
              </w:rPr>
              <w:t>实施人员的工资、绩效及相关福利待遇应结合采购人和第三方监理单位评估意见确定，服务期内上述费用及因工作期间差旅等产生的交通、食宿均由服务商负责。</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本项目服务周期为6个月，服务起止日期为合同约定服务启动日起6个月。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服务商需提交年度运维报告、季度运维报告、运维工作记录（如日常巡检记录、故障处理记录、资源统计清单等）及服务期内的所有运维技术清单（如设备及产品的配置信息、版本扩充与升级信息等），且服务质量满足采购人要求。 （二）驻场人员服务期间须服从采购人指定部门和人员的日常管理，日常工作接受采购人的考核，考核办法按照省审计厅运维中心制定的《陕西省金审工程运维管理中心运维驻场人员量化考核制度》执行，驻场人员考核结果应达到合格标准。采购人对不满足基本服务要求或考核未达标的服务人员可提出调换服务人员要求，供应商须及时更换并调派与服务内容相适应的人员继续提供服务，并应在10个工作日内完成服务人员替换及工作交接。此外，驻场服务人员中途因故更替的，供应商应及时选派合适合规人员接替并延续服务，原则上新旧人员交接期应不少于3周。 上述2个要求均满足后，6个月服务期到期时成交服务商向采购人提出1次书面服务验收申请，采购人在接到申请15个工作日内组织验收并做出验收结论。验收合格后采购人将按照合同规定支付对应比例驻场运维费用。</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未按合同及招标文件要求提供服务、不能满足采购要求，乙方必须无条件变更调整，提高和完善服务质量，否则，甲方有权终止合同，并要求乙方对违约行为造成的甲方损失进行赔偿，赔偿方式详见本条第3款。 （二）乙方不得把甲方数据、软件、用户名、密码、系统结构、网络配置泄露给任何第三方，如因该情形给甲方造成损失的，应赔偿甲方造成的所有损失。 （三）若乙方未完全履行本合同所约定的义务，并在接到甲方书面或其他通知提出30日内仍未予以纠正时，甲方有权单方解除本合同，本合同自甲方解除通知送达之日解除。乙方在接到甲方解除通知后30日内须以【转账或支票】的方式退还甲方已支付未提供服务的内容及时间的全部费用，甲方未支付的费用不再支付，未返还的履约保证金不再返还。 （四）依据《中华人民共和国民法典》、《中华人民共和国政府采购法》的相关条款和本合同约定，乙方未全面履行合同义务或者发生违约，甲方会同采购代理机构有权终止合同，依法向乙方进行经济索赔，并报请政府采购监督管理机关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详见单一来源采购文件要求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提供2025年6月至今已缴存的一个月的社会保障资金缴存单据或社保机构开具的社会保险参保缴费情况证明，依法不需要缴纳社会保障资金的投标单位应提供相关文件证明；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法定代表人证明书与法定代表人授权书.docx 服务方案 标的清单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法定代表人证明书与法定代表人授权书.docx 服务方案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法定代表人证明书与法定代表人授权书.docx 服务方案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法定代表人证明书与法定代表人授权书.docx 服务方案 标的清单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响应文件按单一来源采购文件要求的数量、计量单位、报价货币及签字盖章</w:t>
            </w:r>
          </w:p>
        </w:tc>
        <w:tc>
          <w:tcPr>
            <w:tcW w:type="dxa" w:w="3322"/>
          </w:tcPr>
          <w:p>
            <w:pPr>
              <w:pStyle w:val="null3"/>
            </w:pPr>
            <w:r>
              <w:rPr>
                <w:rFonts w:ascii="仿宋_GB2312" w:hAnsi="仿宋_GB2312" w:cs="仿宋_GB2312" w:eastAsia="仿宋_GB2312"/>
              </w:rPr>
              <w:t>响应文件按单一来源采购文件要求的数量、计量单位、报价货币及签字盖章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法定代表人证明书与法定代表人授权书.docx 服务方案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投标有效期达到单一来源采购文件要求</w:t>
            </w:r>
          </w:p>
        </w:tc>
        <w:tc>
          <w:tcPr>
            <w:tcW w:type="dxa" w:w="3322"/>
          </w:tcPr>
          <w:p>
            <w:pPr>
              <w:pStyle w:val="null3"/>
            </w:pPr>
            <w:r>
              <w:rPr>
                <w:rFonts w:ascii="仿宋_GB2312" w:hAnsi="仿宋_GB2312" w:cs="仿宋_GB2312" w:eastAsia="仿宋_GB2312"/>
              </w:rPr>
              <w:t>投标有效期达到单一来源采购文件要求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法定代表人证明书与法定代表人授权书.docx 服务方案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响应文件的投标报价、服务期等达到单一来源采购文件要求</w:t>
            </w:r>
          </w:p>
        </w:tc>
        <w:tc>
          <w:tcPr>
            <w:tcW w:type="dxa" w:w="3322"/>
          </w:tcPr>
          <w:p>
            <w:pPr>
              <w:pStyle w:val="null3"/>
            </w:pPr>
            <w:r>
              <w:rPr>
                <w:rFonts w:ascii="仿宋_GB2312" w:hAnsi="仿宋_GB2312" w:cs="仿宋_GB2312" w:eastAsia="仿宋_GB2312"/>
              </w:rPr>
              <w:t>响应文件的投标报价、服务期等达到单一来源采购文件要求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法定代表人证明书与法定代表人授权书.docx 服务方案 标的清单 响应函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符合法律、法规和单一来源采购文件中规定的其他实质性要求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法定代表人证明书与法定代表人授权书.docx 服务方案 标的清单 响应函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详见附件：法定代表人证明书与法定代表人授权书.docx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