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版本号：【KRDL】K5--251115620251212001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航空航天与未来产业产教融合实训基地咨询及设计项目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【KRDL】K5--2511156</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航空航天与未来产业产教融合实训基地咨询及设计项目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【KRDL】K5--2511156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航空航天与未来产业产教融合实训基地咨询及设计项目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航天与未来产业产教融合实训基地建设地点位于西安市阎良区西安航空职业技术学院新征地内，总建筑面积约4万平方米（其中地下约7000平方米），主要为实训室及教室、人防及设备用房等，总投资约2.1亿元。本项目为航空航天与未来产业产教融合实训基地的咨询及设计服务，具体服务内容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1、主体资格：投标人为向招标人提供相关服务的法人或其他组织；</w:t>
      </w:r>
    </w:p>
    <w:p>
      <w:pPr>
        <w:pStyle w:val="null3"/>
      </w:pPr>
      <w:r>
        <w:rPr>
          <w:rFonts w:ascii="仿宋_GB2312" w:hAnsi="仿宋_GB2312" w:cs="仿宋_GB2312" w:eastAsia="仿宋_GB2312"/>
        </w:rPr>
        <w:t>2、企业资质：投标人须在全国投资项目在线审批监管平台备案，同时须具备设计资质为工程设计综合甲级资质或建筑行业设计甲级资质或建筑行业（建筑工程）专业设计甲级。</w:t>
      </w:r>
    </w:p>
    <w:p>
      <w:pPr>
        <w:pStyle w:val="null3"/>
      </w:pPr>
      <w:r>
        <w:rPr>
          <w:rFonts w:ascii="仿宋_GB2312" w:hAnsi="仿宋_GB2312" w:cs="仿宋_GB2312" w:eastAsia="仿宋_GB2312"/>
        </w:rPr>
        <w:t>3、拟派项目负责人资格要求：拟派项目负责人须具备一级注册建筑师及以上执业资格且在本单位注册；</w:t>
      </w:r>
    </w:p>
    <w:p>
      <w:pPr>
        <w:pStyle w:val="null3"/>
      </w:pPr>
      <w:r>
        <w:rPr>
          <w:rFonts w:ascii="仿宋_GB2312" w:hAnsi="仿宋_GB2312" w:cs="仿宋_GB2312" w:eastAsia="仿宋_GB2312"/>
        </w:rPr>
        <w:t>4、信誉要求：截止至投标文件递交截止时间之前，投标人未被“信用中国”网站列入失信被执行人、重大税收违法失信主体名单，未被“中国政府采购网”网站列入政府采购严重违法失信行为记录名单；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5、授权代表：投标人应授权合法的人员参加本项目招标活动全过程；</w:t>
      </w:r>
    </w:p>
    <w:p>
      <w:pPr>
        <w:pStyle w:val="null3"/>
      </w:pPr>
      <w:r>
        <w:rPr>
          <w:rFonts w:ascii="仿宋_GB2312" w:hAnsi="仿宋_GB2312" w:cs="仿宋_GB2312" w:eastAsia="仿宋_GB2312"/>
        </w:rPr>
        <w:t>6、是否专门面向中小企业采购：本项目为非专门面向中小企业采购项目。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采购包1保证金金额：20,005.00元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857号）的有关规定标准的80%向采购代理机构一次付清代理服务费。注：转账需备注项目名称+代理服务费。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达到合格（达到国家强制性合格标准），具体参照招标人相关制度执行。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联系人：王森、于珂欣</w:t>
      </w:r>
    </w:p>
    <w:p>
      <w:pPr>
        <w:pStyle w:val="null3"/>
      </w:pPr>
      <w:r>
        <w:rPr>
          <w:rFonts w:ascii="仿宋_GB2312" w:hAnsi="仿宋_GB2312" w:cs="仿宋_GB2312" w:eastAsia="仿宋_GB2312"/>
        </w:rPr>
        <w:t>联系电话：029-89581863、17602924160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航天与未来产业产教融合实训基地建设地点位于西安市阎良区西安航空职业技术学院新征地内，总建筑面积约4万平方米（其中地下约7000平方米），主要为实训室及教室、人防及设备用房等，总投资约2.1亿元。本项目为航空航天与未来产业产教融合实训基地的咨询及设计服务，具体服务内容详见本项目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航空航天与未来产业产教融合实训基地咨询及设计项目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标的名称：航空航天与未来产业产教融合实训基地咨询及设计项目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FF"/>
              </w:rPr>
              <w:t>一、服务内容</w:t>
            </w:r>
          </w:p>
          <w:tbl>
            <w:tblPr>
              <w:tblInd w:type="dxa" w:w="120"/>
              <w:tblBorders>
                <w:top w:val="none" w:color="000000" w:sz="4"/>
                <w:left w:val="none" w:color="000000" w:sz="4"/>
                <w:bottom w:val="none" w:color="000000" w:sz="4"/>
                <w:right w:val="none" w:color="000000" w:sz="4"/>
                <w:insideH w:val="none"/>
                <w:insideV w:val="none"/>
              </w:tblBorders>
            </w:tblPr>
            <w:tblGrid>
              <w:gridCol w:w="363"/>
              <w:gridCol w:w="679"/>
              <w:gridCol w:w="1511"/>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19"/>
                      <w:color w:val="0000FF"/>
                    </w:rPr>
                    <w:t>序号</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19"/>
                      <w:color w:val="0000FF"/>
                    </w:rPr>
                    <w:t>服务名称</w:t>
                  </w:r>
                </w:p>
              </w:tc>
              <w:tc>
                <w:tcPr>
                  <w:tcW w:type="dxa" w:w="1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19"/>
                      <w:color w:val="0000FF"/>
                    </w:rPr>
                    <w:t>最高限价（元）</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19"/>
                      <w:color w:val="0000FF"/>
                    </w:rPr>
                    <w:t>1</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19"/>
                      <w:color w:val="0000FF"/>
                    </w:rPr>
                    <w:t>咨询服务</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19"/>
                      <w:color w:val="0000FF"/>
                    </w:rPr>
                    <w:t>200000.00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19"/>
                      <w:color w:val="0000FF"/>
                    </w:rPr>
                    <w:t>2</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19"/>
                      <w:color w:val="0000FF"/>
                    </w:rPr>
                    <w:t>设计服务</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19"/>
                      <w:color w:val="0000FF"/>
                    </w:rPr>
                    <w:t>2000000.00</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left"/>
                  </w:pPr>
                  <w:r>
                    <w:rPr>
                      <w:rFonts w:ascii="仿宋_GB2312" w:hAnsi="仿宋_GB2312" w:cs="仿宋_GB2312" w:eastAsia="仿宋_GB2312"/>
                      <w:sz w:val="19"/>
                      <w:color w:val="0000FF"/>
                    </w:rPr>
                    <w:t>备注</w:t>
                  </w:r>
                  <w:r>
                    <w:rPr>
                      <w:rFonts w:ascii="仿宋_GB2312" w:hAnsi="仿宋_GB2312" w:cs="仿宋_GB2312" w:eastAsia="仿宋_GB2312"/>
                      <w:sz w:val="19"/>
                      <w:color w:val="0000FF"/>
                    </w:rPr>
                    <w:t>;</w:t>
                  </w:r>
                  <w:r>
                    <w:rPr>
                      <w:rFonts w:ascii="仿宋_GB2312" w:hAnsi="仿宋_GB2312" w:cs="仿宋_GB2312" w:eastAsia="仿宋_GB2312"/>
                      <w:sz w:val="19"/>
                      <w:color w:val="0000FF"/>
                    </w:rPr>
                    <w:t>各</w:t>
                  </w:r>
                  <w:r>
                    <w:rPr>
                      <w:rFonts w:ascii="仿宋_GB2312" w:hAnsi="仿宋_GB2312" w:cs="仿宋_GB2312" w:eastAsia="仿宋_GB2312"/>
                      <w:sz w:val="19"/>
                      <w:color w:val="0000FF"/>
                    </w:rPr>
                    <w:t>项报价不得超过最高限价</w:t>
                  </w:r>
                  <w:r>
                    <w:rPr>
                      <w:rFonts w:ascii="仿宋_GB2312" w:hAnsi="仿宋_GB2312" w:cs="仿宋_GB2312" w:eastAsia="仿宋_GB2312"/>
                      <w:sz w:val="19"/>
                      <w:color w:val="0000FF"/>
                    </w:rPr>
                    <w:t>，否则</w:t>
                  </w:r>
                  <w:r>
                    <w:rPr>
                      <w:rFonts w:ascii="仿宋_GB2312" w:hAnsi="仿宋_GB2312" w:cs="仿宋_GB2312" w:eastAsia="仿宋_GB2312"/>
                      <w:sz w:val="19"/>
                      <w:color w:val="0000FF"/>
                    </w:rPr>
                    <w:t>其</w:t>
                  </w:r>
                  <w:r>
                    <w:rPr>
                      <w:rFonts w:ascii="仿宋_GB2312" w:hAnsi="仿宋_GB2312" w:cs="仿宋_GB2312" w:eastAsia="仿宋_GB2312"/>
                      <w:sz w:val="19"/>
                      <w:color w:val="0000FF"/>
                    </w:rPr>
                    <w:t>投标将被否决。</w:t>
                  </w:r>
                </w:p>
              </w:tc>
            </w:tr>
          </w:tbl>
          <w:p>
            <w:pPr>
              <w:pStyle w:val="null3"/>
            </w:pPr>
            <w:r>
              <w:rPr>
                <w:rFonts w:ascii="仿宋_GB2312" w:hAnsi="仿宋_GB2312" w:cs="仿宋_GB2312" w:eastAsia="仿宋_GB2312"/>
                <w:color w:val="0000FF"/>
              </w:rPr>
              <w:t>二、服务要求</w:t>
            </w:r>
          </w:p>
          <w:p>
            <w:pPr>
              <w:pStyle w:val="null3"/>
            </w:pPr>
            <w:r>
              <w:rPr>
                <w:rFonts w:ascii="仿宋_GB2312" w:hAnsi="仿宋_GB2312" w:cs="仿宋_GB2312" w:eastAsia="仿宋_GB2312"/>
                <w:color w:val="0000FF"/>
              </w:rPr>
              <w:t>（一）咨询服务</w:t>
            </w:r>
          </w:p>
          <w:p>
            <w:pPr>
              <w:pStyle w:val="null3"/>
            </w:pPr>
            <w:r>
              <w:rPr>
                <w:rFonts w:ascii="仿宋_GB2312" w:hAnsi="仿宋_GB2312" w:cs="仿宋_GB2312" w:eastAsia="仿宋_GB2312"/>
                <w:color w:val="0000FF"/>
              </w:rPr>
              <w:t>1.服务内容：完成项目建议书、可行性研究报告、初步设计报告、社会稳定风险评估报告、节能评估报告五项文件的编制，成果需满足立项审批部门的合规要求，确保可用于项目立项。同时需配合甲方完成项目立项并获取批复。</w:t>
            </w:r>
          </w:p>
          <w:p>
            <w:pPr>
              <w:pStyle w:val="null3"/>
            </w:pPr>
            <w:r>
              <w:rPr>
                <w:rFonts w:ascii="仿宋_GB2312" w:hAnsi="仿宋_GB2312" w:cs="仿宋_GB2312" w:eastAsia="仿宋_GB2312"/>
                <w:color w:val="0000FF"/>
              </w:rPr>
              <w:t>2.交付要求：甲方每提供一个报告所需的完整基础资料和技术资料后，乙方需在 7 个工作日内提交对应咨询成果。</w:t>
            </w:r>
          </w:p>
          <w:p>
            <w:pPr>
              <w:pStyle w:val="null3"/>
            </w:pPr>
            <w:r>
              <w:rPr>
                <w:rFonts w:ascii="仿宋_GB2312" w:hAnsi="仿宋_GB2312" w:cs="仿宋_GB2312" w:eastAsia="仿宋_GB2312"/>
                <w:color w:val="0000FF"/>
              </w:rPr>
              <w:t>（二）设计服务：</w:t>
            </w:r>
          </w:p>
          <w:p>
            <w:pPr>
              <w:pStyle w:val="null3"/>
            </w:pPr>
            <w:r>
              <w:rPr>
                <w:rFonts w:ascii="仿宋_GB2312" w:hAnsi="仿宋_GB2312" w:cs="仿宋_GB2312" w:eastAsia="仿宋_GB2312"/>
                <w:color w:val="0000FF"/>
              </w:rPr>
              <w:t>1.服务内容：</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1）基础设计：完成项目方案优化深化、初步设计、施工图设计，设计深度需达到《建筑工程设计文件编制深度规定》要求，满足施工招标及现场施工需求。</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专项设计：包含且不限于装配式建筑专项设计、绿色建筑专项设计、海绵城市专项设计、人防平战转换方案设计（含图纸及报告）、节能专项设计、室外项目及绿化专项设计（含道路、水电网络接驳）、光伏及智能化等全部专项设计。</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3）配套服务：配合甲方完成方案调整、工程规划手续报批；完成初步设计汇报；各专项设计需单独完成汇报、获取批复及验收核查</w:t>
            </w:r>
            <w:r>
              <w:rPr>
                <w:rFonts w:ascii="仿宋_GB2312" w:hAnsi="仿宋_GB2312" w:cs="仿宋_GB2312" w:eastAsia="仿宋_GB2312"/>
                <w:color w:val="0000FF"/>
              </w:rPr>
              <w:t>（</w:t>
            </w:r>
            <w:r>
              <w:rPr>
                <w:rFonts w:ascii="仿宋_GB2312" w:hAnsi="仿宋_GB2312" w:cs="仿宋_GB2312" w:eastAsia="仿宋_GB2312"/>
                <w:color w:val="0000FF"/>
              </w:rPr>
              <w:t>含绿建中期核查</w:t>
            </w:r>
            <w:r>
              <w:rPr>
                <w:rFonts w:ascii="仿宋_GB2312" w:hAnsi="仿宋_GB2312" w:cs="仿宋_GB2312" w:eastAsia="仿宋_GB2312"/>
                <w:color w:val="0000FF"/>
              </w:rPr>
              <w:t>）</w:t>
            </w:r>
            <w:r>
              <w:rPr>
                <w:rFonts w:ascii="仿宋_GB2312" w:hAnsi="仿宋_GB2312" w:cs="仿宋_GB2312" w:eastAsia="仿宋_GB2312"/>
                <w:color w:val="0000FF"/>
              </w:rPr>
              <w:t>；提供施工阶段的设计答疑、技术交底、设计变更、现场配合等服务。</w:t>
            </w:r>
          </w:p>
          <w:p>
            <w:pPr>
              <w:pStyle w:val="null3"/>
            </w:pPr>
            <w:r>
              <w:rPr>
                <w:rFonts w:ascii="仿宋_GB2312" w:hAnsi="仿宋_GB2312" w:cs="仿宋_GB2312" w:eastAsia="仿宋_GB2312"/>
                <w:color w:val="0000FF"/>
              </w:rPr>
              <w:t>2.交付要求：</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1）初步设计：甲方认可深化方案后 20 个日历日内交付（其中前 15 个日历日完成图纸设计，后 5 个日历日完成初步设计文本编制、图纸审核及概算），成果含设计图纸、初步设计文本、概算报告。</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2）施工图设计：初步设计完成后 40 个日历日内交付（其中前 30 个日历日完成图纸设计，后 10 个日历日完成图纸校对、审核、修改），成果含全套施工图（建筑、结构、给排水、电气、暖通、专项设计等），需通过施工图审查机构的合规性审查。</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3）专项成果：各专项设计需单独提交设计图纸、专项报告，及对应的批复文件、验收核查资料，确保符合相关规范及审批要求。</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1"/>
                <w:color w:val="0000FF"/>
              </w:rPr>
              <w:t>4）最终交付：所有设计成果需提供可编辑的电子版（CAD 格式图纸、Word/Excel 格式文本）及盖章生效的纸质版，纸质版装订规范，满足存档及报批需求。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自签订合同之日起至工程竣工结算资料移交发包人后止。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质量达到现行合格标准，符合国家、行业、地方规定以及招标文件规定的质量和安全标准要求。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在咨询服务完成且获取五项批复之后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9.09</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在初步设计工作完成之后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22.72</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在完成施工图纸并通过审查之后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59.10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待工程项目竣工验收合格后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9.09</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1.本项目支付约定为系统固定推述内容，具体付款方式以下列内容为准： 在咨询服务完成且获取五项批复之后，支付合同总金额的9.09%。在初步设计工作完成之后，支付合同总金额的22.72%。在完成施工图纸并通过审查之后，支付合同总金额的59.10%。待工程项目竣工验收合格后，支付合同总金额的9.09%。 2.本次合同价是设计人完成本合同约定应由设计人完成设计与工程咨询服务工作的全部费用，是设计人履行本合同约定义务(包括进行设计与工程咨询并提供有关服务)的全部报酬，是完成合同范围内全部工作内容的价格体现，包括但不限于差旅费、会议费、设计费用、进出场费、设计成果制作费用、设计配合费用、专家评审费、配合图纸审批、验收、中标交易服务费、后续服务相关费用等完成本项目目标的一切费用。设计人响应招标文件后则将被视为发包内容的全部费用已经包含在中标价内，设计人亦不得以任何理由在设计服务过程中要求增加费用。除合同另有约定外，对设计人提出的任何追加费用要求，发包人将不予考虑。 除本合同另有约定外，任何情况下不作调整(包括但不限于:不因任何采购人与中标人双方设计变更、投资的变更、市场变化、建筑面积的误差、工期调整等因素而进行任何调整)，发包人不再承担其它任何费用。 3.以保函形式交纳投标保证金的，投标人应在投标截止时间前将保函上传至政府采购电子化交易平台，同时将保函扫描成清晰的PDF文件，发送至邮箱1253677747@qq.com（邮件命名：项目名称+项目编号）；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投标人须在全国投资项目在线审批监管平台备案，同时须具备设计资质为工程设计综合甲级资质或建筑行业设计甲级资质或建筑行业（建筑工程）专业设计甲级。</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拟派项目负责人须具备一级注册建筑师及以上执业资格且在本单位注册；</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是否专门面向中小企业采购</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③国务院办公厅《关于建立政府强制采购节能产品制度的通知》（国办发〔2007〕51号）、财政部、国家发展和改革委员会、生态环境部、国家市场监督管理总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供应商应提交的相关资格证明文件.docx 项目服务实施方案.docx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供应商应提交的相关资格证明文件.docx 项目服务实施方案.docx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是否按照招标文件的规定提交投标保证金的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供应商应提交的相关资格证明文件.docx 项目服务实施方案.docx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报价未超过招标文件中规定的采购预算及各项最高限价；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供应商应提交的相关资格证明文件.docx 项目服务实施方案.docx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供应商应提交的相关资格证明文件.docx 项目服务实施方案.docx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供应商应提交的相关资格证明文件.docx 项目服务实施方案.docx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拟派项目负责人职称</w:t>
            </w:r>
          </w:p>
        </w:tc>
        <w:tc>
          <w:tcPr>
            <w:tcW w:type="dxa" w:w="2492"/>
          </w:tcPr>
          <w:p>
            <w:pPr>
              <w:pStyle w:val="null3"/>
            </w:pPr>
            <w:r>
              <w:rPr>
                <w:rFonts w:ascii="仿宋_GB2312" w:hAnsi="仿宋_GB2312" w:cs="仿宋_GB2312" w:eastAsia="仿宋_GB2312"/>
              </w:rPr>
              <w:t>根据拟派项目负责人职称进行评审： 拟派项目负责人具备高级及以上专业技术职称的得4分； 具备中级专业技术职称的得2分； 其他情况不得分。 评审依据：以投标人提供的拟派项目负责人的职称证明材料的扫描件或复印件为准，提供多个职称证明材料的，以最高职称证明材料为准，同时需提供拟派项目负责人近6个月内至少任意1个月在本单位缴纳的社保缴纳证明材料，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拟派项目负责人学历</w:t>
            </w:r>
          </w:p>
        </w:tc>
        <w:tc>
          <w:tcPr>
            <w:tcW w:type="dxa" w:w="2492"/>
          </w:tcPr>
          <w:p>
            <w:pPr>
              <w:pStyle w:val="null3"/>
            </w:pPr>
            <w:r>
              <w:rPr>
                <w:rFonts w:ascii="仿宋_GB2312" w:hAnsi="仿宋_GB2312" w:cs="仿宋_GB2312" w:eastAsia="仿宋_GB2312"/>
              </w:rPr>
              <w:t>根据拟派项目负责人学历进行评审： 拟派项目设计负责人具备本科及以上学历得4分； 具备专科学历得2分； 其余情况不得分。 评审依据：以投标人提供的拟派项目负责人学历证书的扫描件或复印件为准，提供多个学历或学位证书的，以最高学历为准，未提供的不得分。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拟派项目负责人业绩</w:t>
            </w:r>
          </w:p>
        </w:tc>
        <w:tc>
          <w:tcPr>
            <w:tcW w:type="dxa" w:w="2492"/>
          </w:tcPr>
          <w:p>
            <w:pPr>
              <w:pStyle w:val="null3"/>
            </w:pPr>
            <w:r>
              <w:rPr>
                <w:rFonts w:ascii="仿宋_GB2312" w:hAnsi="仿宋_GB2312" w:cs="仿宋_GB2312" w:eastAsia="仿宋_GB2312"/>
              </w:rPr>
              <w:t>投标人提供拟派项目负责人2022年1月1日以来作为项目负责人承揽的房屋建筑设计类似业绩证明材料，每提供1项得2分，最多得4分。 评审依据： （1）业绩证明材料以合同或中标通知书扫描件或复印件为准。时间以合同或中标通知书中的时间为准；业绩证明材料未能体现时间或不符合上述要求的不予赋分； （2）投标人类似项目业绩与拟派设计项目负责人类似业绩可重复。房屋建筑设计相关类似业绩证明材料的内容，应当至少包含方案设计、初步设计以及施工图设计服务内容。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项目部人员构成人员1</w:t>
            </w:r>
          </w:p>
        </w:tc>
        <w:tc>
          <w:tcPr>
            <w:tcW w:type="dxa" w:w="2492"/>
          </w:tcPr>
          <w:p>
            <w:pPr>
              <w:pStyle w:val="null3"/>
            </w:pPr>
            <w:r>
              <w:rPr>
                <w:rFonts w:ascii="仿宋_GB2312" w:hAnsi="仿宋_GB2312" w:cs="仿宋_GB2312" w:eastAsia="仿宋_GB2312"/>
              </w:rPr>
              <w:t>1.针对本项目投标人拟派项目部人员至少应包括（除拟派项目负责人外）：建筑类专业设计人员2人、结构类专业设计人员1人、电气类专业设计人员1人、给排水类专业设计人员1人、暖通类专业设计人员1人、一级注册造价工程师1人、注册咨询工程师1人。满足以上全部要求并提供人员相应证明材料的得基本分6分，未提供以上资料的相应人员不予认定和赋分。 评审依据：专业设计人员应提供满足上述要求的相关专业技术职称证书或注册证书的扫描件或复印件；造价工程师应提供注册证书的扫描件或复印件，且注册单位为投标人本单位；注册咨询工程师提供注册证书的扫描件或复印件，且注册单位为投标人本单位，同时需提供项目部人员近6个月内至少任意1个月在本单位缴纳的社保缴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项目部人员构成人员2</w:t>
            </w:r>
          </w:p>
        </w:tc>
        <w:tc>
          <w:tcPr>
            <w:tcW w:type="dxa" w:w="2492"/>
          </w:tcPr>
          <w:p>
            <w:pPr>
              <w:pStyle w:val="null3"/>
            </w:pPr>
            <w:r>
              <w:rPr>
                <w:rFonts w:ascii="仿宋_GB2312" w:hAnsi="仿宋_GB2312" w:cs="仿宋_GB2312" w:eastAsia="仿宋_GB2312"/>
              </w:rPr>
              <w:t>在满足上述全部要求的基础上，每额外增加上述要求的任意1名专业人员的，加1分，最多加4分； 评审依据：额外增加的人员应提供相关专业技术职称证书或注册证书的扫描件或复印件；造价工程师应提供注册证书的扫描件或复印件，且注册单位为投标人本单位；注册咨询工程师提供注册证书的扫描件或复印件，且注册单位为投标人本单位，同时需提供项目部人员近6个月内至少任意1个月在本单位缴纳的社保缴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项目部人员构成人员3</w:t>
            </w:r>
          </w:p>
        </w:tc>
        <w:tc>
          <w:tcPr>
            <w:tcW w:type="dxa" w:w="2492"/>
          </w:tcPr>
          <w:p>
            <w:pPr>
              <w:pStyle w:val="null3"/>
            </w:pPr>
            <w:r>
              <w:rPr>
                <w:rFonts w:ascii="仿宋_GB2312" w:hAnsi="仿宋_GB2312" w:cs="仿宋_GB2312" w:eastAsia="仿宋_GB2312"/>
              </w:rPr>
              <w:t>3.拟派设计项目部人员中（除拟派项目负责人外）每有1名人员具备中级（含）以上专业技术职称的，加2分，最多加4分。 评审依据：以投标人提供的项目部人员的职称证明材料的扫描件或复印件为准，提供多个职称证明材料的，以最高职称证明材料为准，未提供的不得分。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项目总体方案1</w:t>
            </w:r>
          </w:p>
        </w:tc>
        <w:tc>
          <w:tcPr>
            <w:tcW w:type="dxa" w:w="2492"/>
          </w:tcPr>
          <w:p>
            <w:pPr>
              <w:pStyle w:val="null3"/>
            </w:pPr>
            <w:r>
              <w:rPr>
                <w:rFonts w:ascii="仿宋_GB2312" w:hAnsi="仿宋_GB2312" w:cs="仿宋_GB2312" w:eastAsia="仿宋_GB2312"/>
              </w:rPr>
              <w:t>根据投标人针对本项目提供的（1.项目需求理解；2.项目背景分析；3.法律法规的掌握程度）进行评审： 1.项目需求理解：对本项目需求理解清晰明确，有针对性，与本项目契合的得1.1-2分； 对本项目需求理解模糊不清，针对性稍有欠缺的得0.1-1分；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项目总体方案2</w:t>
            </w:r>
          </w:p>
        </w:tc>
        <w:tc>
          <w:tcPr>
            <w:tcW w:type="dxa" w:w="2492"/>
          </w:tcPr>
          <w:p>
            <w:pPr>
              <w:pStyle w:val="null3"/>
            </w:pPr>
            <w:r>
              <w:rPr>
                <w:rFonts w:ascii="仿宋_GB2312" w:hAnsi="仿宋_GB2312" w:cs="仿宋_GB2312" w:eastAsia="仿宋_GB2312"/>
              </w:rPr>
              <w:t>2.项目背景分析：对本项目分析定位清晰明确，有针对性，与本项目契合的得1.1-2分； 对本项目分析定位模糊不清，针对性稍有欠缺的得0.1-1分；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项目总体方案3</w:t>
            </w:r>
          </w:p>
        </w:tc>
        <w:tc>
          <w:tcPr>
            <w:tcW w:type="dxa" w:w="2492"/>
          </w:tcPr>
          <w:p>
            <w:pPr>
              <w:pStyle w:val="null3"/>
            </w:pPr>
            <w:r>
              <w:rPr>
                <w:rFonts w:ascii="仿宋_GB2312" w:hAnsi="仿宋_GB2312" w:cs="仿宋_GB2312" w:eastAsia="仿宋_GB2312"/>
              </w:rPr>
              <w:t>3.法律法规的掌握程度：对法律法规掌握程度熟练，有利于项目实施的得1.1-2分； 对法律法规掌握程度生疏，有利于项目实施的得0.1-1分；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咨询服务方案1</w:t>
            </w:r>
          </w:p>
        </w:tc>
        <w:tc>
          <w:tcPr>
            <w:tcW w:type="dxa" w:w="2492"/>
          </w:tcPr>
          <w:p>
            <w:pPr>
              <w:pStyle w:val="null3"/>
            </w:pPr>
            <w:r>
              <w:rPr>
                <w:rFonts w:ascii="仿宋_GB2312" w:hAnsi="仿宋_GB2312" w:cs="仿宋_GB2312" w:eastAsia="仿宋_GB2312"/>
              </w:rPr>
              <w:t>根据投标人提供的咨询服务方案（1.咨询工作计划：2.咨询服务总体目标：3.咨询服务总体思路）进行评审： 1.咨询工作计划：工作计划合理可行，分阶段明确，流程清晰的得1-2分； 工作计划存在缺陷，工作安排不合理，可能影响项目实施的得0.1-1分；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咨询服务方案2</w:t>
            </w:r>
          </w:p>
        </w:tc>
        <w:tc>
          <w:tcPr>
            <w:tcW w:type="dxa" w:w="2492"/>
          </w:tcPr>
          <w:p>
            <w:pPr>
              <w:pStyle w:val="null3"/>
            </w:pPr>
            <w:r>
              <w:rPr>
                <w:rFonts w:ascii="仿宋_GB2312" w:hAnsi="仿宋_GB2312" w:cs="仿宋_GB2312" w:eastAsia="仿宋_GB2312"/>
              </w:rPr>
              <w:t>2.咨询服务总体目标：总体目标明确，与项目需求契合，有利于项目实施的得1.1-2分； 总体目标含糊不清，可能影响项目实施的得0.1-1分；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咨询服务方案3</w:t>
            </w:r>
          </w:p>
        </w:tc>
        <w:tc>
          <w:tcPr>
            <w:tcW w:type="dxa" w:w="2492"/>
          </w:tcPr>
          <w:p>
            <w:pPr>
              <w:pStyle w:val="null3"/>
            </w:pPr>
            <w:r>
              <w:rPr>
                <w:rFonts w:ascii="仿宋_GB2312" w:hAnsi="仿宋_GB2312" w:cs="仿宋_GB2312" w:eastAsia="仿宋_GB2312"/>
              </w:rPr>
              <w:t>3.咨询服务总体思路:方案切合本项目实际情况，创新新颖、经济合理，有利于项目实施的得1.1-2分； 方案内容简单，可能影响项目实施的得0.1-1分；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设计服务方案1</w:t>
            </w:r>
          </w:p>
        </w:tc>
        <w:tc>
          <w:tcPr>
            <w:tcW w:type="dxa" w:w="2492"/>
          </w:tcPr>
          <w:p>
            <w:pPr>
              <w:pStyle w:val="null3"/>
            </w:pPr>
            <w:r>
              <w:rPr>
                <w:rFonts w:ascii="仿宋_GB2312" w:hAnsi="仿宋_GB2312" w:cs="仿宋_GB2312" w:eastAsia="仿宋_GB2312"/>
              </w:rPr>
              <w:t>根据投标人提供的咨询服务方案（1.设计工作计划：2.设计服务总体目标：3.设计服务总体思路）进行评审： 1.设计工作计划：工作计划合理可行，分阶段明确，流程清晰，有利于项目实施的得1.1-2分； 工作计划存在缺陷，工作安排不合理，可能影响项目实施的得0.1-1分；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设计服务方案2</w:t>
            </w:r>
          </w:p>
        </w:tc>
        <w:tc>
          <w:tcPr>
            <w:tcW w:type="dxa" w:w="2492"/>
          </w:tcPr>
          <w:p>
            <w:pPr>
              <w:pStyle w:val="null3"/>
            </w:pPr>
            <w:r>
              <w:rPr>
                <w:rFonts w:ascii="仿宋_GB2312" w:hAnsi="仿宋_GB2312" w:cs="仿宋_GB2312" w:eastAsia="仿宋_GB2312"/>
              </w:rPr>
              <w:t>2.设计服务总体目标：总体目标明确，与项目需求契合，有利于项目实施的得1.1-2分； 总体目标含糊不清，可能影响项目实施的得0.1-1分；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设计服务方案3</w:t>
            </w:r>
          </w:p>
        </w:tc>
        <w:tc>
          <w:tcPr>
            <w:tcW w:type="dxa" w:w="2492"/>
          </w:tcPr>
          <w:p>
            <w:pPr>
              <w:pStyle w:val="null3"/>
            </w:pPr>
            <w:r>
              <w:rPr>
                <w:rFonts w:ascii="仿宋_GB2312" w:hAnsi="仿宋_GB2312" w:cs="仿宋_GB2312" w:eastAsia="仿宋_GB2312"/>
              </w:rPr>
              <w:t>3.设计服务总体思路：方案切合本项目实际情况，创新新颖、经济合理，有利于项目实施的得1.1-2分； 方案内容简单，可能影响项目实施的得0.1-1分；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质量控制措施1</w:t>
            </w:r>
          </w:p>
        </w:tc>
        <w:tc>
          <w:tcPr>
            <w:tcW w:type="dxa" w:w="2492"/>
          </w:tcPr>
          <w:p>
            <w:pPr>
              <w:pStyle w:val="null3"/>
            </w:pPr>
            <w:r>
              <w:rPr>
                <w:rFonts w:ascii="仿宋_GB2312" w:hAnsi="仿宋_GB2312" w:cs="仿宋_GB2312" w:eastAsia="仿宋_GB2312"/>
              </w:rPr>
              <w:t>根据投标人提供的质量控制措施（1.咨询质量控制措施；2.设计质量控制措施；3.成果文件质量控制措施）进行评审： 1.咨询质量控制措施：措施内容全面，具有审核流程且流程完整清晰，对评审意见及时整改全流程跟踪，有利于项目实施的得1.1-2分； 措施内容简单，可能影响项目实施的得0.1-1分；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质量控制措施2</w:t>
            </w:r>
          </w:p>
        </w:tc>
        <w:tc>
          <w:tcPr>
            <w:tcW w:type="dxa" w:w="2492"/>
          </w:tcPr>
          <w:p>
            <w:pPr>
              <w:pStyle w:val="null3"/>
            </w:pPr>
            <w:r>
              <w:rPr>
                <w:rFonts w:ascii="仿宋_GB2312" w:hAnsi="仿宋_GB2312" w:cs="仿宋_GB2312" w:eastAsia="仿宋_GB2312"/>
              </w:rPr>
              <w:t>2.设计质量控制措施：措施内容全面，切实可行，具有审核流程且流程完整清晰，有利于项目实施的得1.1-2分； 措施内容简单，可能影响项目实施的得0.1-1分；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质量控制措施3</w:t>
            </w:r>
          </w:p>
        </w:tc>
        <w:tc>
          <w:tcPr>
            <w:tcW w:type="dxa" w:w="2492"/>
          </w:tcPr>
          <w:p>
            <w:pPr>
              <w:pStyle w:val="null3"/>
            </w:pPr>
            <w:r>
              <w:rPr>
                <w:rFonts w:ascii="仿宋_GB2312" w:hAnsi="仿宋_GB2312" w:cs="仿宋_GB2312" w:eastAsia="仿宋_GB2312"/>
              </w:rPr>
              <w:t>3.成果文件质量控制措施：措施内容全面，成果文件编制规范且符合相关要求，有利于项目实施的得1.1-2分； 措施内容简单，无法保障成果文件质量，可能影响项目实施的得0.1-1分；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进度保障措施1</w:t>
            </w:r>
          </w:p>
        </w:tc>
        <w:tc>
          <w:tcPr>
            <w:tcW w:type="dxa" w:w="2492"/>
          </w:tcPr>
          <w:p>
            <w:pPr>
              <w:pStyle w:val="null3"/>
            </w:pPr>
            <w:r>
              <w:rPr>
                <w:rFonts w:ascii="仿宋_GB2312" w:hAnsi="仿宋_GB2312" w:cs="仿宋_GB2312" w:eastAsia="仿宋_GB2312"/>
              </w:rPr>
              <w:t>根据投标人提供的进度保障措施（1.咨询进度保障措施；2.设计进度保障措施）进行评审： 1.咨询进度保障措施：措施详细可行，有针对性，有利于项目实施的得1.1-2分； 生产进度保证措施所有欠缺，可行性、针对性稍有欠缺，可能影响项目实施的得0.1-1分；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进度保障措施2</w:t>
            </w:r>
          </w:p>
        </w:tc>
        <w:tc>
          <w:tcPr>
            <w:tcW w:type="dxa" w:w="2492"/>
          </w:tcPr>
          <w:p>
            <w:pPr>
              <w:pStyle w:val="null3"/>
            </w:pPr>
            <w:r>
              <w:rPr>
                <w:rFonts w:ascii="仿宋_GB2312" w:hAnsi="仿宋_GB2312" w:cs="仿宋_GB2312" w:eastAsia="仿宋_GB2312"/>
              </w:rPr>
              <w:t>2.设计进度保障措施：措施合详细可行，有针对性，有利于项目实施的得1.1-2分； 生产进度保证措施所有欠缺，可行性针对性稍有欠缺，可能影响项目实施的得0.1-1分；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沟通和协调方案1</w:t>
            </w:r>
          </w:p>
        </w:tc>
        <w:tc>
          <w:tcPr>
            <w:tcW w:type="dxa" w:w="2492"/>
          </w:tcPr>
          <w:p>
            <w:pPr>
              <w:pStyle w:val="null3"/>
            </w:pPr>
            <w:r>
              <w:rPr>
                <w:rFonts w:ascii="仿宋_GB2312" w:hAnsi="仿宋_GB2312" w:cs="仿宋_GB2312" w:eastAsia="仿宋_GB2312"/>
              </w:rPr>
              <w:t>根据投标人提供的进度保障措施（1.多方沟通机制；2.问题解决与冲突协调；3.突发问题沟通与调整）进行评审： 1.多方沟通机制：具有多方沟通机制且内容完善，切实可行，有利于项目实施的得1.1-2分； 沟通机制简单，可能影响项目实施的得0.1-1分；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沟通和协调方案2</w:t>
            </w:r>
          </w:p>
        </w:tc>
        <w:tc>
          <w:tcPr>
            <w:tcW w:type="dxa" w:w="2492"/>
          </w:tcPr>
          <w:p>
            <w:pPr>
              <w:pStyle w:val="null3"/>
            </w:pPr>
            <w:r>
              <w:rPr>
                <w:rFonts w:ascii="仿宋_GB2312" w:hAnsi="仿宋_GB2312" w:cs="仿宋_GB2312" w:eastAsia="仿宋_GB2312"/>
              </w:rPr>
              <w:t>2.问题解决与冲突协调：解决问题高效，避免推诿，问题解决机制形成闭环，有利于项目实施的得1.1-2分； 解决问题措施低效，可能影响项目实施的得0.1-1分；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沟通和协调方案3</w:t>
            </w:r>
          </w:p>
        </w:tc>
        <w:tc>
          <w:tcPr>
            <w:tcW w:type="dxa" w:w="2492"/>
          </w:tcPr>
          <w:p>
            <w:pPr>
              <w:pStyle w:val="null3"/>
            </w:pPr>
            <w:r>
              <w:rPr>
                <w:rFonts w:ascii="仿宋_GB2312" w:hAnsi="仿宋_GB2312" w:cs="仿宋_GB2312" w:eastAsia="仿宋_GB2312"/>
              </w:rPr>
              <w:t>3.突发问题沟通与调整：应对突发问题的快速沟通流程，且响应及时，则可得1.1-2分。 突发问题沟通与调整简单，不能及时响应的得0.1-1分；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重难点分析及合理化建议1</w:t>
            </w:r>
          </w:p>
        </w:tc>
        <w:tc>
          <w:tcPr>
            <w:tcW w:type="dxa" w:w="2492"/>
          </w:tcPr>
          <w:p>
            <w:pPr>
              <w:pStyle w:val="null3"/>
            </w:pPr>
            <w:r>
              <w:rPr>
                <w:rFonts w:ascii="仿宋_GB2312" w:hAnsi="仿宋_GB2312" w:cs="仿宋_GB2312" w:eastAsia="仿宋_GB2312"/>
              </w:rPr>
              <w:t>根据投标人提供的重难点分析及合理化建议（1.重点、难点分析；2.应对措施；3.合理化建议）进行评审： 1.重点、难点分析：方案内容全面，对本项目有针对性的得1.1-2分； 方案内容简单，对本项目针对性一般的得0.1-1分；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重难点分析及合理化建议2</w:t>
            </w:r>
          </w:p>
        </w:tc>
        <w:tc>
          <w:tcPr>
            <w:tcW w:type="dxa" w:w="2492"/>
          </w:tcPr>
          <w:p>
            <w:pPr>
              <w:pStyle w:val="null3"/>
            </w:pPr>
            <w:r>
              <w:rPr>
                <w:rFonts w:ascii="仿宋_GB2312" w:hAnsi="仿宋_GB2312" w:cs="仿宋_GB2312" w:eastAsia="仿宋_GB2312"/>
              </w:rPr>
              <w:t>2.应对措施：措施内容完整全面，切实可行，有利于项目实施的得1.1-2分； 措施内容简单，可能影响项目实施的得0.1-1分；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重难点分析及合理化建议3</w:t>
            </w:r>
          </w:p>
        </w:tc>
        <w:tc>
          <w:tcPr>
            <w:tcW w:type="dxa" w:w="2492"/>
          </w:tcPr>
          <w:p>
            <w:pPr>
              <w:pStyle w:val="null3"/>
            </w:pPr>
            <w:r>
              <w:rPr>
                <w:rFonts w:ascii="仿宋_GB2312" w:hAnsi="仿宋_GB2312" w:cs="仿宋_GB2312" w:eastAsia="仿宋_GB2312"/>
              </w:rPr>
              <w:t>3.合理化建议：方案内容完整全面，切实可行有利于项目实施的得1.1-2分； 方案内容简单，可能影响项目实施的得0.1-1分；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服务承诺1</w:t>
            </w:r>
          </w:p>
        </w:tc>
        <w:tc>
          <w:tcPr>
            <w:tcW w:type="dxa" w:w="2492"/>
          </w:tcPr>
          <w:p>
            <w:pPr>
              <w:pStyle w:val="null3"/>
            </w:pPr>
            <w:r>
              <w:rPr>
                <w:rFonts w:ascii="仿宋_GB2312" w:hAnsi="仿宋_GB2312" w:cs="仿宋_GB2312" w:eastAsia="仿宋_GB2312"/>
              </w:rPr>
              <w:t>投标人承诺能够定期接受招标人对本项目服务的考核、监督，定期调研招标人对服务质量的满意度并加以改进，确保项目的优质高效完成的得2分。未提供承诺或承诺内容不全的不得分（提供承诺书，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服务承诺2</w:t>
            </w:r>
          </w:p>
        </w:tc>
        <w:tc>
          <w:tcPr>
            <w:tcW w:type="dxa" w:w="2492"/>
          </w:tcPr>
          <w:p>
            <w:pPr>
              <w:pStyle w:val="null3"/>
            </w:pPr>
            <w:r>
              <w:rPr>
                <w:rFonts w:ascii="仿宋_GB2312" w:hAnsi="仿宋_GB2312" w:cs="仿宋_GB2312" w:eastAsia="仿宋_GB2312"/>
              </w:rPr>
              <w:t>投标人承诺上岗人员固定，不随意更换，若出现人员因事、病假等不能工作的，能及时调整其他人员补充，确保服务工作的正常进行的得2分。未提供承诺或承诺内容不全的不得分（提供承诺书，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类似业绩1</w:t>
            </w:r>
          </w:p>
        </w:tc>
        <w:tc>
          <w:tcPr>
            <w:tcW w:type="dxa" w:w="2492"/>
          </w:tcPr>
          <w:p>
            <w:pPr>
              <w:pStyle w:val="null3"/>
            </w:pPr>
            <w:r>
              <w:rPr>
                <w:rFonts w:ascii="仿宋_GB2312" w:hAnsi="仿宋_GB2312" w:cs="仿宋_GB2312" w:eastAsia="仿宋_GB2312"/>
              </w:rPr>
              <w:t>（1）投标人提供2022年1月1日以来参建的房屋建筑工程设计类似业绩证明材料，每提供1项得2.5分，本项最多得5分。 评审依据：业绩证明材料以合同或中标通知书的扫描件为准；时间以合同签订时间或中标通知书中所体现的时间为准，业绩证明材料未能体现时间或不符合上述要求的不予赋分； 房屋建筑设计相关类似业绩证明材料的内容，应当至少包含方案设计、初步设计以及施工图设计服务内容。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类似业绩2</w:t>
            </w:r>
          </w:p>
        </w:tc>
        <w:tc>
          <w:tcPr>
            <w:tcW w:type="dxa" w:w="2492"/>
          </w:tcPr>
          <w:p>
            <w:pPr>
              <w:pStyle w:val="null3"/>
            </w:pPr>
            <w:r>
              <w:rPr>
                <w:rFonts w:ascii="仿宋_GB2312" w:hAnsi="仿宋_GB2312" w:cs="仿宋_GB2312" w:eastAsia="仿宋_GB2312"/>
              </w:rPr>
              <w:t>（2）投标人提供2022年1月1日以来参建的房屋建筑工程咨询业务类似业绩证明材料，每提供1项得2.5分，本项最多得5分。 评审依据：业绩证明材料以合同或中标通知书的扫描件为准；时间以合同签订时间或中标通知书中所体现的时间为准，业绩证明材料未能体现时间或不符合上述要求的不予赋分；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