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82999">
      <w:pPr>
        <w:pStyle w:val="6"/>
        <w:jc w:val="center"/>
        <w:outlineLvl w:val="1"/>
        <w:rPr>
          <w:color w:val="auto"/>
          <w:highlight w:val="none"/>
        </w:rPr>
      </w:pPr>
      <w:r>
        <w:rPr>
          <w:rFonts w:ascii="仿宋_GB2312" w:hAnsi="仿宋_GB2312" w:eastAsia="仿宋_GB2312" w:cs="仿宋_GB2312"/>
          <w:b/>
          <w:color w:val="auto"/>
          <w:sz w:val="36"/>
          <w:highlight w:val="none"/>
        </w:rPr>
        <w:t>拟签订合同文本</w:t>
      </w:r>
    </w:p>
    <w:p w14:paraId="7D5153D5">
      <w:pPr>
        <w:tabs>
          <w:tab w:val="center" w:pos="4535"/>
        </w:tabs>
        <w:spacing w:line="360" w:lineRule="auto"/>
        <w:jc w:val="center"/>
        <w:rPr>
          <w:rFonts w:hint="eastAsia" w:ascii="黑体" w:eastAsia="黑体"/>
          <w:b/>
          <w:color w:val="auto"/>
          <w:sz w:val="32"/>
          <w:szCs w:val="32"/>
          <w:highlight w:val="none"/>
          <w:lang w:eastAsia="zh-CN"/>
        </w:rPr>
      </w:pPr>
    </w:p>
    <w:p w14:paraId="25AE35E4">
      <w:pPr>
        <w:jc w:val="center"/>
        <w:rPr>
          <w:rFonts w:hint="eastAsia" w:ascii="仿宋" w:hAnsi="仿宋" w:eastAsia="仿宋" w:cs="仿宋"/>
          <w:b/>
          <w:color w:val="auto"/>
          <w:sz w:val="48"/>
          <w:szCs w:val="48"/>
          <w:highlight w:val="none"/>
        </w:rPr>
      </w:pPr>
    </w:p>
    <w:p w14:paraId="79E1CD7B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35E09BEE">
      <w:pPr>
        <w:jc w:val="center"/>
        <w:rPr>
          <w:rFonts w:hint="eastAsia" w:ascii="仿宋" w:hAnsi="仿宋" w:eastAsia="仿宋" w:cs="仿宋"/>
          <w:b/>
          <w:color w:val="auto"/>
          <w:sz w:val="48"/>
          <w:szCs w:val="48"/>
          <w:highlight w:val="none"/>
        </w:rPr>
      </w:pPr>
    </w:p>
    <w:p w14:paraId="0B230079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28FEACE8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pacing w:val="26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26"/>
          <w:sz w:val="36"/>
          <w:szCs w:val="36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  <w:t>采购项目</w:t>
      </w:r>
    </w:p>
    <w:p w14:paraId="2C375897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pacing w:val="26"/>
          <w:sz w:val="36"/>
          <w:szCs w:val="36"/>
          <w:highlight w:val="none"/>
        </w:rPr>
      </w:pPr>
    </w:p>
    <w:p w14:paraId="05199DFC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pacing w:val="26"/>
          <w:sz w:val="84"/>
          <w:szCs w:val="84"/>
          <w:highlight w:val="none"/>
        </w:rPr>
      </w:pPr>
    </w:p>
    <w:p w14:paraId="0985A1CD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743E761E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84"/>
          <w:szCs w:val="8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84"/>
          <w:szCs w:val="84"/>
          <w:highlight w:val="none"/>
        </w:rPr>
        <w:t>采购合同</w:t>
      </w:r>
    </w:p>
    <w:p w14:paraId="2E92D351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 xml:space="preserve">项目编号： </w:t>
      </w:r>
    </w:p>
    <w:p w14:paraId="3B03AE26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pacing w:val="26"/>
          <w:sz w:val="36"/>
          <w:szCs w:val="36"/>
          <w:highlight w:val="none"/>
        </w:rPr>
      </w:pPr>
    </w:p>
    <w:p w14:paraId="673F79CD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0E38CBFC">
      <w:pPr>
        <w:rPr>
          <w:rFonts w:hint="eastAsia" w:ascii="仿宋" w:hAnsi="仿宋" w:eastAsia="仿宋" w:cs="仿宋"/>
          <w:color w:val="auto"/>
          <w:highlight w:val="none"/>
        </w:rPr>
      </w:pPr>
    </w:p>
    <w:p w14:paraId="3C54317B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6F7DC10B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69025FD4">
      <w:pPr>
        <w:spacing w:line="360" w:lineRule="auto"/>
        <w:ind w:firstLine="1285" w:firstLineChars="40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招标人：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                   </w:t>
      </w:r>
    </w:p>
    <w:p w14:paraId="3446C2C7">
      <w:pPr>
        <w:spacing w:line="360" w:lineRule="auto"/>
        <w:ind w:firstLine="1285" w:firstLineChars="40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供货方：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</w:rPr>
        <w:t xml:space="preserve">                         </w:t>
      </w:r>
    </w:p>
    <w:p w14:paraId="1D5879B9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pacing w:val="26"/>
          <w:sz w:val="36"/>
          <w:szCs w:val="36"/>
          <w:highlight w:val="none"/>
        </w:rPr>
      </w:pPr>
    </w:p>
    <w:p w14:paraId="3E756656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pacing w:val="26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26"/>
          <w:sz w:val="36"/>
          <w:szCs w:val="36"/>
          <w:highlight w:val="none"/>
        </w:rPr>
        <w:t xml:space="preserve"> 二〇二</w:t>
      </w:r>
      <w:r>
        <w:rPr>
          <w:rFonts w:hint="eastAsia" w:ascii="仿宋" w:hAnsi="仿宋" w:eastAsia="仿宋" w:cs="仿宋"/>
          <w:b/>
          <w:bCs/>
          <w:color w:val="auto"/>
          <w:spacing w:val="26"/>
          <w:sz w:val="36"/>
          <w:szCs w:val="36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spacing w:val="26"/>
          <w:sz w:val="36"/>
          <w:szCs w:val="36"/>
          <w:highlight w:val="none"/>
        </w:rPr>
        <w:t>年  月  日</w:t>
      </w:r>
    </w:p>
    <w:p w14:paraId="57C7F7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249" w:beforeLines="50" w:line="340" w:lineRule="exact"/>
        <w:jc w:val="center"/>
        <w:rPr>
          <w:rFonts w:hint="eastAsia" w:ascii="仿宋" w:hAnsi="仿宋" w:eastAsia="仿宋" w:cs="仿宋"/>
          <w:b/>
          <w:color w:val="auto"/>
          <w:spacing w:val="-20"/>
          <w:sz w:val="44"/>
          <w:szCs w:val="44"/>
          <w:highlight w:val="none"/>
        </w:rPr>
      </w:pPr>
    </w:p>
    <w:p w14:paraId="4F596A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249" w:beforeLines="50" w:line="480" w:lineRule="auto"/>
        <w:jc w:val="center"/>
        <w:rPr>
          <w:rFonts w:hint="eastAsia" w:ascii="仿宋" w:hAnsi="仿宋" w:eastAsia="仿宋" w:cs="仿宋"/>
          <w:b/>
          <w:color w:val="auto"/>
          <w:spacing w:val="-20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20"/>
          <w:sz w:val="44"/>
          <w:szCs w:val="44"/>
          <w:highlight w:val="none"/>
        </w:rPr>
        <w:t>合   同</w:t>
      </w:r>
    </w:p>
    <w:p w14:paraId="58518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right"/>
        <w:textAlignment w:val="auto"/>
        <w:rPr>
          <w:rFonts w:hint="eastAsia" w:ascii="仿宋" w:hAnsi="仿宋" w:eastAsia="仿宋" w:cs="仿宋"/>
          <w:b/>
          <w:color w:val="auto"/>
          <w:spacing w:val="-2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pacing w:val="-20"/>
          <w:sz w:val="21"/>
          <w:szCs w:val="21"/>
          <w:highlight w:val="none"/>
          <w:lang w:eastAsia="zh-CN"/>
        </w:rPr>
        <w:t>编号：</w:t>
      </w:r>
      <w:r>
        <w:rPr>
          <w:rFonts w:hint="eastAsia" w:ascii="仿宋" w:hAnsi="仿宋" w:eastAsia="仿宋" w:cs="仿宋"/>
          <w:b/>
          <w:color w:val="auto"/>
          <w:spacing w:val="-20"/>
          <w:sz w:val="21"/>
          <w:szCs w:val="21"/>
          <w:highlight w:val="none"/>
          <w:lang w:val="en-US" w:eastAsia="zh-CN"/>
        </w:rPr>
        <w:t xml:space="preserve">       年 第      号</w:t>
      </w:r>
    </w:p>
    <w:p w14:paraId="3F40DD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right"/>
        <w:textAlignment w:val="auto"/>
        <w:rPr>
          <w:rFonts w:hint="eastAsia" w:ascii="仿宋" w:hAnsi="仿宋" w:eastAsia="仿宋" w:cs="仿宋"/>
          <w:b/>
          <w:color w:val="auto"/>
          <w:spacing w:val="-20"/>
          <w:sz w:val="21"/>
          <w:szCs w:val="21"/>
          <w:highlight w:val="none"/>
          <w:lang w:val="en-US" w:eastAsia="zh-CN"/>
        </w:rPr>
      </w:pPr>
    </w:p>
    <w:p w14:paraId="0DE3B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甲  方：西安医学院第二附属医院</w:t>
      </w:r>
    </w:p>
    <w:p w14:paraId="4BF57D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  方：</w:t>
      </w:r>
    </w:p>
    <w:p w14:paraId="036A6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依据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招标结果，《中华人民共和国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民法典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》规定及投标文件之内容，甲乙双方本着平等、自愿、公平和诚实信用的原则，经友好协商，达成以下合同条款：</w:t>
      </w:r>
    </w:p>
    <w:p w14:paraId="72905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合同标的物</w:t>
      </w:r>
    </w:p>
    <w:tbl>
      <w:tblPr>
        <w:tblStyle w:val="4"/>
        <w:tblW w:w="95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4"/>
        <w:gridCol w:w="2003"/>
        <w:gridCol w:w="1075"/>
        <w:gridCol w:w="1229"/>
        <w:gridCol w:w="1084"/>
        <w:gridCol w:w="1171"/>
        <w:gridCol w:w="647"/>
      </w:tblGrid>
      <w:tr w14:paraId="188A0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74" w:type="dxa"/>
            <w:noWrap w:val="0"/>
            <w:vAlign w:val="center"/>
          </w:tcPr>
          <w:p w14:paraId="20D03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货物名称</w:t>
            </w:r>
          </w:p>
        </w:tc>
        <w:tc>
          <w:tcPr>
            <w:tcW w:w="2003" w:type="dxa"/>
            <w:noWrap w:val="0"/>
            <w:vAlign w:val="center"/>
          </w:tcPr>
          <w:p w14:paraId="130BC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规格型号</w:t>
            </w:r>
          </w:p>
        </w:tc>
        <w:tc>
          <w:tcPr>
            <w:tcW w:w="1075" w:type="dxa"/>
            <w:noWrap w:val="0"/>
            <w:vAlign w:val="center"/>
          </w:tcPr>
          <w:p w14:paraId="741C9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1229" w:type="dxa"/>
            <w:noWrap w:val="0"/>
            <w:vAlign w:val="center"/>
          </w:tcPr>
          <w:p w14:paraId="00A1B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1084" w:type="dxa"/>
            <w:noWrap w:val="0"/>
            <w:vAlign w:val="center"/>
          </w:tcPr>
          <w:p w14:paraId="1089C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171" w:type="dxa"/>
            <w:noWrap w:val="0"/>
            <w:vAlign w:val="center"/>
          </w:tcPr>
          <w:p w14:paraId="37012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总价（元）</w:t>
            </w:r>
          </w:p>
        </w:tc>
        <w:tc>
          <w:tcPr>
            <w:tcW w:w="647" w:type="dxa"/>
            <w:noWrap w:val="0"/>
            <w:vAlign w:val="center"/>
          </w:tcPr>
          <w:p w14:paraId="0B45D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32173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2374" w:type="dxa"/>
            <w:noWrap w:val="0"/>
            <w:vAlign w:val="top"/>
          </w:tcPr>
          <w:p w14:paraId="626F0D96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HIS服务器</w:t>
            </w:r>
          </w:p>
        </w:tc>
        <w:tc>
          <w:tcPr>
            <w:tcW w:w="2003" w:type="dxa"/>
            <w:noWrap w:val="0"/>
            <w:vAlign w:val="center"/>
          </w:tcPr>
          <w:p w14:paraId="27D9D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5" w:type="dxa"/>
            <w:noWrap w:val="0"/>
            <w:vAlign w:val="top"/>
          </w:tcPr>
          <w:p w14:paraId="538975ED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1229" w:type="dxa"/>
            <w:noWrap w:val="0"/>
            <w:vAlign w:val="top"/>
          </w:tcPr>
          <w:p w14:paraId="44CAF9E6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084" w:type="dxa"/>
            <w:noWrap w:val="0"/>
            <w:vAlign w:val="center"/>
          </w:tcPr>
          <w:p w14:paraId="69D47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01357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7" w:type="dxa"/>
            <w:noWrap w:val="0"/>
            <w:vAlign w:val="center"/>
          </w:tcPr>
          <w:p w14:paraId="1AF63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969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74" w:type="dxa"/>
            <w:noWrap w:val="0"/>
            <w:vAlign w:val="top"/>
          </w:tcPr>
          <w:p w14:paraId="26CBE3CE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双活存储</w:t>
            </w:r>
          </w:p>
        </w:tc>
        <w:tc>
          <w:tcPr>
            <w:tcW w:w="2003" w:type="dxa"/>
            <w:noWrap w:val="0"/>
            <w:vAlign w:val="center"/>
          </w:tcPr>
          <w:p w14:paraId="2FE05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5" w:type="dxa"/>
            <w:noWrap w:val="0"/>
            <w:vAlign w:val="top"/>
          </w:tcPr>
          <w:p w14:paraId="5EC0608B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1229" w:type="dxa"/>
            <w:noWrap w:val="0"/>
            <w:vAlign w:val="top"/>
          </w:tcPr>
          <w:p w14:paraId="53BCA79D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084" w:type="dxa"/>
            <w:noWrap w:val="0"/>
            <w:vAlign w:val="center"/>
          </w:tcPr>
          <w:p w14:paraId="1AE79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0D29F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7" w:type="dxa"/>
            <w:noWrap w:val="0"/>
            <w:vAlign w:val="center"/>
          </w:tcPr>
          <w:p w14:paraId="436F8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794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74" w:type="dxa"/>
            <w:noWrap w:val="0"/>
            <w:vAlign w:val="top"/>
          </w:tcPr>
          <w:p w14:paraId="215A30DD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传统虚拟化业务主机</w:t>
            </w:r>
          </w:p>
        </w:tc>
        <w:tc>
          <w:tcPr>
            <w:tcW w:w="2003" w:type="dxa"/>
            <w:noWrap w:val="0"/>
            <w:vAlign w:val="center"/>
          </w:tcPr>
          <w:p w14:paraId="37E1B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5" w:type="dxa"/>
            <w:noWrap w:val="0"/>
            <w:vAlign w:val="top"/>
          </w:tcPr>
          <w:p w14:paraId="4C1A7249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1229" w:type="dxa"/>
            <w:noWrap w:val="0"/>
            <w:vAlign w:val="top"/>
          </w:tcPr>
          <w:p w14:paraId="526139F3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12</w:t>
            </w:r>
          </w:p>
        </w:tc>
        <w:tc>
          <w:tcPr>
            <w:tcW w:w="1084" w:type="dxa"/>
            <w:noWrap w:val="0"/>
            <w:vAlign w:val="center"/>
          </w:tcPr>
          <w:p w14:paraId="0C09A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1594E6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7" w:type="dxa"/>
            <w:noWrap w:val="0"/>
            <w:vAlign w:val="center"/>
          </w:tcPr>
          <w:p w14:paraId="6DE47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AE1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74" w:type="dxa"/>
            <w:noWrap w:val="0"/>
            <w:vAlign w:val="top"/>
          </w:tcPr>
          <w:p w14:paraId="3A95E1E1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传统虚拟化软件</w:t>
            </w:r>
          </w:p>
        </w:tc>
        <w:tc>
          <w:tcPr>
            <w:tcW w:w="2003" w:type="dxa"/>
            <w:noWrap w:val="0"/>
            <w:vAlign w:val="center"/>
          </w:tcPr>
          <w:p w14:paraId="7BE5E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5" w:type="dxa"/>
            <w:noWrap w:val="0"/>
            <w:vAlign w:val="top"/>
          </w:tcPr>
          <w:p w14:paraId="1000BFAA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1229" w:type="dxa"/>
            <w:noWrap w:val="0"/>
            <w:vAlign w:val="top"/>
          </w:tcPr>
          <w:p w14:paraId="54B51DFB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084" w:type="dxa"/>
            <w:noWrap w:val="0"/>
            <w:vAlign w:val="center"/>
          </w:tcPr>
          <w:p w14:paraId="118B3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50A24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7" w:type="dxa"/>
            <w:noWrap w:val="0"/>
            <w:vAlign w:val="center"/>
          </w:tcPr>
          <w:p w14:paraId="50441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5AF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74" w:type="dxa"/>
            <w:noWrap w:val="0"/>
            <w:vAlign w:val="top"/>
          </w:tcPr>
          <w:p w14:paraId="546B8EB7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虚拟化交换机</w:t>
            </w:r>
          </w:p>
        </w:tc>
        <w:tc>
          <w:tcPr>
            <w:tcW w:w="2003" w:type="dxa"/>
            <w:noWrap w:val="0"/>
            <w:vAlign w:val="center"/>
          </w:tcPr>
          <w:p w14:paraId="1A13B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5" w:type="dxa"/>
            <w:noWrap w:val="0"/>
            <w:vAlign w:val="top"/>
          </w:tcPr>
          <w:p w14:paraId="0CA5000C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1229" w:type="dxa"/>
            <w:noWrap w:val="0"/>
            <w:vAlign w:val="top"/>
          </w:tcPr>
          <w:p w14:paraId="53660B61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084" w:type="dxa"/>
            <w:noWrap w:val="0"/>
            <w:vAlign w:val="center"/>
          </w:tcPr>
          <w:p w14:paraId="174AB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785C2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7" w:type="dxa"/>
            <w:noWrap w:val="0"/>
            <w:vAlign w:val="center"/>
          </w:tcPr>
          <w:p w14:paraId="3A64F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D16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74" w:type="dxa"/>
            <w:noWrap w:val="0"/>
            <w:vAlign w:val="top"/>
          </w:tcPr>
          <w:p w14:paraId="275220F6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S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AN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交换机</w:t>
            </w:r>
          </w:p>
        </w:tc>
        <w:tc>
          <w:tcPr>
            <w:tcW w:w="2003" w:type="dxa"/>
            <w:noWrap w:val="0"/>
            <w:vAlign w:val="center"/>
          </w:tcPr>
          <w:p w14:paraId="0B36A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5" w:type="dxa"/>
            <w:noWrap w:val="0"/>
            <w:vAlign w:val="top"/>
          </w:tcPr>
          <w:p w14:paraId="5ABE8C84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1229" w:type="dxa"/>
            <w:noWrap w:val="0"/>
            <w:vAlign w:val="top"/>
          </w:tcPr>
          <w:p w14:paraId="2DAB7272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084" w:type="dxa"/>
            <w:noWrap w:val="0"/>
            <w:vAlign w:val="center"/>
          </w:tcPr>
          <w:p w14:paraId="771CA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1C4EBE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7" w:type="dxa"/>
            <w:noWrap w:val="0"/>
            <w:vAlign w:val="center"/>
          </w:tcPr>
          <w:p w14:paraId="76A20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CDE1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74" w:type="dxa"/>
            <w:noWrap w:val="0"/>
            <w:vAlign w:val="top"/>
          </w:tcPr>
          <w:p w14:paraId="69AB8865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数据分类分级保护软件</w:t>
            </w:r>
          </w:p>
        </w:tc>
        <w:tc>
          <w:tcPr>
            <w:tcW w:w="2003" w:type="dxa"/>
            <w:noWrap w:val="0"/>
            <w:vAlign w:val="center"/>
          </w:tcPr>
          <w:p w14:paraId="5CBE5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5" w:type="dxa"/>
            <w:noWrap w:val="0"/>
            <w:vAlign w:val="top"/>
          </w:tcPr>
          <w:p w14:paraId="3FEA8F44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套</w:t>
            </w:r>
          </w:p>
        </w:tc>
        <w:tc>
          <w:tcPr>
            <w:tcW w:w="1229" w:type="dxa"/>
            <w:noWrap w:val="0"/>
            <w:vAlign w:val="top"/>
          </w:tcPr>
          <w:p w14:paraId="3B0FA9B5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084" w:type="dxa"/>
            <w:noWrap w:val="0"/>
            <w:vAlign w:val="center"/>
          </w:tcPr>
          <w:p w14:paraId="615ACB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5171F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7" w:type="dxa"/>
            <w:noWrap w:val="0"/>
            <w:vAlign w:val="center"/>
          </w:tcPr>
          <w:p w14:paraId="52883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E08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74" w:type="dxa"/>
            <w:noWrap w:val="0"/>
            <w:vAlign w:val="top"/>
          </w:tcPr>
          <w:p w14:paraId="4199D79E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病案翻拍存储</w:t>
            </w:r>
          </w:p>
        </w:tc>
        <w:tc>
          <w:tcPr>
            <w:tcW w:w="2003" w:type="dxa"/>
            <w:noWrap w:val="0"/>
            <w:vAlign w:val="center"/>
          </w:tcPr>
          <w:p w14:paraId="786E9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5" w:type="dxa"/>
            <w:noWrap w:val="0"/>
            <w:vAlign w:val="top"/>
          </w:tcPr>
          <w:p w14:paraId="30CF449A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1229" w:type="dxa"/>
            <w:noWrap w:val="0"/>
            <w:vAlign w:val="top"/>
          </w:tcPr>
          <w:p w14:paraId="411F77F9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084" w:type="dxa"/>
            <w:noWrap w:val="0"/>
            <w:vAlign w:val="center"/>
          </w:tcPr>
          <w:p w14:paraId="04C67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52CCB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7" w:type="dxa"/>
            <w:noWrap w:val="0"/>
            <w:vAlign w:val="center"/>
          </w:tcPr>
          <w:p w14:paraId="53932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9B6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74" w:type="dxa"/>
            <w:noWrap w:val="0"/>
            <w:vAlign w:val="top"/>
          </w:tcPr>
          <w:p w14:paraId="67F846E4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C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DP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保护存储</w:t>
            </w:r>
          </w:p>
        </w:tc>
        <w:tc>
          <w:tcPr>
            <w:tcW w:w="2003" w:type="dxa"/>
            <w:noWrap w:val="0"/>
            <w:vAlign w:val="center"/>
          </w:tcPr>
          <w:p w14:paraId="5F11C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5" w:type="dxa"/>
            <w:noWrap w:val="0"/>
            <w:vAlign w:val="top"/>
          </w:tcPr>
          <w:p w14:paraId="1CECC95A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1229" w:type="dxa"/>
            <w:noWrap w:val="0"/>
            <w:vAlign w:val="top"/>
          </w:tcPr>
          <w:p w14:paraId="770FD7DA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084" w:type="dxa"/>
            <w:noWrap w:val="0"/>
            <w:vAlign w:val="center"/>
          </w:tcPr>
          <w:p w14:paraId="66606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7276B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7" w:type="dxa"/>
            <w:noWrap w:val="0"/>
            <w:vAlign w:val="center"/>
          </w:tcPr>
          <w:p w14:paraId="6C815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E06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74" w:type="dxa"/>
            <w:noWrap w:val="0"/>
            <w:vAlign w:val="top"/>
          </w:tcPr>
          <w:p w14:paraId="501EE956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HIS容灾服务器</w:t>
            </w:r>
          </w:p>
        </w:tc>
        <w:tc>
          <w:tcPr>
            <w:tcW w:w="2003" w:type="dxa"/>
            <w:noWrap w:val="0"/>
            <w:vAlign w:val="center"/>
          </w:tcPr>
          <w:p w14:paraId="4CFEC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5" w:type="dxa"/>
            <w:noWrap w:val="0"/>
            <w:vAlign w:val="top"/>
          </w:tcPr>
          <w:p w14:paraId="7EC7ABE4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1229" w:type="dxa"/>
            <w:noWrap w:val="0"/>
            <w:vAlign w:val="top"/>
          </w:tcPr>
          <w:p w14:paraId="115BC14F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084" w:type="dxa"/>
            <w:noWrap w:val="0"/>
            <w:vAlign w:val="center"/>
          </w:tcPr>
          <w:p w14:paraId="76080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7037E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7" w:type="dxa"/>
            <w:noWrap w:val="0"/>
            <w:vAlign w:val="center"/>
          </w:tcPr>
          <w:p w14:paraId="11912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0B3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74" w:type="dxa"/>
            <w:noWrap w:val="0"/>
            <w:vAlign w:val="top"/>
          </w:tcPr>
          <w:p w14:paraId="0EB158C9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数据库连续数据保护一体机</w:t>
            </w:r>
          </w:p>
        </w:tc>
        <w:tc>
          <w:tcPr>
            <w:tcW w:w="2003" w:type="dxa"/>
            <w:noWrap w:val="0"/>
            <w:vAlign w:val="center"/>
          </w:tcPr>
          <w:p w14:paraId="586F6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5" w:type="dxa"/>
            <w:noWrap w:val="0"/>
            <w:vAlign w:val="top"/>
          </w:tcPr>
          <w:p w14:paraId="576468DC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1229" w:type="dxa"/>
            <w:noWrap w:val="0"/>
            <w:vAlign w:val="top"/>
          </w:tcPr>
          <w:p w14:paraId="1C18E879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084" w:type="dxa"/>
            <w:noWrap w:val="0"/>
            <w:vAlign w:val="center"/>
          </w:tcPr>
          <w:p w14:paraId="40939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40F0E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7" w:type="dxa"/>
            <w:noWrap w:val="0"/>
            <w:vAlign w:val="center"/>
          </w:tcPr>
          <w:p w14:paraId="6727F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AF32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74" w:type="dxa"/>
            <w:noWrap w:val="0"/>
            <w:vAlign w:val="top"/>
          </w:tcPr>
          <w:p w14:paraId="4F222547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C</w:t>
            </w:r>
            <w:r>
              <w:rPr>
                <w:rFonts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RR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保护存储</w:t>
            </w:r>
          </w:p>
        </w:tc>
        <w:tc>
          <w:tcPr>
            <w:tcW w:w="2003" w:type="dxa"/>
            <w:noWrap w:val="0"/>
            <w:vAlign w:val="center"/>
          </w:tcPr>
          <w:p w14:paraId="66C77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5" w:type="dxa"/>
            <w:noWrap w:val="0"/>
            <w:vAlign w:val="top"/>
          </w:tcPr>
          <w:p w14:paraId="05D5E60B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台</w:t>
            </w:r>
          </w:p>
        </w:tc>
        <w:tc>
          <w:tcPr>
            <w:tcW w:w="1229" w:type="dxa"/>
            <w:noWrap w:val="0"/>
            <w:vAlign w:val="top"/>
          </w:tcPr>
          <w:p w14:paraId="53F65F83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084" w:type="dxa"/>
            <w:noWrap w:val="0"/>
            <w:vAlign w:val="center"/>
          </w:tcPr>
          <w:p w14:paraId="59913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6B746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7" w:type="dxa"/>
            <w:noWrap w:val="0"/>
            <w:vAlign w:val="center"/>
          </w:tcPr>
          <w:p w14:paraId="70C41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29F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74" w:type="dxa"/>
            <w:noWrap w:val="0"/>
            <w:vAlign w:val="top"/>
          </w:tcPr>
          <w:p w14:paraId="395B4CF3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服务器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  <w:t>配套</w:t>
            </w:r>
          </w:p>
        </w:tc>
        <w:tc>
          <w:tcPr>
            <w:tcW w:w="2003" w:type="dxa"/>
            <w:noWrap w:val="0"/>
            <w:vAlign w:val="center"/>
          </w:tcPr>
          <w:p w14:paraId="1B271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5" w:type="dxa"/>
            <w:noWrap w:val="0"/>
            <w:vAlign w:val="top"/>
          </w:tcPr>
          <w:p w14:paraId="2273725C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批</w:t>
            </w:r>
          </w:p>
        </w:tc>
        <w:tc>
          <w:tcPr>
            <w:tcW w:w="1229" w:type="dxa"/>
            <w:noWrap w:val="0"/>
            <w:vAlign w:val="top"/>
          </w:tcPr>
          <w:p w14:paraId="75EE29A5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084" w:type="dxa"/>
            <w:noWrap w:val="0"/>
            <w:vAlign w:val="center"/>
          </w:tcPr>
          <w:p w14:paraId="7BC57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7D73D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7" w:type="dxa"/>
            <w:noWrap w:val="0"/>
            <w:vAlign w:val="center"/>
          </w:tcPr>
          <w:p w14:paraId="4FC0A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4BAF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74" w:type="dxa"/>
            <w:noWrap w:val="0"/>
            <w:vAlign w:val="top"/>
          </w:tcPr>
          <w:p w14:paraId="66CD26D5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数据中心核心设备运维服务</w:t>
            </w:r>
          </w:p>
        </w:tc>
        <w:tc>
          <w:tcPr>
            <w:tcW w:w="2003" w:type="dxa"/>
            <w:noWrap w:val="0"/>
            <w:vAlign w:val="center"/>
          </w:tcPr>
          <w:p w14:paraId="0C4EB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5" w:type="dxa"/>
            <w:noWrap w:val="0"/>
            <w:vAlign w:val="top"/>
          </w:tcPr>
          <w:p w14:paraId="7CC21BBF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批</w:t>
            </w:r>
          </w:p>
        </w:tc>
        <w:tc>
          <w:tcPr>
            <w:tcW w:w="1229" w:type="dxa"/>
            <w:noWrap w:val="0"/>
            <w:vAlign w:val="top"/>
          </w:tcPr>
          <w:p w14:paraId="26C718E0">
            <w:pPr>
              <w:pStyle w:val="6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084" w:type="dxa"/>
            <w:noWrap w:val="0"/>
            <w:vAlign w:val="center"/>
          </w:tcPr>
          <w:p w14:paraId="32AC7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1" w:type="dxa"/>
            <w:noWrap w:val="0"/>
            <w:vAlign w:val="center"/>
          </w:tcPr>
          <w:p w14:paraId="29E6C6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7" w:type="dxa"/>
            <w:noWrap w:val="0"/>
            <w:vAlign w:val="center"/>
          </w:tcPr>
          <w:p w14:paraId="7EF66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1D8C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74" w:type="dxa"/>
            <w:noWrap w:val="0"/>
            <w:vAlign w:val="center"/>
          </w:tcPr>
          <w:p w14:paraId="6CF79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总计金额</w:t>
            </w:r>
          </w:p>
        </w:tc>
        <w:tc>
          <w:tcPr>
            <w:tcW w:w="7209" w:type="dxa"/>
            <w:gridSpan w:val="6"/>
            <w:noWrap w:val="0"/>
            <w:vAlign w:val="center"/>
          </w:tcPr>
          <w:p w14:paraId="27148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  <w:t>人民币（大写）：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                   小写：</w:t>
            </w:r>
          </w:p>
        </w:tc>
      </w:tr>
    </w:tbl>
    <w:p w14:paraId="27BFA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合同总价包括设备价格、税款、运杂费、安装调试费、培训、保修期以及运维服务期内故障件更换（包含采购新件并更换）的全部费用及其它相关费用。合同总价一次性包死，不受市场价格变化因素的影响。</w:t>
      </w:r>
    </w:p>
    <w:p w14:paraId="7CC30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付款方式</w:t>
      </w:r>
    </w:p>
    <w:p w14:paraId="7B94E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项目整体验收合格之日起3个月内支付合同总价款的75％；项目整体验收合格之日起算1年后支付至合同总价款的90%；项目整体验收合格之日起算三年后支付合同总价款的10％。</w:t>
      </w:r>
    </w:p>
    <w:p w14:paraId="596FAE0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实施方案</w:t>
      </w:r>
    </w:p>
    <w:p w14:paraId="5F65D3CF">
      <w:pPr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须提供详细的项目实施方案、项目应急方案等；并组建经验丰富的技术团队，确保高效的完成本次项目的实施部署工作。</w:t>
      </w:r>
    </w:p>
    <w:p w14:paraId="39550339">
      <w:pPr>
        <w:pStyle w:val="7"/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技术服务期间，如果出现因投标人责任，未能在承诺时间内恢复业务运行或数据丢失等，招标单位有权请第三方进行解决处理，由此所产生的一切费用由投标人承担，招标单位保留追究法律责任的权利。</w:t>
      </w:r>
    </w:p>
    <w:p w14:paraId="35B5C9C2">
      <w:pPr>
        <w:pStyle w:val="7"/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技术服务期间，投标人不符合或达不到合同中要求的技术服务标准，招标单位有权提前终止或解除合同。</w:t>
      </w:r>
    </w:p>
    <w:p w14:paraId="1A2DDF08">
      <w:pPr>
        <w:pStyle w:val="7"/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双方需对项目过程中发现的问题进行现场确认。投标人应对约定信息化建设负全责，并应在满足工程进度要求的前提下，确保实施过程中不会因工作失误而影响用户系统正常运行。</w:t>
      </w:r>
    </w:p>
    <w:p w14:paraId="2BFD706D">
      <w:pPr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技术服务期间，必须按照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招标人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的要求在实施安装期间完成对设备的相关软硬件安装，安装期间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现场技术服务人员不得少于2人。</w:t>
      </w:r>
    </w:p>
    <w:p w14:paraId="394BED42">
      <w:pPr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6.</w:t>
      </w:r>
      <w:r>
        <w:rPr>
          <w:rFonts w:hint="eastAsia" w:ascii="仿宋" w:hAnsi="仿宋" w:eastAsia="仿宋" w:cs="仿宋"/>
          <w:bCs/>
          <w:color w:val="auto"/>
          <w:sz w:val="22"/>
          <w:szCs w:val="22"/>
          <w:highlight w:val="none"/>
        </w:rPr>
        <w:t>本项目为交钥匙工程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（所涉及的辅材均包含在内）。</w:t>
      </w:r>
    </w:p>
    <w:p w14:paraId="4DF35697">
      <w:pPr>
        <w:numPr>
          <w:ilvl w:val="0"/>
          <w:numId w:val="0"/>
        </w:numPr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7.迁移要求：医院改扩建一期投入运营时，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投标人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负责将外科楼、门诊楼机房中服务器、存储、网络等设备迁移安装（含材料、人工、调试、迁移所需的一切费用）至新建改扩建一期4楼机房，并调试通畅，保证业务运行正常。</w:t>
      </w:r>
    </w:p>
    <w:p w14:paraId="582B1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交货条件</w:t>
      </w:r>
    </w:p>
    <w:p w14:paraId="77A50D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（一）交货地点：西安医学院第二附属医院数据中心机房。</w:t>
      </w:r>
    </w:p>
    <w:p w14:paraId="7C9AD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（二）交货期限：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合同签订之日起40工作日内完成交付、安装及调试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。 </w:t>
      </w:r>
    </w:p>
    <w:p w14:paraId="0906F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、运输</w:t>
      </w:r>
    </w:p>
    <w:p w14:paraId="645D7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（一）乙方负责所有设备的运输，运输方式由乙方自行选择，但必须保证按期交货，并确保设备安全、完整到达甲方指定地点。</w:t>
      </w:r>
    </w:p>
    <w:p w14:paraId="26287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（二）设备在运输、搬运、安装的过程中，造成甲方损失的，由乙方为甲方修复或更新。</w:t>
      </w:r>
    </w:p>
    <w:p w14:paraId="172ED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、设备安装培训</w:t>
      </w:r>
    </w:p>
    <w:p w14:paraId="1377F0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（一）安装调试</w:t>
      </w:r>
    </w:p>
    <w:p w14:paraId="419784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乙方负责将设备运至甲方指定地点，指派工程师到现场安装调试，在验收合格之前出现的损坏以及丢失均由乙方负责。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设备包装材料由乙方清理回收，若乙方未按甲方要求清理包装材料，按医院相关规定进行处罚。</w:t>
      </w:r>
    </w:p>
    <w:p w14:paraId="2C769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（二）现场培训</w:t>
      </w:r>
    </w:p>
    <w:p w14:paraId="2EFB2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 乙方免费提供现场操作使用培训，保证使用人员掌握设备操作使用的各种功能。</w:t>
      </w:r>
    </w:p>
    <w:p w14:paraId="0EF02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 乙方免费提供软件升级及升级后的使用培训。</w:t>
      </w:r>
    </w:p>
    <w:p w14:paraId="764095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3. 乙方免费负责所销售设备的相关技术培训和操作人员培养，支持医院新项目的开展，保证医院熟练掌握设备的使用。</w:t>
      </w:r>
    </w:p>
    <w:p w14:paraId="0D469B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（三）设备原厂培训</w:t>
      </w:r>
    </w:p>
    <w:p w14:paraId="77FD2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培训对象包括设备运维人员，培训内容为设备所涉及的相关技术内容。</w:t>
      </w:r>
    </w:p>
    <w:p w14:paraId="45AD41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七、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项目试运行</w:t>
      </w:r>
    </w:p>
    <w:p w14:paraId="255FFEEC">
      <w:pPr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项目试运行期间，投标人应派专人在现场指导使用人员的操作；</w:t>
      </w:r>
    </w:p>
    <w:p w14:paraId="2069048C">
      <w:pPr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项目试运行期间，投标人应现场排除系统试运行过程中出现的硬件故障及软件故障，对于易出现问题的设备提供备用件；</w:t>
      </w:r>
    </w:p>
    <w:p w14:paraId="73E00D16">
      <w:pPr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提供热线电话，接受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招标人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的随时咨询；</w:t>
      </w:r>
    </w:p>
    <w:p w14:paraId="5492CEAB">
      <w:pPr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应技术人员的要求，随时讲解系统的结构及设计特点。</w:t>
      </w:r>
    </w:p>
    <w:p w14:paraId="3A8D39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、售后服务</w:t>
      </w:r>
    </w:p>
    <w:p w14:paraId="1BE3E2E1">
      <w:pPr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本次项目所涵盖的货物由生产厂家提供三年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无偿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维保，并提供原厂服务承诺书；</w:t>
      </w:r>
    </w:p>
    <w:p w14:paraId="72B0ACD6">
      <w:pPr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所有设备均须由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中标单位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提供保修期内的整机保修服务，保修期自供需双方代表在设备验收单上签字之日起计算。保修费用计入本合同总价；</w:t>
      </w:r>
    </w:p>
    <w:p w14:paraId="350E674A">
      <w:pPr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工程及设备保修期内，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中标单位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保证每季度上门检修一次，并为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招标人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出一份本季度的系统故障统计分析说明，为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招标人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 xml:space="preserve">的维护工作提供理由充分的参考依据； </w:t>
      </w:r>
    </w:p>
    <w:p w14:paraId="025AE546">
      <w:pPr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如果设备故障在4小时后仍无法排除，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中标单位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应在12小时内提供不低于故障设备规格型号档次的备用设备供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招标人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使用，直至故障设备修复；</w:t>
      </w:r>
    </w:p>
    <w:p w14:paraId="11461DEF">
      <w:pPr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设立维护热线，为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招标人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提供7x24小时的技术咨询服务。</w:t>
      </w:r>
    </w:p>
    <w:p w14:paraId="190C9A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、验收</w:t>
      </w:r>
    </w:p>
    <w:p w14:paraId="49EED4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1.供应商提供《项目实施报告》且评价达到“满足”或“基本满足”；</w:t>
      </w:r>
    </w:p>
    <w:p w14:paraId="4303E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2.服务项目验收应在所有系统技术服务完毕、满足需求文档要求，且在服务期内无重大缺陷、问题、冲突等；</w:t>
      </w:r>
    </w:p>
    <w:p w14:paraId="7D80F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3.提交满足本招标文件要求的验收文档。按照双方共同确认的验收标准进行现场验收。文档如下：</w:t>
      </w:r>
    </w:p>
    <w:p w14:paraId="41BAF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）国内相应的标准、规范；</w:t>
      </w:r>
    </w:p>
    <w:p w14:paraId="63946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）招投标文件；</w:t>
      </w:r>
    </w:p>
    <w:p w14:paraId="7E2BB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）中标通知书及澄清函；</w:t>
      </w:r>
    </w:p>
    <w:p w14:paraId="6E52B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）供应商的提供《项目实施报告》</w:t>
      </w:r>
    </w:p>
    <w:p w14:paraId="5AAAA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十、其他要求</w:t>
      </w:r>
    </w:p>
    <w:p w14:paraId="0A096803">
      <w:pPr>
        <w:pStyle w:val="6"/>
        <w:numPr>
          <w:ilvl w:val="0"/>
          <w:numId w:val="0"/>
        </w:num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1.对安装环境、配套工作的要求：配备UPS、精密空调、消防，防雷等标准的机房。                             </w:t>
      </w:r>
    </w:p>
    <w:p w14:paraId="01281E23">
      <w:pPr>
        <w:pStyle w:val="6"/>
        <w:numPr>
          <w:ilvl w:val="0"/>
          <w:numId w:val="0"/>
        </w:num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2.对知识产权要求/信息安全要求：符合中华人民共和国计算机信息系统安全保护条例，符合知识产权保护法律体系。 </w:t>
      </w:r>
    </w:p>
    <w:p w14:paraId="7B63E7EE">
      <w:pPr>
        <w:pStyle w:val="6"/>
        <w:numPr>
          <w:ilvl w:val="0"/>
          <w:numId w:val="0"/>
        </w:num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3.产品节能、环保要求：具有节能认证（CQC）、环境标志认证。</w:t>
      </w:r>
    </w:p>
    <w:p w14:paraId="697EA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十一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、违约责任</w:t>
      </w:r>
    </w:p>
    <w:p w14:paraId="6F70B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（一）按《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政府采购法》、《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中华人民共和国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民法典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》中的相关条款执行。</w:t>
      </w:r>
    </w:p>
    <w:p w14:paraId="61D1FB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（二）乙方逾期交货，每逾期一天应支付合同总额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0.5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%的违约金，直至交货为止。逾期交货超过20天，甲方有权终止合同。</w:t>
      </w:r>
    </w:p>
    <w:p w14:paraId="54A6D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（三）未按合同要求提供货物或质量不能满足要求，乙方必须无条件更换，提高技术，完善质量，否则，甲方有权终止合同。</w:t>
      </w:r>
    </w:p>
    <w:p w14:paraId="4746BE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十二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、其它约定</w:t>
      </w:r>
    </w:p>
    <w:p w14:paraId="015A2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如遇不可抗力导致无法履行合同约定的内容，甲方有权终止或修改合同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141D2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、合同争议解决的方式</w:t>
      </w:r>
    </w:p>
    <w:p w14:paraId="6415A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本合同在履行过程中发生的争议，由甲、乙双方当事人协商解决，协商不成的提交依法向甲方所在地人民法院起诉。</w:t>
      </w:r>
    </w:p>
    <w:p w14:paraId="269B2A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、合同生效</w:t>
      </w:r>
    </w:p>
    <w:p w14:paraId="1B1AD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本合同一式柒份，甲方执陆份，乙方执壹份。本合同甲、乙双方签字盖章后生效，合同执行完毕后，自动失效（合同的服务承诺则长期有效）。</w:t>
      </w:r>
    </w:p>
    <w:p w14:paraId="03A81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十五、附件一  设备配件及耗材价格清单</w:t>
      </w:r>
    </w:p>
    <w:p w14:paraId="7BFFD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 xml:space="preserve">      附件二  设备配置清单</w:t>
      </w:r>
    </w:p>
    <w:p w14:paraId="74289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149E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1"/>
        <w:gridCol w:w="4981"/>
      </w:tblGrid>
      <w:tr w14:paraId="0B3522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  <w:noWrap w:val="0"/>
            <w:vAlign w:val="top"/>
          </w:tcPr>
          <w:p w14:paraId="26CCF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甲    方:西安医学院第二附属医院</w:t>
            </w:r>
          </w:p>
        </w:tc>
        <w:tc>
          <w:tcPr>
            <w:tcW w:w="4981" w:type="dxa"/>
            <w:noWrap w:val="0"/>
            <w:vAlign w:val="top"/>
          </w:tcPr>
          <w:p w14:paraId="40EB4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乙    方:</w:t>
            </w:r>
          </w:p>
        </w:tc>
      </w:tr>
      <w:tr w14:paraId="254163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  <w:noWrap w:val="0"/>
            <w:vAlign w:val="top"/>
          </w:tcPr>
          <w:p w14:paraId="699220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法定代表人: </w:t>
            </w:r>
          </w:p>
        </w:tc>
        <w:tc>
          <w:tcPr>
            <w:tcW w:w="4981" w:type="dxa"/>
            <w:noWrap w:val="0"/>
            <w:vAlign w:val="top"/>
          </w:tcPr>
          <w:p w14:paraId="7D12E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法定代表人:</w:t>
            </w:r>
          </w:p>
        </w:tc>
      </w:tr>
      <w:tr w14:paraId="326F22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  <w:noWrap w:val="0"/>
            <w:vAlign w:val="top"/>
          </w:tcPr>
          <w:p w14:paraId="23F23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981" w:type="dxa"/>
            <w:noWrap w:val="0"/>
            <w:vAlign w:val="top"/>
          </w:tcPr>
          <w:p w14:paraId="5ADCF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联系电话:</w:t>
            </w:r>
          </w:p>
        </w:tc>
      </w:tr>
      <w:tr w14:paraId="39F6CE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  <w:noWrap w:val="0"/>
            <w:vAlign w:val="top"/>
          </w:tcPr>
          <w:p w14:paraId="19274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签订日期: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年   月   日  </w:t>
            </w:r>
          </w:p>
        </w:tc>
        <w:tc>
          <w:tcPr>
            <w:tcW w:w="4981" w:type="dxa"/>
            <w:noWrap w:val="0"/>
            <w:vAlign w:val="top"/>
          </w:tcPr>
          <w:p w14:paraId="48983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签订日期: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7912E7B8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附件一  设备配件及耗材价格清单</w:t>
      </w:r>
    </w:p>
    <w:p w14:paraId="44DB2F12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637F1D9A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6E9001EE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267E0C54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6D86CCFC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1BC21BD1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54820DBE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44CE64DC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43B93D7E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4445A55C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399A1461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4BE2CC90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633D7758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108E560D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582F9CC9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64292D77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6F7D2B10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3DBE4936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779E41AF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543DC3F2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2ADDE2C3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2647B6E2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7C9F4ABB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479A99C4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6D30DAA8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263E32F7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6B2D4D69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16723172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425D28C1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</w:p>
    <w:p w14:paraId="3B7D36D7">
      <w:pPr>
        <w:spacing w:before="99" w:beforeLines="20" w:after="99" w:afterLines="20" w:line="36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 xml:space="preserve">  设备配置清单</w:t>
      </w:r>
    </w:p>
    <w:p w14:paraId="27FFEC6D">
      <w:pPr>
        <w:spacing w:before="99" w:beforeLines="20" w:after="99" w:afterLines="20" w:line="360" w:lineRule="exact"/>
        <w:rPr>
          <w:rFonts w:hint="default" w:ascii="Times New Roman" w:hAnsi="Times New Roman" w:cs="Times New Roman"/>
          <w:color w:val="auto"/>
          <w:sz w:val="24"/>
          <w:highlight w:val="none"/>
          <w:lang w:val="en-US"/>
        </w:rPr>
      </w:pPr>
    </w:p>
    <w:p w14:paraId="37EAA396">
      <w:pPr>
        <w:pStyle w:val="6"/>
        <w:rPr>
          <w:rFonts w:hint="eastAsia"/>
          <w:color w:val="auto"/>
          <w:highlight w:val="none"/>
          <w:lang w:val="en-US" w:eastAsia="zh-Hans"/>
        </w:rPr>
      </w:pPr>
    </w:p>
    <w:p w14:paraId="19F5A69A">
      <w:pPr>
        <w:pStyle w:val="2"/>
        <w:spacing w:line="241" w:lineRule="auto"/>
        <w:rPr>
          <w:color w:val="auto"/>
          <w:highlight w:val="none"/>
        </w:rPr>
      </w:pPr>
    </w:p>
    <w:p w14:paraId="737D3FB8">
      <w:pPr>
        <w:rPr>
          <w:color w:val="auto"/>
          <w:highlight w:val="none"/>
        </w:rPr>
      </w:pPr>
    </w:p>
    <w:p w14:paraId="541939F3">
      <w:r>
        <w:rPr>
          <w:rFonts w:ascii="仿宋_GB2312" w:hAnsi="仿宋_GB2312" w:eastAsia="仿宋_GB2312" w:cs="仿宋_GB2312"/>
          <w:color w:val="auto"/>
          <w:highlight w:val="none"/>
        </w:rPr>
        <w:t xml:space="preserve"> </w:t>
      </w:r>
      <w:r>
        <w:rPr>
          <w:rFonts w:ascii="仿宋_GB2312" w:hAnsi="仿宋_GB2312" w:eastAsia="仿宋_GB2312" w:cs="仿宋_GB2312"/>
          <w:color w:val="auto"/>
          <w:highlight w:val="none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9E4481"/>
    <w:multiLevelType w:val="singleLevel"/>
    <w:tmpl w:val="889E448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7C346D"/>
    <w:rsid w:val="634368DC"/>
    <w:rsid w:val="637C34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table" w:styleId="4">
    <w:name w:val="Table Grid"/>
    <w:basedOn w:val="3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7">
    <w:name w:val="List Paragraph"/>
    <w:basedOn w:val="1"/>
    <w:autoRedefine/>
    <w:qFormat/>
    <w:uiPriority w:val="0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2424</Words>
  <Characters>2477</Characters>
  <Lines>0</Lines>
  <Paragraphs>0</Paragraphs>
  <TotalTime>0</TotalTime>
  <ScaleCrop>false</ScaleCrop>
  <LinksUpToDate>false</LinksUpToDate>
  <CharactersWithSpaces>2659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2025-12-09T05:50:00Z</dcterms:created>
  <dc:creator>樱桃小晨子 </dc:creator>
  <cp:lastModifiedBy>樱桃小晨子 </cp:lastModifiedBy>
  <dcterms:modified xsi:type="dcterms:W3CDTF">2025-12-12T09:34:59Z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5B9A7A88E667421E82F67943390C4DB7_11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