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版本号：ZMZB2025GCDX-330A20251211001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航空航天柔性材料研发设备购置与配套设施建设基础测试系统平台相控阵超声波（无损）检测模块及电子电路更新模块(二期)采购项目采购包1(三次)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ZMZB2025GCDX-330A</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航空航天柔性材料研发设备购置与配套设施建设基础测试系统平台相控阵超声波（无损）检测模块及电子电路更新模块(二期)采购项目采购包1(三次)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ZMZB2025GCDX-330A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航空航天柔性材料研发设备购置与配套设施建设基础测试系统平台相控阵超声波（无损）检测模块及电子电路更新模块(二期)采购项目采购包1(三次)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航空航天柔性材料研发设备购置与配套设施建设基础测试系统平台相控阵超声波（无损）检测模块采购项目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采购包1（相控阵超声波（无损）检测模块）：属于专门面向中小企业采购。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采购包2保证金金额：17,700.00元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说明：（1）中标供应商成交后凭中标通知书向采购人缴纳合同金额的5%作为履约保证金； （2）履约保证金应使用人民币，可选择使用银行转账、支票、汇票、本票或者金融机构、担保机构出具的保函等非现金形式缴纳或提交； （3）采购人验收合格后，中标供应商提出书面申请，采购人将履约保证金（无息）退还中标供应商。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标准计算。 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航空航天柔性材料研发设备购置与配套设施建设基础测试系统平台相控阵超声波（无损）检测模块采购项目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相控阵超声波（无损）检测模块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标的名称：相控阵超声波（无损）检测模块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相控阵超声波检测系统</w:t>
            </w:r>
            <w:r>
              <w:rPr>
                <w:rFonts w:ascii="仿宋_GB2312" w:hAnsi="仿宋_GB2312" w:cs="仿宋_GB2312" w:eastAsia="仿宋_GB2312"/>
                <w:sz w:val="21"/>
                <w:b/>
              </w:rPr>
              <w:t xml:space="preserve">  </w:t>
            </w:r>
            <w:r>
              <w:rPr>
                <w:rFonts w:ascii="仿宋_GB2312" w:hAnsi="仿宋_GB2312" w:cs="仿宋_GB2312" w:eastAsia="仿宋_GB2312"/>
                <w:sz w:val="21"/>
                <w:b/>
              </w:rPr>
              <w:t>数量</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1.阵元数≥32发射/64接收，需满足实时TFM全聚焦扫查成像功能；</w:t>
            </w:r>
          </w:p>
          <w:p>
            <w:pPr>
              <w:pStyle w:val="null3"/>
              <w:jc w:val="both"/>
            </w:pPr>
            <w:r>
              <w:rPr>
                <w:rFonts w:ascii="仿宋_GB2312" w:hAnsi="仿宋_GB2312" w:cs="仿宋_GB2312" w:eastAsia="仿宋_GB2312"/>
                <w:sz w:val="21"/>
              </w:rPr>
              <w:t>2.具备全聚焦功能、常规相控阵功能和TOFD功能于一体，可通过软件直接切换；</w:t>
            </w:r>
          </w:p>
          <w:p>
            <w:pPr>
              <w:pStyle w:val="null3"/>
              <w:jc w:val="both"/>
            </w:pPr>
            <w:r>
              <w:rPr>
                <w:rFonts w:ascii="仿宋_GB2312" w:hAnsi="仿宋_GB2312" w:cs="仿宋_GB2312" w:eastAsia="仿宋_GB2312"/>
                <w:sz w:val="21"/>
              </w:rPr>
              <w:t>3.应具有≥7种开放式工件模型，可模拟不同类型焊缝坡口形式，包括但不限于平板焊缝、“T”型焊缝、角接焊缝、管道焊缝、锻件、板材；</w:t>
            </w:r>
          </w:p>
          <w:p>
            <w:pPr>
              <w:pStyle w:val="null3"/>
              <w:jc w:val="both"/>
            </w:pPr>
            <w:r>
              <w:rPr>
                <w:rFonts w:ascii="仿宋_GB2312" w:hAnsi="仿宋_GB2312" w:cs="仿宋_GB2312" w:eastAsia="仿宋_GB2312"/>
                <w:sz w:val="21"/>
              </w:rPr>
              <w:t>4.可导入被检工件CAD设计图，自动生成检测模型；</w:t>
            </w:r>
          </w:p>
          <w:p>
            <w:pPr>
              <w:pStyle w:val="null3"/>
              <w:jc w:val="both"/>
            </w:pPr>
            <w:r>
              <w:rPr>
                <w:rFonts w:ascii="仿宋_GB2312" w:hAnsi="仿宋_GB2312" w:cs="仿宋_GB2312" w:eastAsia="仿宋_GB2312"/>
                <w:sz w:val="21"/>
              </w:rPr>
              <w:t>5.提供双TOFD通道功能，支持双相控阵TOFD一体成像（PAUT），聚焦法则可支持多组PA扫查方式，同时扫描成像；</w:t>
            </w:r>
          </w:p>
          <w:p>
            <w:pPr>
              <w:pStyle w:val="null3"/>
              <w:jc w:val="both"/>
            </w:pPr>
            <w:r>
              <w:rPr>
                <w:rFonts w:ascii="仿宋_GB2312" w:hAnsi="仿宋_GB2312" w:cs="仿宋_GB2312" w:eastAsia="仿宋_GB2312"/>
                <w:sz w:val="21"/>
              </w:rPr>
              <w:t>6.离线分析软件能一键生成报告，能同时显示A、S、C、D扫查图像，能标注焊缝中心和宽度位置，并能自动分析测定缺陷长度、深度、高度、水平等，定位定量参数；</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具备使用双晶面阵探头检测奥氏体不锈钢焊缝的能力，可升级应力检测功能和导波螺栓相控阵检测功能；</w:t>
            </w:r>
          </w:p>
          <w:p>
            <w:pPr>
              <w:pStyle w:val="null3"/>
              <w:jc w:val="both"/>
            </w:pPr>
            <w:r>
              <w:rPr>
                <w:rFonts w:ascii="仿宋_GB2312" w:hAnsi="仿宋_GB2312" w:cs="仿宋_GB2312" w:eastAsia="仿宋_GB2312"/>
                <w:sz w:val="21"/>
              </w:rPr>
              <w:t>8.具备双轴编码器接口，支持二维腐蚀C扫和轮式探头检测；</w:t>
            </w:r>
          </w:p>
          <w:p>
            <w:pPr>
              <w:pStyle w:val="null3"/>
              <w:jc w:val="both"/>
            </w:pPr>
            <w:r>
              <w:rPr>
                <w:rFonts w:ascii="仿宋_GB2312" w:hAnsi="仿宋_GB2312" w:cs="仿宋_GB2312" w:eastAsia="仿宋_GB2312"/>
                <w:sz w:val="21"/>
              </w:rPr>
              <w:t>9.支持相控阵导波螺栓检测功能，实现≥64位晶片环阵探头循环全激发，检测范围≥2000 mm，此功能要求仅显示缺陷信号，滤除侧壁及螺纹信号，应用于带中心孔、无中心孔螺栓，也可适用单头螺纹、双头螺纹等螺栓；</w:t>
            </w:r>
          </w:p>
          <w:p>
            <w:pPr>
              <w:pStyle w:val="null3"/>
              <w:jc w:val="both"/>
            </w:pPr>
            <w:r>
              <w:rPr>
                <w:rFonts w:ascii="仿宋_GB2312" w:hAnsi="仿宋_GB2312" w:cs="仿宋_GB2312" w:eastAsia="仿宋_GB2312"/>
                <w:sz w:val="21"/>
              </w:rPr>
              <w:t>10.图谱分析软件不限次数的在多个终端安装，且无密匙限制；</w:t>
            </w:r>
          </w:p>
          <w:p>
            <w:pPr>
              <w:pStyle w:val="null3"/>
              <w:jc w:val="both"/>
            </w:pPr>
            <w:r>
              <w:rPr>
                <w:rFonts w:ascii="仿宋_GB2312" w:hAnsi="仿宋_GB2312" w:cs="仿宋_GB2312" w:eastAsia="仿宋_GB2312"/>
                <w:sz w:val="21"/>
              </w:rPr>
              <w:t>11.供电方式：锂电池供电，配置两电两充，两块电池持续供电时间≥8小时；</w:t>
            </w:r>
          </w:p>
          <w:p>
            <w:pPr>
              <w:pStyle w:val="null3"/>
              <w:jc w:val="both"/>
            </w:pPr>
            <w:r>
              <w:rPr>
                <w:rFonts w:ascii="仿宋_GB2312" w:hAnsi="仿宋_GB2312" w:cs="仿宋_GB2312" w:eastAsia="仿宋_GB2312"/>
                <w:sz w:val="21"/>
              </w:rPr>
              <w:t>12.设备主机尺寸≤340×230×100 mm；</w:t>
            </w:r>
          </w:p>
          <w:p>
            <w:pPr>
              <w:pStyle w:val="null3"/>
              <w:jc w:val="both"/>
            </w:pPr>
            <w:r>
              <w:rPr>
                <w:rFonts w:ascii="仿宋_GB2312" w:hAnsi="仿宋_GB2312" w:cs="仿宋_GB2312" w:eastAsia="仿宋_GB2312"/>
                <w:sz w:val="21"/>
              </w:rPr>
              <w:t>13.支持≥2路视频显示，保证在编码器上的显示屏上可进行独立操作；</w:t>
            </w:r>
          </w:p>
          <w:p>
            <w:pPr>
              <w:pStyle w:val="null3"/>
              <w:jc w:val="both"/>
            </w:pPr>
            <w:r>
              <w:rPr>
                <w:rFonts w:ascii="仿宋_GB2312" w:hAnsi="仿宋_GB2312" w:cs="仿宋_GB2312" w:eastAsia="仿宋_GB2312"/>
                <w:sz w:val="21"/>
              </w:rPr>
              <w:t>14.储存≥256 GB固态硬盘；</w:t>
            </w:r>
          </w:p>
          <w:p>
            <w:pPr>
              <w:pStyle w:val="null3"/>
              <w:jc w:val="both"/>
            </w:pPr>
            <w:r>
              <w:rPr>
                <w:rFonts w:ascii="仿宋_GB2312" w:hAnsi="仿宋_GB2312" w:cs="仿宋_GB2312" w:eastAsia="仿宋_GB2312"/>
                <w:sz w:val="21"/>
              </w:rPr>
              <w:t>15.外部接口包括但不限于USB3.0(1个)、USB2.0(1个)、1000Mb/s以太网（1个）、HDMI(1个)、双路编码器(1个);</w:t>
            </w:r>
          </w:p>
          <w:p>
            <w:pPr>
              <w:pStyle w:val="null3"/>
              <w:jc w:val="both"/>
            </w:pPr>
            <w:r>
              <w:rPr>
                <w:rFonts w:ascii="仿宋_GB2312" w:hAnsi="仿宋_GB2312" w:cs="仿宋_GB2312" w:eastAsia="仿宋_GB2312"/>
                <w:sz w:val="21"/>
              </w:rPr>
              <w:t>16.防护等级≥IP65；</w:t>
            </w:r>
          </w:p>
          <w:p>
            <w:pPr>
              <w:pStyle w:val="null3"/>
              <w:jc w:val="both"/>
            </w:pPr>
            <w:r>
              <w:rPr>
                <w:rFonts w:ascii="仿宋_GB2312" w:hAnsi="仿宋_GB2312" w:cs="仿宋_GB2312" w:eastAsia="仿宋_GB2312"/>
                <w:sz w:val="21"/>
              </w:rPr>
              <w:t>17.系统带宽≥0.5 MHz，在0.5～20 MHz连续可调；</w:t>
            </w:r>
          </w:p>
          <w:p>
            <w:pPr>
              <w:pStyle w:val="null3"/>
              <w:jc w:val="both"/>
            </w:pPr>
            <w:r>
              <w:rPr>
                <w:rFonts w:ascii="仿宋_GB2312" w:hAnsi="仿宋_GB2312" w:cs="仿宋_GB2312" w:eastAsia="仿宋_GB2312"/>
                <w:sz w:val="21"/>
              </w:rPr>
              <w:t>18.采样率≥100 MHz；</w:t>
            </w:r>
          </w:p>
          <w:p>
            <w:pPr>
              <w:pStyle w:val="null3"/>
              <w:jc w:val="both"/>
            </w:pPr>
            <w:r>
              <w:rPr>
                <w:rFonts w:ascii="仿宋_GB2312" w:hAnsi="仿宋_GB2312" w:cs="仿宋_GB2312" w:eastAsia="仿宋_GB2312"/>
                <w:sz w:val="21"/>
              </w:rPr>
              <w:t>19.最大A扫长度≥8000 mm；</w:t>
            </w:r>
          </w:p>
          <w:p>
            <w:pPr>
              <w:pStyle w:val="null3"/>
              <w:jc w:val="both"/>
            </w:pPr>
            <w:r>
              <w:rPr>
                <w:rFonts w:ascii="仿宋_GB2312" w:hAnsi="仿宋_GB2312" w:cs="仿宋_GB2312" w:eastAsia="仿宋_GB2312"/>
                <w:sz w:val="21"/>
              </w:rPr>
              <w:t>20.脉冲重复频率≥0.2 KHz，在0.2～20 KHz连续可调；</w:t>
            </w:r>
          </w:p>
          <w:p>
            <w:pPr>
              <w:pStyle w:val="null3"/>
              <w:jc w:val="both"/>
            </w:pPr>
            <w:r>
              <w:rPr>
                <w:rFonts w:ascii="仿宋_GB2312" w:hAnsi="仿宋_GB2312" w:cs="仿宋_GB2312" w:eastAsia="仿宋_GB2312"/>
                <w:sz w:val="21"/>
              </w:rPr>
              <w:t>21.延时线精度≤2.5 ns；</w:t>
            </w:r>
          </w:p>
          <w:p>
            <w:pPr>
              <w:pStyle w:val="null3"/>
              <w:jc w:val="both"/>
            </w:pPr>
            <w:r>
              <w:rPr>
                <w:rFonts w:ascii="仿宋_GB2312" w:hAnsi="仿宋_GB2312" w:cs="仿宋_GB2312" w:eastAsia="仿宋_GB2312"/>
                <w:sz w:val="21"/>
              </w:rPr>
              <w:t>22.发射电压≥50 V，在50～100 V连续可调；</w:t>
            </w:r>
          </w:p>
          <w:p>
            <w:pPr>
              <w:pStyle w:val="null3"/>
              <w:jc w:val="both"/>
            </w:pPr>
            <w:r>
              <w:rPr>
                <w:rFonts w:ascii="仿宋_GB2312" w:hAnsi="仿宋_GB2312" w:cs="仿宋_GB2312" w:eastAsia="仿宋_GB2312"/>
                <w:sz w:val="21"/>
              </w:rPr>
              <w:t>23.脉冲宽度≥30 ns，在30～500 ns连续可调，步进≤2.5 ns；</w:t>
            </w:r>
          </w:p>
          <w:p>
            <w:pPr>
              <w:pStyle w:val="null3"/>
              <w:jc w:val="both"/>
            </w:pPr>
            <w:r>
              <w:rPr>
                <w:rFonts w:ascii="仿宋_GB2312" w:hAnsi="仿宋_GB2312" w:cs="仿宋_GB2312" w:eastAsia="仿宋_GB2312"/>
                <w:sz w:val="21"/>
              </w:rPr>
              <w:t>24.显示模式至少包含A/B/C/L/S/3D；</w:t>
            </w:r>
          </w:p>
          <w:p>
            <w:pPr>
              <w:pStyle w:val="null3"/>
              <w:jc w:val="both"/>
            </w:pPr>
            <w:r>
              <w:rPr>
                <w:rFonts w:ascii="仿宋_GB2312" w:hAnsi="仿宋_GB2312" w:cs="仿宋_GB2312" w:eastAsia="仿宋_GB2312"/>
                <w:sz w:val="21"/>
              </w:rPr>
              <w:t>25.检测数据应实时传输、查看、分析，可远程实时更新设备软件。</w:t>
            </w:r>
          </w:p>
          <w:p>
            <w:pPr>
              <w:pStyle w:val="null3"/>
              <w:jc w:val="both"/>
            </w:pP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1.超声波相控阵检测仪1套；</w:t>
            </w:r>
          </w:p>
          <w:p>
            <w:pPr>
              <w:pStyle w:val="null3"/>
              <w:jc w:val="both"/>
            </w:pPr>
            <w:r>
              <w:rPr>
                <w:rFonts w:ascii="仿宋_GB2312" w:hAnsi="仿宋_GB2312" w:cs="仿宋_GB2312" w:eastAsia="仿宋_GB2312"/>
                <w:sz w:val="21"/>
              </w:rPr>
              <w:t>2.座式充电器+充电适配器各1套；</w:t>
            </w:r>
          </w:p>
          <w:p>
            <w:pPr>
              <w:pStyle w:val="null3"/>
              <w:jc w:val="both"/>
            </w:pPr>
            <w:r>
              <w:rPr>
                <w:rFonts w:ascii="仿宋_GB2312" w:hAnsi="仿宋_GB2312" w:cs="仿宋_GB2312" w:eastAsia="仿宋_GB2312"/>
                <w:sz w:val="21"/>
              </w:rPr>
              <w:t>3.电池2块；</w:t>
            </w:r>
          </w:p>
          <w:p>
            <w:pPr>
              <w:pStyle w:val="null3"/>
              <w:jc w:val="both"/>
            </w:pPr>
            <w:r>
              <w:rPr>
                <w:rFonts w:ascii="仿宋_GB2312" w:hAnsi="仿宋_GB2312" w:cs="仿宋_GB2312" w:eastAsia="仿宋_GB2312"/>
                <w:sz w:val="21"/>
              </w:rPr>
              <w:t>4.管道专用扫查器一套，管径范围25～400 mm；</w:t>
            </w:r>
          </w:p>
          <w:p>
            <w:pPr>
              <w:pStyle w:val="null3"/>
              <w:jc w:val="both"/>
            </w:pPr>
            <w:r>
              <w:rPr>
                <w:rFonts w:ascii="仿宋_GB2312" w:hAnsi="仿宋_GB2312" w:cs="仿宋_GB2312" w:eastAsia="仿宋_GB2312"/>
                <w:sz w:val="21"/>
              </w:rPr>
              <w:t>5.相控阵小径管探头7.5L16-0.5自聚焦一套，线缆长度≥2.5 m;</w:t>
            </w:r>
          </w:p>
          <w:p>
            <w:pPr>
              <w:pStyle w:val="null3"/>
              <w:jc w:val="both"/>
            </w:pPr>
            <w:r>
              <w:rPr>
                <w:rFonts w:ascii="仿宋_GB2312" w:hAnsi="仿宋_GB2312" w:cs="仿宋_GB2312" w:eastAsia="仿宋_GB2312"/>
                <w:sz w:val="21"/>
              </w:rPr>
              <w:t>6.相控阵探头:5L32-0.6一套，线缆长度≥2.5 m；</w:t>
            </w:r>
          </w:p>
          <w:p>
            <w:pPr>
              <w:pStyle w:val="null3"/>
              <w:jc w:val="both"/>
            </w:pPr>
            <w:r>
              <w:rPr>
                <w:rFonts w:ascii="仿宋_GB2312" w:hAnsi="仿宋_GB2312" w:cs="仿宋_GB2312" w:eastAsia="仿宋_GB2312"/>
                <w:sz w:val="21"/>
              </w:rPr>
              <w:t>7.相控阵手动扫查器一套，七芯编码器线四根，连接扫查器及主机；</w:t>
            </w:r>
          </w:p>
          <w:p>
            <w:pPr>
              <w:pStyle w:val="null3"/>
              <w:jc w:val="both"/>
            </w:pPr>
            <w:r>
              <w:rPr>
                <w:rFonts w:ascii="仿宋_GB2312" w:hAnsi="仿宋_GB2312" w:cs="仿宋_GB2312" w:eastAsia="仿宋_GB2312"/>
                <w:sz w:val="21"/>
              </w:rPr>
              <w:t>8.相控阵楔块60S四只，带注水孔；</w:t>
            </w:r>
          </w:p>
          <w:p>
            <w:pPr>
              <w:pStyle w:val="null3"/>
              <w:jc w:val="both"/>
            </w:pPr>
            <w:r>
              <w:rPr>
                <w:rFonts w:ascii="仿宋_GB2312" w:hAnsi="仿宋_GB2312" w:cs="仿宋_GB2312" w:eastAsia="仿宋_GB2312"/>
                <w:sz w:val="21"/>
              </w:rPr>
              <w:t>9. 0度相控阵薄膜楔块2块；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0.相控阵楔块:60S十一只（环缝：Φ32，Φ48，Φ60，Φ89，Φ114，Φ159，Φ168，Φ219，Φ273，Φ373，平面楔块各一个）;</w:t>
            </w:r>
          </w:p>
          <w:p>
            <w:pPr>
              <w:pStyle w:val="null3"/>
              <w:jc w:val="both"/>
            </w:pPr>
            <w:r>
              <w:rPr>
                <w:rFonts w:ascii="仿宋_GB2312" w:hAnsi="仿宋_GB2312" w:cs="仿宋_GB2312" w:eastAsia="仿宋_GB2312"/>
                <w:sz w:val="21"/>
              </w:rPr>
              <w:t>11.小径管喷水组件及装置一套；</w:t>
            </w:r>
          </w:p>
          <w:p>
            <w:pPr>
              <w:pStyle w:val="null3"/>
              <w:jc w:val="both"/>
            </w:pPr>
            <w:r>
              <w:rPr>
                <w:rFonts w:ascii="仿宋_GB2312" w:hAnsi="仿宋_GB2312" w:cs="仿宋_GB2312" w:eastAsia="仿宋_GB2312"/>
                <w:sz w:val="21"/>
              </w:rPr>
              <w:t>12.需满足NB/T47013.15-2021标准的A型相控阵标准试块1块，B型相控阵标准试块1块；</w:t>
            </w:r>
          </w:p>
          <w:p>
            <w:pPr>
              <w:pStyle w:val="null3"/>
              <w:jc w:val="both"/>
            </w:pPr>
            <w:r>
              <w:rPr>
                <w:rFonts w:ascii="仿宋_GB2312" w:hAnsi="仿宋_GB2312" w:cs="仿宋_GB2312" w:eastAsia="仿宋_GB2312"/>
                <w:sz w:val="21"/>
              </w:rPr>
              <w:t>13.PRB-Ⅱ对比试块1块；</w:t>
            </w:r>
          </w:p>
          <w:p>
            <w:pPr>
              <w:pStyle w:val="null3"/>
              <w:jc w:val="both"/>
            </w:pPr>
            <w:r>
              <w:rPr>
                <w:rFonts w:ascii="仿宋_GB2312" w:hAnsi="仿宋_GB2312" w:cs="仿宋_GB2312" w:eastAsia="仿宋_GB2312"/>
                <w:sz w:val="21"/>
              </w:rPr>
              <w:t>14.PGS1-8对比试块1套（共8块）；</w:t>
            </w:r>
          </w:p>
          <w:p>
            <w:pPr>
              <w:pStyle w:val="null3"/>
              <w:jc w:val="both"/>
            </w:pPr>
            <w:r>
              <w:rPr>
                <w:rFonts w:ascii="仿宋_GB2312" w:hAnsi="仿宋_GB2312" w:cs="仿宋_GB2312" w:eastAsia="仿宋_GB2312"/>
                <w:sz w:val="21"/>
              </w:rPr>
              <w:t>15.数据处理中心一台：处理器≥酷睿i7，内存≥64G，硬盘≥1TB+2T SSD，显示器≥32英寸，分辨率≥4 K，显卡≥5070Ti</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其他要求</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b/>
              </w:rPr>
              <w:t>一、包装</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产品应为合格产品，</w:t>
            </w:r>
            <w:r>
              <w:rPr>
                <w:rFonts w:ascii="仿宋_GB2312" w:hAnsi="仿宋_GB2312" w:cs="仿宋_GB2312" w:eastAsia="仿宋_GB2312"/>
                <w:sz w:val="21"/>
              </w:rPr>
              <w:t>采购人</w:t>
            </w:r>
            <w:r>
              <w:rPr>
                <w:rFonts w:ascii="仿宋_GB2312" w:hAnsi="仿宋_GB2312" w:cs="仿宋_GB2312" w:eastAsia="仿宋_GB2312"/>
                <w:sz w:val="21"/>
              </w:rPr>
              <w:t>在交货地点验收，如发现损坏、缺件等问题，由</w:t>
            </w:r>
            <w:r>
              <w:rPr>
                <w:rFonts w:ascii="仿宋_GB2312" w:hAnsi="仿宋_GB2312" w:cs="仿宋_GB2312" w:eastAsia="仿宋_GB2312"/>
                <w:sz w:val="21"/>
              </w:rPr>
              <w:t>供应商</w:t>
            </w:r>
            <w:r>
              <w:rPr>
                <w:rFonts w:ascii="仿宋_GB2312" w:hAnsi="仿宋_GB2312" w:cs="仿宋_GB2312" w:eastAsia="仿宋_GB2312"/>
                <w:sz w:val="21"/>
              </w:rPr>
              <w:t>负责。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货物为原厂制造商未启封全新包装，序列号、包装箱号与出厂批号一致并可追朔查阅。</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全部货物须采用相应标准的保护措施进行包装。但不论采取何种包装形式，乙方均需确保无破损，无污染，且方便二次运输。因包装不当造成的损失由乙方负责，并无条件包退包换。</w:t>
            </w:r>
          </w:p>
          <w:p>
            <w:pPr>
              <w:pStyle w:val="null3"/>
              <w:jc w:val="both"/>
            </w:pPr>
            <w:r>
              <w:rPr>
                <w:rFonts w:ascii="仿宋_GB2312" w:hAnsi="仿宋_GB2312" w:cs="仿宋_GB2312" w:eastAsia="仿宋_GB2312"/>
                <w:sz w:val="21"/>
                <w:b/>
              </w:rPr>
              <w:t>二、验收标准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招标文件技术要求；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国内相应的标准、规范；</w:t>
            </w:r>
          </w:p>
          <w:p>
            <w:pPr>
              <w:pStyle w:val="null3"/>
              <w:jc w:val="both"/>
            </w:pPr>
            <w:r>
              <w:rPr>
                <w:rFonts w:ascii="仿宋_GB2312" w:hAnsi="仿宋_GB2312" w:cs="仿宋_GB2312" w:eastAsia="仿宋_GB2312"/>
                <w:sz w:val="21"/>
                <w:b/>
              </w:rPr>
              <w:t>三、第三方计量证书</w:t>
            </w:r>
          </w:p>
          <w:p>
            <w:pPr>
              <w:pStyle w:val="null3"/>
              <w:jc w:val="both"/>
            </w:pPr>
            <w:r>
              <w:rPr>
                <w:rFonts w:ascii="仿宋_GB2312" w:hAnsi="仿宋_GB2312" w:cs="仿宋_GB2312" w:eastAsia="仿宋_GB2312"/>
                <w:sz w:val="21"/>
              </w:rPr>
              <w:t>设备随仪器设备附带法定计量检定机构出具的检定或校准证书（有效期内）。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西安工程大学临潼校区理学院楼338实验室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合同签订后，乙方向甲方提供预付款等额的银行、保险公司等金融机构出具的预付款保函或其他担保措施，甲方向乙方支付合同总价的40%作为预付款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所有物资（设备）到达甲方指定地点，安装、调试完毕并验收合格后，30天内支付合同总价的60%。甲方向乙方付款前，乙方应向甲方开具符合甲方要求的增值税专用发票，若因乙方未开具或逾期开具合法有效的发票，甲方有权顺延付款期限且不承担逾期付款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 2 年。售后服务响应时间（质保期内）：售后服务响应不得超出 12 小时，制定解决方案， 2 个工作日内派人到现场维修。其他售后要求：1）质量保证期按其承诺执行，质保期内乙方对所供货物实行包换、包退、期满后可同时提其它承诺服务；2）质保期内，如产品问题造成短期停用时，则质保期相应顺延，如停用时间累计超过3日则质保期重新计算；3）对采购人的服务通知，若在2日内货物问题不能排除的，供应商必须无条件予以退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包保证金金额为：9000.00元；2、培训内容及要求：仪器的操作以及不同试块检测的操作；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 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中小企业声明函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投标函 供应商认为有必要说明的其他问题.docx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合格，存在法律、法规和招标文件规定的其他无效情形 不合格</w:t>
            </w:r>
          </w:p>
        </w:tc>
        <w:tc>
          <w:tcPr>
            <w:tcW w:type="dxa" w:w="1661"/>
          </w:tcPr>
          <w:p>
            <w:pPr>
              <w:pStyle w:val="null3"/>
            </w:pPr>
            <w:r>
              <w:rPr>
                <w:rFonts w:ascii="仿宋_GB2312" w:hAnsi="仿宋_GB2312" w:cs="仿宋_GB2312" w:eastAsia="仿宋_GB2312"/>
              </w:rPr>
              <w:t>投标函 供应商认为有必要说明的其他问题.docx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30分）：完全符合、响应招标文件要求，没有负偏离计30分，参数每负偏离一项扣0.75分，扣完为止。备注：参数中要求提供证明材料的必须提供证明材料（包括但不限于产品彩页、检测报告、功能截图、盖章的说明书等），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6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提供供应商2022年9月1日至今类似项目合同（以合同签订日期为准），每提供1个得1分，最高得5分。备注：响应文件中提供合同复印件。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