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版本号：ZJZBSX-251115-11025.1B120251212001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采购高性能图形工作站项目(二次)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ZJZBSX-251115-11025.1B1</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采购高性能图形工作站项目(二次)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ZJZBSX-251115-11025.1B1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采购高性能图形工作站项目(二次)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采购高性能图形工作站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原件和身份证原件。法定代表人/负责人授权代表参加投标的，须出具法定代表人/负责人授权书原件及授权代表身份证原件。供应商需在项目电子化交易系统中按要求上传相应证明文件并进行电子签章。</w:t>
      </w:r>
    </w:p>
    <w:p>
      <w:pPr>
        <w:pStyle w:val="null3"/>
      </w:pPr>
      <w:r>
        <w:rPr>
          <w:rFonts w:ascii="仿宋_GB2312" w:hAnsi="仿宋_GB2312" w:cs="仿宋_GB2312" w:eastAsia="仿宋_GB2312"/>
        </w:rPr>
        <w:t>3、财务状况报告：供应商提供2024年度经审计的完整财务审计报告（审计报告应当包含报告正文、资产负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社会保障资金缴纳证明：供应商提供2024年12月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税收缴纳证明：供应商提供2024年12月1日至响应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p>
      <w:pPr>
        <w:pStyle w:val="null3"/>
      </w:pPr>
      <w:r>
        <w:rPr>
          <w:rFonts w:ascii="仿宋_GB2312" w:hAnsi="仿宋_GB2312" w:cs="仿宋_GB2312" w:eastAsia="仿宋_GB2312"/>
        </w:rPr>
        <w:t>7、承诺书：提供具有履行合同所必需的设备和专业技术能力的承诺原件。供应商需在项目电子化交易系统中按要求上传相应证明文件并进行电子签章。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西安邮电大学经办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王佼、祝清江、刘婷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说明：供应商成交后凭成交通知书向采购人缴纳成交金额的5%作为履约保证金，项目验收合格后及时退还。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代理服务费收费标准：按计价格[2002]1980号文件及发改办【2003】857号文件规定标准（50万元以下按标准的100%、50万元（含）以上按标准的80%）支付。具体以代理机构出具的发票为准。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西安邮电大学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陕西中经招标有限公司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20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联系人：王佼</w:t>
      </w:r>
    </w:p>
    <w:p>
      <w:pPr>
        <w:pStyle w:val="null3"/>
      </w:pPr>
      <w:r>
        <w:rPr>
          <w:rFonts w:ascii="仿宋_GB2312" w:hAnsi="仿宋_GB2312" w:cs="仿宋_GB2312" w:eastAsia="仿宋_GB2312"/>
        </w:rPr>
        <w:t>联系电话：029-87888601-8014</w:t>
      </w:r>
    </w:p>
    <w:p>
      <w:pPr>
        <w:pStyle w:val="null3"/>
      </w:pPr>
      <w:r>
        <w:rPr>
          <w:rFonts w:ascii="仿宋_GB2312" w:hAnsi="仿宋_GB2312" w:cs="仿宋_GB2312" w:eastAsia="仿宋_GB2312"/>
        </w:rPr>
        <w:t>地址：西安市碑林区长安北路8B陕西高速大厦16层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0"/>
          <w:color w:val="000000"/>
        </w:rPr>
        <w:t>随着物联网、大数据和人工智能技术的深度融合，工业互联网已成为推动制造业智能化升级的核心引擎。为了与国家及工程实际接轨，西安邮电大学聚焦于设备预测性维护、工业智能质检、工业多模态数据分析、工业智能体开发等关键研究方向，打造工业互联网与智能制造系统，如图</w:t>
      </w:r>
      <w:r>
        <w:rPr>
          <w:rFonts w:ascii="仿宋_GB2312" w:hAnsi="仿宋_GB2312" w:cs="仿宋_GB2312" w:eastAsia="仿宋_GB2312"/>
          <w:sz w:val="20"/>
          <w:color w:val="000000"/>
        </w:rPr>
        <w:t>1所示。工业互联网与智能制造系统相关</w:t>
      </w:r>
      <w:r>
        <w:rPr>
          <w:rFonts w:ascii="仿宋_GB2312" w:hAnsi="仿宋_GB2312" w:cs="仿宋_GB2312" w:eastAsia="仿宋_GB2312"/>
          <w:sz w:val="20"/>
          <w:color w:val="0F1115"/>
          <w:shd w:fill="FFFFFF" w:val="clear"/>
        </w:rPr>
        <w:t>研究依赖于对海量传感器数据、三维点云模型和复杂物理仿真模型的处理与可视化，对底层算力，特别是高性能图形渲染与并行计算能力提出了极高要求，需要图形工作站</w:t>
      </w:r>
      <w:r>
        <w:rPr>
          <w:rFonts w:ascii="仿宋_GB2312" w:hAnsi="仿宋_GB2312" w:cs="仿宋_GB2312" w:eastAsia="仿宋_GB2312"/>
          <w:sz w:val="20"/>
          <w:color w:val="000000"/>
        </w:rPr>
        <w:t>作为工业互联网与智能制造系统的重要服务层基础。然而，我校现有图形工作站算力陈旧，无法满足以下实际需求：</w:t>
      </w:r>
    </w:p>
    <w:p>
      <w:pPr>
        <w:pStyle w:val="null3"/>
        <w:ind w:firstLine="492"/>
      </w:pPr>
      <w:r>
        <w:rPr>
          <w:rFonts w:ascii="仿宋_GB2312" w:hAnsi="仿宋_GB2312" w:cs="仿宋_GB2312" w:eastAsia="仿宋_GB2312"/>
          <w:sz w:val="20"/>
          <w:b/>
          <w:color w:val="000000"/>
        </w:rPr>
        <w:t>在科研层面</w:t>
      </w:r>
      <w:r>
        <w:rPr>
          <w:rFonts w:ascii="仿宋_GB2312" w:hAnsi="仿宋_GB2312" w:cs="仿宋_GB2312" w:eastAsia="仿宋_GB2312"/>
          <w:sz w:val="20"/>
          <w:color w:val="000000"/>
        </w:rPr>
        <w:t>，在处理</w:t>
      </w:r>
      <w:r>
        <w:rPr>
          <w:rFonts w:ascii="仿宋_GB2312" w:hAnsi="仿宋_GB2312" w:cs="仿宋_GB2312" w:eastAsia="仿宋_GB2312"/>
          <w:sz w:val="20"/>
          <w:color w:val="000000"/>
        </w:rPr>
        <w:t>GB级甚至TB级的工业时序数据时，模型训练与数据分析耗时漫长，严重拖慢科研进度。</w:t>
      </w:r>
    </w:p>
    <w:p>
      <w:pPr>
        <w:pStyle w:val="null3"/>
        <w:ind w:firstLine="492"/>
      </w:pPr>
      <w:r>
        <w:rPr>
          <w:rFonts w:ascii="仿宋_GB2312" w:hAnsi="仿宋_GB2312" w:cs="仿宋_GB2312" w:eastAsia="仿宋_GB2312"/>
          <w:sz w:val="20"/>
          <w:b/>
          <w:color w:val="000000"/>
        </w:rPr>
        <w:t>在教学层面</w:t>
      </w:r>
      <w:r>
        <w:rPr>
          <w:rFonts w:ascii="仿宋_GB2312" w:hAnsi="仿宋_GB2312" w:cs="仿宋_GB2312" w:eastAsia="仿宋_GB2312"/>
          <w:sz w:val="20"/>
          <w:color w:val="000000"/>
        </w:rPr>
        <w:t>，无法为研究生和本科生提供先进的实验平台，使得相关课程实验停留在理论或小型</w:t>
      </w:r>
      <w:r>
        <w:rPr>
          <w:rFonts w:ascii="仿宋_GB2312" w:hAnsi="仿宋_GB2312" w:cs="仿宋_GB2312" w:eastAsia="仿宋_GB2312"/>
          <w:sz w:val="20"/>
          <w:color w:val="000000"/>
        </w:rPr>
        <w:t>demo阶段，与学生未来在高端制造企业所需技能脱节。</w:t>
      </w:r>
    </w:p>
    <w:p>
      <w:pPr>
        <w:pStyle w:val="null3"/>
        <w:ind w:firstLine="492"/>
      </w:pPr>
      <w:r>
        <w:rPr>
          <w:rFonts w:ascii="仿宋_GB2312" w:hAnsi="仿宋_GB2312" w:cs="仿宋_GB2312" w:eastAsia="仿宋_GB2312"/>
          <w:sz w:val="20"/>
          <w:b/>
          <w:color w:val="000000"/>
        </w:rPr>
        <w:t>在学科建设层面</w:t>
      </w:r>
      <w:r>
        <w:rPr>
          <w:rFonts w:ascii="仿宋_GB2312" w:hAnsi="仿宋_GB2312" w:cs="仿宋_GB2312" w:eastAsia="仿宋_GB2312"/>
          <w:sz w:val="20"/>
          <w:color w:val="000000"/>
        </w:rPr>
        <w:t>。算力瓶颈制约了我校承接国家级重大科研项目的能力，影响了高水平论文的产出和学科影响力的提升，不利于吸引优秀人才和开展高水平的产学研合作。</w:t>
      </w:r>
    </w:p>
    <w:p>
      <w:pPr>
        <w:pStyle w:val="null3"/>
        <w:ind w:firstLine="570"/>
      </w:pPr>
      <w:r>
        <w:rPr>
          <w:rFonts w:ascii="仿宋_GB2312" w:hAnsi="仿宋_GB2312" w:cs="仿宋_GB2312" w:eastAsia="仿宋_GB2312"/>
          <w:sz w:val="20"/>
          <w:color w:val="000000"/>
        </w:rPr>
        <w:t>由此可见，采购高性能图形工作站是支撑本学科实现科研突破、提升教学质量、强化</w:t>
      </w:r>
      <w:r>
        <w:rPr>
          <w:rFonts w:ascii="仿宋_GB2312" w:hAnsi="仿宋_GB2312" w:cs="仿宋_GB2312" w:eastAsia="仿宋_GB2312"/>
          <w:sz w:val="20"/>
          <w:color w:val="000000"/>
        </w:rPr>
        <w:t>“新工科”建设内涵的必要且紧迫的基础设施投入。</w:t>
      </w:r>
    </w:p>
    <w:p>
      <w:pPr>
        <w:pStyle w:val="null3"/>
        <w:ind w:firstLine="570"/>
      </w:pPr>
      <w:r>
        <w:rPr>
          <w:rFonts w:ascii="仿宋_GB2312" w:hAnsi="仿宋_GB2312" w:cs="仿宋_GB2312" w:eastAsia="仿宋_GB2312"/>
          <w:sz w:val="20"/>
          <w:color w:val="000000"/>
        </w:rPr>
        <w:t>根据上述需求，高性能图形工作站需具备高性能并行计算和大数据内存计算能力，为</w:t>
      </w:r>
      <w:r>
        <w:rPr>
          <w:rFonts w:ascii="仿宋_GB2312" w:hAnsi="仿宋_GB2312" w:cs="仿宋_GB2312" w:eastAsia="仿宋_GB2312"/>
          <w:sz w:val="20"/>
          <w:color w:val="000000"/>
        </w:rPr>
        <w:t>CUDA核心提供完整驱动支持，为PyTorch、TensorFlow等框架提供极致加速，具备大数据内存计算能力，大容量高速内存允许将大型数据集直接载入内存进行分析，避免I/O瓶颈。因此，本项目所采购高性能图形工作站可为相关研究方向提供如下支持：</w:t>
      </w:r>
    </w:p>
    <w:p>
      <w:pPr>
        <w:pStyle w:val="null3"/>
        <w:ind w:firstLine="590"/>
      </w:pPr>
      <w:r>
        <w:rPr>
          <w:rFonts w:ascii="仿宋_GB2312" w:hAnsi="仿宋_GB2312" w:cs="仿宋_GB2312" w:eastAsia="仿宋_GB2312"/>
          <w:sz w:val="20"/>
          <w:b/>
          <w:color w:val="000000"/>
        </w:rPr>
        <w:t>设备预测性维护：</w:t>
      </w:r>
      <w:r>
        <w:rPr>
          <w:rFonts w:ascii="仿宋_GB2312" w:hAnsi="仿宋_GB2312" w:cs="仿宋_GB2312" w:eastAsia="仿宋_GB2312"/>
          <w:sz w:val="20"/>
          <w:color w:val="000000"/>
        </w:rPr>
        <w:t>利用</w:t>
      </w:r>
      <w:r>
        <w:rPr>
          <w:rFonts w:ascii="仿宋_GB2312" w:hAnsi="仿宋_GB2312" w:cs="仿宋_GB2312" w:eastAsia="仿宋_GB2312"/>
          <w:sz w:val="20"/>
          <w:color w:val="000000"/>
        </w:rPr>
        <w:t>GPU并行加速处理TB级时序数据，快速训练LSTM、Transformer等预测模型。</w:t>
      </w:r>
    </w:p>
    <w:p>
      <w:pPr>
        <w:pStyle w:val="null3"/>
        <w:ind w:firstLine="590"/>
      </w:pPr>
      <w:r>
        <w:rPr>
          <w:rFonts w:ascii="仿宋_GB2312" w:hAnsi="仿宋_GB2312" w:cs="仿宋_GB2312" w:eastAsia="仿宋_GB2312"/>
          <w:sz w:val="20"/>
          <w:b/>
          <w:color w:val="000000"/>
        </w:rPr>
        <w:t>工业智能质检：</w:t>
      </w:r>
      <w:r>
        <w:rPr>
          <w:rFonts w:ascii="仿宋_GB2312" w:hAnsi="仿宋_GB2312" w:cs="仿宋_GB2312" w:eastAsia="仿宋_GB2312"/>
          <w:sz w:val="20"/>
          <w:color w:val="000000"/>
        </w:rPr>
        <w:t>利用专业</w:t>
      </w:r>
      <w:r>
        <w:rPr>
          <w:rFonts w:ascii="仿宋_GB2312" w:hAnsi="仿宋_GB2312" w:cs="仿宋_GB2312" w:eastAsia="仿宋_GB2312"/>
          <w:sz w:val="20"/>
          <w:color w:val="000000"/>
        </w:rPr>
        <w:t>GPU的Tensor核心与大量VRAM，高效训练YOLO、ResNet等视觉检测模型，并实现高分辨率图像实时推理。</w:t>
      </w:r>
    </w:p>
    <w:p>
      <w:pPr>
        <w:pStyle w:val="null3"/>
        <w:ind w:firstLine="590"/>
      </w:pPr>
      <w:r>
        <w:rPr>
          <w:rFonts w:ascii="仿宋_GB2312" w:hAnsi="仿宋_GB2312" w:cs="仿宋_GB2312" w:eastAsia="仿宋_GB2312"/>
          <w:sz w:val="20"/>
          <w:b/>
          <w:color w:val="000000"/>
        </w:rPr>
        <w:t>工业多模态数据分析：</w:t>
      </w:r>
      <w:r>
        <w:rPr>
          <w:rFonts w:ascii="仿宋_GB2312" w:hAnsi="仿宋_GB2312" w:cs="仿宋_GB2312" w:eastAsia="仿宋_GB2312"/>
          <w:sz w:val="20"/>
          <w:color w:val="000000"/>
        </w:rPr>
        <w:t>强大的</w:t>
      </w:r>
      <w:r>
        <w:rPr>
          <w:rFonts w:ascii="仿宋_GB2312" w:hAnsi="仿宋_GB2312" w:cs="仿宋_GB2312" w:eastAsia="仿宋_GB2312"/>
          <w:sz w:val="20"/>
          <w:color w:val="000000"/>
        </w:rPr>
        <w:t>CPU/GPU协同与海量内存，支持同时加载和处理图像、数值、文本数据，运行多模态融合模型。</w:t>
      </w:r>
    </w:p>
    <w:p>
      <w:pPr>
        <w:pStyle w:val="null3"/>
        <w:ind w:firstLine="590"/>
      </w:pPr>
      <w:r>
        <w:rPr>
          <w:rFonts w:ascii="仿宋_GB2312" w:hAnsi="仿宋_GB2312" w:cs="仿宋_GB2312" w:eastAsia="仿宋_GB2312"/>
          <w:sz w:val="20"/>
          <w:b/>
          <w:color w:val="000000"/>
        </w:rPr>
        <w:t>工业智能体开发：</w:t>
      </w:r>
      <w:r>
        <w:rPr>
          <w:rFonts w:ascii="仿宋_GB2312" w:hAnsi="仿宋_GB2312" w:cs="仿宋_GB2312" w:eastAsia="仿宋_GB2312"/>
          <w:sz w:val="20"/>
          <w:color w:val="000000"/>
        </w:rPr>
        <w:t>利用</w:t>
      </w:r>
      <w:r>
        <w:rPr>
          <w:rFonts w:ascii="仿宋_GB2312" w:hAnsi="仿宋_GB2312" w:cs="仿宋_GB2312" w:eastAsia="仿宋_GB2312"/>
          <w:sz w:val="20"/>
          <w:color w:val="000000"/>
        </w:rPr>
        <w:t>GPU加速物理仿真引擎，并为强化学习算法提供并行环境模拟，大幅缩短智能体训练周期。</w:t>
      </w:r>
    </w:p>
    <w:p>
      <w:pPr>
        <w:pStyle w:val="null3"/>
        <w:ind w:firstLine="570"/>
      </w:pPr>
      <w:r>
        <w:rPr>
          <w:rFonts w:ascii="仿宋_GB2312" w:hAnsi="仿宋_GB2312" w:cs="仿宋_GB2312" w:eastAsia="仿宋_GB2312"/>
          <w:sz w:val="20"/>
          <w:color w:val="000000"/>
        </w:rPr>
        <w:t>因此，高性能图形工作站可以支撑我校高水平科研攻坚，升级实验教学体系，强化产学研合作深度。在前期调研中，通过对同类产品调研，该级别工作站能够高效处理与本项目研究方向高度相关的多模态数据处理与模型训练任务，推理速度与训练稳定性远超现有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1,158,000.00</w:t>
      </w:r>
    </w:p>
    <w:p>
      <w:pPr>
        <w:pStyle w:val="null3"/>
      </w:pPr>
      <w:r>
        <w:rPr>
          <w:rFonts w:ascii="仿宋_GB2312" w:hAnsi="仿宋_GB2312" w:cs="仿宋_GB2312" w:eastAsia="仿宋_GB2312"/>
        </w:rPr>
        <w:t>采购包最高限价（元）: 1,158,000.00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高性能图形工作站</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1,158,000.00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标的名称：高性能图形工作站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Ind w:type="dxa" w:w="120"/>
              <w:tblBorders>
                <w:top w:val="none" w:color="000000" w:sz="4"/>
                <w:left w:val="none" w:color="000000" w:sz="4"/>
                <w:bottom w:val="none" w:color="000000" w:sz="4"/>
                <w:right w:val="none" w:color="000000" w:sz="4"/>
                <w:insideH w:val="none"/>
                <w:insideV w:val="none"/>
              </w:tblBorders>
            </w:tblPr>
            <w:tblGrid>
              <w:gridCol w:w="306"/>
              <w:gridCol w:w="2131"/>
              <w:gridCol w:w="383"/>
              <w:gridCol w:w="361"/>
            </w:tblGrid>
            <w:tr>
              <w:tc>
                <w:tcPr>
                  <w:tcW w:type="dxa" w:w="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产品名称</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r>
            <w:tr>
              <w:tc>
                <w:tcPr>
                  <w:tcW w:type="dxa" w:w="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2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高性能图形服务器</w:t>
                  </w: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b/>
              </w:rPr>
              <w:t>二、技术标准</w:t>
            </w:r>
            <w:r>
              <w:rPr>
                <w:rFonts w:ascii="仿宋_GB2312" w:hAnsi="仿宋_GB2312" w:cs="仿宋_GB2312" w:eastAsia="仿宋_GB2312"/>
                <w:b/>
              </w:rPr>
              <w:t>/配置要求：</w:t>
            </w:r>
          </w:p>
          <w:p>
            <w:pPr>
              <w:pStyle w:val="null3"/>
              <w:jc w:val="both"/>
            </w:pPr>
            <w:r>
              <w:rPr>
                <w:rFonts w:ascii="仿宋_GB2312" w:hAnsi="仿宋_GB2312" w:cs="仿宋_GB2312" w:eastAsia="仿宋_GB2312"/>
                <w:b/>
              </w:rPr>
              <w:t>1、高性能图形服务器</w:t>
            </w:r>
          </w:p>
          <w:p>
            <w:pPr>
              <w:pStyle w:val="null3"/>
              <w:jc w:val="both"/>
            </w:pPr>
            <w:r>
              <w:rPr>
                <w:rFonts w:ascii="仿宋_GB2312" w:hAnsi="仿宋_GB2312" w:cs="仿宋_GB2312" w:eastAsia="仿宋_GB2312"/>
                <w:sz w:val="20"/>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0"/>
                <w:color w:val="000000"/>
              </w:rPr>
              <w:t>机架式服务器，并提供机架安装条件，高度</w:t>
            </w:r>
            <w:r>
              <w:rPr>
                <w:rFonts w:ascii="仿宋_GB2312" w:hAnsi="仿宋_GB2312" w:cs="仿宋_GB2312" w:eastAsia="仿宋_GB2312"/>
                <w:sz w:val="20"/>
                <w:color w:val="000000"/>
              </w:rPr>
              <w:t>≤4U</w:t>
            </w:r>
          </w:p>
          <w:p>
            <w:pPr>
              <w:pStyle w:val="null3"/>
              <w:jc w:val="both"/>
            </w:pPr>
            <w:r>
              <w:rPr>
                <w:rFonts w:ascii="仿宋_GB2312" w:hAnsi="仿宋_GB2312" w:cs="仿宋_GB2312" w:eastAsia="仿宋_GB2312"/>
                <w:sz w:val="20"/>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0"/>
                <w:color w:val="000000"/>
              </w:rPr>
              <w:t>CPU:最大可扩展支持配置2颗CPU，每颗CPU核心数≥32核，每颗CPU主频≥2.1GHz；缓存≥36MB；搭载数量≥2个；最大睿频频率≥3.4GHZ</w:t>
            </w:r>
          </w:p>
          <w:p>
            <w:pPr>
              <w:pStyle w:val="null3"/>
              <w:jc w:val="both"/>
            </w:pPr>
            <w:r>
              <w:rPr>
                <w:rFonts w:ascii="仿宋_GB2312" w:hAnsi="仿宋_GB2312" w:cs="仿宋_GB2312" w:eastAsia="仿宋_GB2312"/>
                <w:sz w:val="20"/>
                <w:color w:val="000000"/>
              </w:rPr>
              <w:t>3.</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0"/>
                <w:color w:val="000000"/>
              </w:rPr>
              <w:t>内存：</w:t>
            </w:r>
            <w:r>
              <w:rPr>
                <w:rFonts w:ascii="仿宋_GB2312" w:hAnsi="仿宋_GB2312" w:cs="仿宋_GB2312" w:eastAsia="仿宋_GB2312"/>
                <w:sz w:val="20"/>
                <w:color w:val="000000"/>
              </w:rPr>
              <w:t>≥32条内存</w:t>
            </w:r>
            <w:r>
              <w:rPr>
                <w:rFonts w:ascii="仿宋_GB2312" w:hAnsi="仿宋_GB2312" w:cs="仿宋_GB2312" w:eastAsia="仿宋_GB2312"/>
                <w:sz w:val="20"/>
                <w:color w:val="000000"/>
              </w:rPr>
              <w:t>插槽，支持</w:t>
            </w:r>
            <w:r>
              <w:rPr>
                <w:rFonts w:ascii="仿宋_GB2312" w:hAnsi="仿宋_GB2312" w:cs="仿宋_GB2312" w:eastAsia="仿宋_GB2312"/>
                <w:sz w:val="20"/>
                <w:color w:val="000000"/>
              </w:rPr>
              <w:t>DDR5 ECC 4800/5600 MHz 内存，支持高级内存纠错、内存镜像、内存热备等功能，≥1024GB DDR5 RDIMM内存，单条内存≥64GB,内存条数量≥16根</w:t>
            </w:r>
          </w:p>
          <w:p>
            <w:pPr>
              <w:pStyle w:val="null3"/>
              <w:jc w:val="both"/>
            </w:pPr>
            <w:r>
              <w:rPr>
                <w:rFonts w:ascii="仿宋_GB2312" w:hAnsi="仿宋_GB2312" w:cs="仿宋_GB2312" w:eastAsia="仿宋_GB2312"/>
                <w:sz w:val="20"/>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0"/>
                <w:color w:val="000000"/>
              </w:rPr>
              <w:t>存储：热插拔硬盘位</w:t>
            </w:r>
            <w:r>
              <w:rPr>
                <w:rFonts w:ascii="仿宋_GB2312" w:hAnsi="仿宋_GB2312" w:cs="仿宋_GB2312" w:eastAsia="仿宋_GB2312"/>
                <w:sz w:val="20"/>
                <w:color w:val="000000"/>
              </w:rPr>
              <w:t>≥</w:t>
            </w:r>
            <w:r>
              <w:rPr>
                <w:rFonts w:ascii="仿宋_GB2312" w:hAnsi="仿宋_GB2312" w:cs="仿宋_GB2312" w:eastAsia="仿宋_GB2312"/>
                <w:sz w:val="20"/>
                <w:color w:val="000000"/>
              </w:rPr>
              <w:t>24个2.5寸/12个3.5寸，支持SAS/SATA/NVME接口类型，支持16个U.2 NVME硬盘位，≥12个3.5/2.5寸SAS/SATA硬盘位含硬盘支架，其中4盘位可升级NVME硬盘，≥2块2.5寸480GB NVME SSD硬盘，≥2块2.5寸1.92TB NVME SSD 硬盘</w:t>
            </w:r>
          </w:p>
          <w:p>
            <w:pPr>
              <w:pStyle w:val="null3"/>
              <w:jc w:val="both"/>
            </w:pPr>
            <w:r>
              <w:rPr>
                <w:rFonts w:ascii="仿宋_GB2312" w:hAnsi="仿宋_GB2312" w:cs="仿宋_GB2312" w:eastAsia="仿宋_GB2312"/>
                <w:sz w:val="20"/>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0"/>
                <w:color w:val="000000"/>
              </w:rPr>
              <w:t>RAID控制器：≥1块RAID卡，支持RAID 0,1,5,6,10,50,60等多种模式，缓存≥4GB，支持掉电保护功能，支持硬盘直通模式</w:t>
            </w:r>
          </w:p>
          <w:p>
            <w:pPr>
              <w:pStyle w:val="null3"/>
              <w:jc w:val="both"/>
            </w:pPr>
            <w:r>
              <w:rPr>
                <w:rFonts w:ascii="仿宋_GB2312" w:hAnsi="仿宋_GB2312" w:cs="仿宋_GB2312" w:eastAsia="仿宋_GB2312"/>
                <w:sz w:val="20"/>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0"/>
                <w:color w:val="000000"/>
              </w:rPr>
              <w:t>PCle：支持≥11个标准PCle5.0插槽</w:t>
            </w:r>
          </w:p>
          <w:p>
            <w:pPr>
              <w:pStyle w:val="null3"/>
              <w:jc w:val="both"/>
            </w:pPr>
            <w:r>
              <w:rPr>
                <w:rFonts w:ascii="仿宋_GB2312" w:hAnsi="仿宋_GB2312" w:cs="仿宋_GB2312" w:eastAsia="仿宋_GB2312"/>
                <w:sz w:val="20"/>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0"/>
                <w:color w:val="000000"/>
              </w:rPr>
              <w:t>GPU：支持≥10个双宽全高全长的GPU卡，≥8张GPU卡，单卡显存≥48G，显存位宽≥384位，核心数量≥14592，基础频率≥2.28GHz，加速频率≥2.52GHz</w:t>
            </w:r>
          </w:p>
          <w:p>
            <w:pPr>
              <w:pStyle w:val="null3"/>
              <w:jc w:val="both"/>
            </w:pPr>
            <w:r>
              <w:rPr>
                <w:rFonts w:ascii="仿宋_GB2312" w:hAnsi="仿宋_GB2312" w:cs="仿宋_GB2312" w:eastAsia="仿宋_GB2312"/>
                <w:sz w:val="20"/>
                <w:color w:val="000000"/>
              </w:rPr>
              <w:t>8.</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0"/>
                <w:color w:val="000000"/>
              </w:rPr>
              <w:t>电源：</w:t>
            </w:r>
            <w:r>
              <w:rPr>
                <w:rFonts w:ascii="仿宋_GB2312" w:hAnsi="仿宋_GB2312" w:cs="仿宋_GB2312" w:eastAsia="仿宋_GB2312"/>
                <w:sz w:val="20"/>
                <w:color w:val="000000"/>
              </w:rPr>
              <w:t>≥4个2700W钛金电源，支持2+2或3+1冗余模式，转化率≥95%</w:t>
            </w:r>
          </w:p>
          <w:p>
            <w:pPr>
              <w:pStyle w:val="null3"/>
              <w:jc w:val="both"/>
            </w:pPr>
            <w:r>
              <w:rPr>
                <w:rFonts w:ascii="仿宋_GB2312" w:hAnsi="仿宋_GB2312" w:cs="仿宋_GB2312" w:eastAsia="仿宋_GB2312"/>
                <w:sz w:val="20"/>
                <w:color w:val="000000"/>
              </w:rPr>
              <w:t>9.</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0"/>
                <w:color w:val="000000"/>
              </w:rPr>
              <w:t>网口：</w:t>
            </w:r>
            <w:r>
              <w:rPr>
                <w:rFonts w:ascii="仿宋_GB2312" w:hAnsi="仿宋_GB2312" w:cs="仿宋_GB2312" w:eastAsia="仿宋_GB2312"/>
                <w:sz w:val="20"/>
                <w:color w:val="000000"/>
              </w:rPr>
              <w:t>≥2个万兆光口（满配光模块），≥4个千兆电口</w:t>
            </w:r>
          </w:p>
          <w:p>
            <w:pPr>
              <w:pStyle w:val="null3"/>
              <w:jc w:val="both"/>
            </w:pPr>
            <w:r>
              <w:rPr>
                <w:rFonts w:ascii="仿宋_GB2312" w:hAnsi="仿宋_GB2312" w:cs="仿宋_GB2312" w:eastAsia="仿宋_GB2312"/>
                <w:sz w:val="20"/>
                <w:color w:val="000000"/>
              </w:rPr>
              <w:t>10.</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0"/>
                <w:color w:val="000000"/>
              </w:rPr>
              <w:t>提供本地管理功能，具有本地机器状态显示功能，实现独立于操作系统的远程操作，包括远程的开机、关机、重启、监控</w:t>
            </w:r>
            <w:r>
              <w:rPr>
                <w:rFonts w:ascii="仿宋_GB2312" w:hAnsi="仿宋_GB2312" w:cs="仿宋_GB2312" w:eastAsia="仿宋_GB2312"/>
                <w:sz w:val="20"/>
                <w:color w:val="000000"/>
              </w:rPr>
              <w:t>CPU，电源状态，温度等，支持IPMI、SOL、KVM Over IP、虚拟媒体等管理特性；（提供佐证材料。）</w:t>
            </w:r>
          </w:p>
          <w:p>
            <w:pPr>
              <w:pStyle w:val="null3"/>
              <w:jc w:val="both"/>
            </w:pPr>
            <w:r>
              <w:rPr>
                <w:rFonts w:ascii="仿宋_GB2312" w:hAnsi="仿宋_GB2312" w:cs="仿宋_GB2312" w:eastAsia="仿宋_GB2312"/>
                <w:sz w:val="20"/>
                <w:color w:val="000000"/>
              </w:rPr>
              <w:t>11.</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0"/>
                <w:color w:val="000000"/>
              </w:rPr>
              <w:t>提供超融合单节点软件授权（含计算虚拟化、存储虚拟化、网络虚拟化）软件含下述功能：</w:t>
            </w:r>
          </w:p>
          <w:p>
            <w:pPr>
              <w:pStyle w:val="null3"/>
              <w:jc w:val="both"/>
            </w:pPr>
            <w:r>
              <w:rPr>
                <w:rFonts w:ascii="仿宋_GB2312" w:hAnsi="仿宋_GB2312" w:cs="仿宋_GB2312" w:eastAsia="仿宋_GB2312"/>
                <w:sz w:val="20"/>
                <w:color w:val="000000"/>
              </w:rPr>
              <w:t>①统一图形界面管理:提供虚拟化(计算虚拟化、网络虚拟化、存储虚拟化)的统一的图形界面管理软件，可在一个管理平台下完成所有虚拟化的日常管理工作。（提供佐证材料。）</w:t>
            </w:r>
          </w:p>
          <w:p>
            <w:pPr>
              <w:pStyle w:val="null3"/>
              <w:jc w:val="both"/>
            </w:pPr>
            <w:r>
              <w:rPr>
                <w:rFonts w:ascii="仿宋_GB2312" w:hAnsi="仿宋_GB2312" w:cs="仿宋_GB2312" w:eastAsia="仿宋_GB2312"/>
                <w:sz w:val="20"/>
                <w:color w:val="000000"/>
              </w:rPr>
              <w:t>②云主机管理:支持云主机全生命周期管理，创建、开机、关机、重置操作系统、调整配置、删除等操作。（提供佐证材料。）</w:t>
            </w:r>
          </w:p>
          <w:p>
            <w:pPr>
              <w:pStyle w:val="null3"/>
              <w:jc w:val="both"/>
            </w:pPr>
            <w:r>
              <w:rPr>
                <w:rFonts w:ascii="仿宋_GB2312" w:hAnsi="仿宋_GB2312" w:cs="仿宋_GB2312" w:eastAsia="仿宋_GB2312"/>
                <w:sz w:val="20"/>
                <w:color w:val="000000"/>
              </w:rPr>
              <w:t>③多租户管理:支持设置租户可使用的区域、资源群集、项目数量，并支持针对租户设置配额，包含云主机、虚拟内核、内存、网络、子网、路由、外网IP、负载均衡、监听器、安全组、安全组规则、云硬盘、云硬盘快照、云硬盘备份数量、云硬盘备份容量等。（提供佐证材料。）</w:t>
            </w:r>
          </w:p>
          <w:p>
            <w:pPr>
              <w:pStyle w:val="null3"/>
              <w:jc w:val="both"/>
            </w:pPr>
            <w:r>
              <w:rPr>
                <w:rFonts w:ascii="仿宋_GB2312" w:hAnsi="仿宋_GB2312" w:cs="仿宋_GB2312" w:eastAsia="仿宋_GB2312"/>
                <w:sz w:val="20"/>
                <w:color w:val="000000"/>
              </w:rPr>
              <w:t>④日志审计:支持记录用户在平台内的行为操作，以供审计需要，在操作日志中支持按时间段、对象ID、对象名称、任务、用户名称、用户ID、项目名称、项目ID等条件査询，并支持导出。（提供佐证材料。）</w:t>
            </w:r>
          </w:p>
          <w:p>
            <w:pPr>
              <w:pStyle w:val="null3"/>
              <w:jc w:val="both"/>
            </w:pPr>
            <w:r>
              <w:rPr>
                <w:rFonts w:ascii="仿宋_GB2312" w:hAnsi="仿宋_GB2312" w:cs="仿宋_GB2312" w:eastAsia="仿宋_GB2312"/>
                <w:sz w:val="20"/>
                <w:color w:val="000000"/>
              </w:rPr>
              <w:t>⑤审批管理:支持创建审批流程，灵活选择应用于子网、弹性伸缩、负载均衡、云主机、对象存储.路由器等服务，支持设置审批人和审批模式(会签及或签)，自定义流程，并支持设置审批节点上限。（提供佐证材料。）</w:t>
            </w:r>
          </w:p>
          <w:p>
            <w:pPr>
              <w:pStyle w:val="null3"/>
              <w:jc w:val="both"/>
            </w:pPr>
            <w:r>
              <w:rPr>
                <w:rFonts w:ascii="仿宋_GB2312" w:hAnsi="仿宋_GB2312" w:cs="仿宋_GB2312" w:eastAsia="仿宋_GB2312"/>
                <w:sz w:val="20"/>
                <w:color w:val="000000"/>
              </w:rPr>
              <w:t>⑥重置状态：为了应对云主机突发问题，需要紧急修复，要求云主机支持重置状态功能，提供运行中/错误状态供选择。（提供佐证材料。）</w:t>
            </w:r>
          </w:p>
          <w:p>
            <w:pPr>
              <w:pStyle w:val="null3"/>
              <w:jc w:val="both"/>
            </w:pPr>
            <w:r>
              <w:rPr>
                <w:rFonts w:ascii="仿宋_GB2312" w:hAnsi="仿宋_GB2312" w:cs="仿宋_GB2312" w:eastAsia="仿宋_GB2312"/>
                <w:sz w:val="20"/>
                <w:color w:val="000000"/>
              </w:rPr>
              <w:t>⑦消息公告：支持创建消息公告，可设置消息类型（故障通知、活动通知、产品通知、资源通知、账户通知）、有效时间、标题内容、消息内容（图片、表格、字体颜色等），并支持基于时间段、标题内容、消息类型、创建时间、发布时间等信息查询。（提供佐证材料。）</w:t>
            </w:r>
          </w:p>
          <w:p>
            <w:pPr>
              <w:pStyle w:val="null3"/>
              <w:jc w:val="both"/>
            </w:pPr>
            <w:r>
              <w:rPr>
                <w:rFonts w:ascii="仿宋_GB2312" w:hAnsi="仿宋_GB2312" w:cs="仿宋_GB2312" w:eastAsia="仿宋_GB2312"/>
                <w:sz w:val="20"/>
                <w:color w:val="000000"/>
              </w:rPr>
              <w:t>⑧消息设置：支持配置资源到期提醒周期、账户余额不足提醒周期、账户欠费提醒周期。（提供佐证材料。）</w:t>
            </w:r>
          </w:p>
          <w:p>
            <w:pPr>
              <w:pStyle w:val="null3"/>
              <w:jc w:val="both"/>
            </w:pPr>
            <w:r>
              <w:rPr>
                <w:rFonts w:ascii="仿宋_GB2312" w:hAnsi="仿宋_GB2312" w:cs="仿宋_GB2312" w:eastAsia="仿宋_GB2312"/>
                <w:sz w:val="20"/>
                <w:color w:val="000000"/>
              </w:rPr>
              <w:t>⑨服务管理：为了简化运维，要求软件支持在可视化界面查看Nova、cinder、heat等服务状态。负载均衡：提供L4-L7负载均衡服务，支持 TCP/HTTP 协议负载均衡，支持轮询、最小连接数、源 IP 转发等算法。支持基于TCP、HTTP的监听服务，当客户端发起访问请求时，负载均衡器可通过轮训、最小连接数、源IP对的方式将访问压力分发到后端资源池内的多台服务器上，支持基于PING、TCP、HTTP等协议的负载均衡健康检查。（提供佐证材料。）</w:t>
            </w:r>
          </w:p>
          <w:p>
            <w:pPr>
              <w:pStyle w:val="null3"/>
              <w:jc w:val="both"/>
            </w:pPr>
            <w:r>
              <w:rPr>
                <w:rFonts w:ascii="仿宋_GB2312" w:hAnsi="仿宋_GB2312" w:cs="仿宋_GB2312" w:eastAsia="仿宋_GB2312"/>
                <w:sz w:val="20"/>
                <w:color w:val="000000"/>
              </w:rPr>
              <w:t>⑩需具有系统集成、管理功能、WEB端功能、桌面客户端功能、移动客户端功能；支持后端与Ceph/S3对接；支持部署多个网盘节点组成集群，提供扩展性和高可用保证；直接使用AD中的用户登录，可以从AD中导入用户，AD中增删用户可同步到网盘数据库；支持登陆时采用短信或者二维码的方式进行双因素验证，提升账户安全性；支持用户添加、删除、禁用、启用；支持单个用户分别设定空间配额；把AD中已有的群组导入为网盘群组；管理员可以查看系统中的资料库，删除或者转移所有者；管理员可查看和管理连接到服务器的客户端；可定期扫描服务器上的文件，并生成报告；具有多目录同步；挂载盘客户端；具有移动客户端功能，Android客户端和IOS客户端；支持浏览功能，上传下载，IOS文档交互；文件操作支持外链分享；协作和分享功能，共享文件夹；共享权限；子目录权限设置；共享用户搜集；群组共享；退出共享；外链功能，外链密码；外链有效期；上传外链；外链管理；WEB端需举报大文件上传；批量上传；打包下载；版本回收；文件锁定；支持图片在线预览；支持文件名目录名搜索；锁定文件只允许自己编辑。（提供软件著作权证书）</w:t>
            </w:r>
          </w:p>
          <w:p>
            <w:pPr>
              <w:pStyle w:val="null3"/>
              <w:jc w:val="both"/>
            </w:pPr>
            <w:r>
              <w:rPr>
                <w:rFonts w:ascii="仿宋_GB2312" w:hAnsi="仿宋_GB2312" w:cs="仿宋_GB2312" w:eastAsia="仿宋_GB2312"/>
                <w:sz w:val="20"/>
                <w:color w:val="000000"/>
              </w:rPr>
              <w:t>12.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w:t>
            </w:r>
            <w:r>
              <w:rPr>
                <w:rFonts w:ascii="仿宋_GB2312" w:hAnsi="仿宋_GB2312" w:cs="仿宋_GB2312" w:eastAsia="仿宋_GB2312"/>
                <w:sz w:val="20"/>
                <w:color w:val="000000"/>
              </w:rPr>
              <w:t>杀毒软件：</w:t>
            </w:r>
          </w:p>
          <w:p>
            <w:pPr>
              <w:pStyle w:val="null3"/>
              <w:jc w:val="both"/>
            </w:pPr>
            <w:r>
              <w:rPr>
                <w:rFonts w:ascii="仿宋_GB2312" w:hAnsi="仿宋_GB2312" w:cs="仿宋_GB2312" w:eastAsia="仿宋_GB2312"/>
                <w:sz w:val="20"/>
                <w:color w:val="000000"/>
              </w:rPr>
              <w:t>①扫描速度</w:t>
            </w:r>
            <w:r>
              <w:rPr>
                <w:rFonts w:ascii="仿宋_GB2312" w:hAnsi="仿宋_GB2312" w:cs="仿宋_GB2312" w:eastAsia="仿宋_GB2312"/>
                <w:sz w:val="20"/>
                <w:color w:val="000000"/>
              </w:rPr>
              <w:t>:</w:t>
            </w:r>
            <w:r>
              <w:rPr>
                <w:rFonts w:ascii="仿宋_GB2312" w:hAnsi="仿宋_GB2312" w:cs="仿宋_GB2312" w:eastAsia="仿宋_GB2312"/>
                <w:sz w:val="20"/>
                <w:color w:val="000000"/>
              </w:rPr>
              <w:t>快速扫描</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60</w:t>
            </w:r>
            <w:r>
              <w:rPr>
                <w:rFonts w:ascii="仿宋_GB2312" w:hAnsi="仿宋_GB2312" w:cs="仿宋_GB2312" w:eastAsia="仿宋_GB2312"/>
                <w:sz w:val="20"/>
                <w:color w:val="000000"/>
              </w:rPr>
              <w:t>秒</w:t>
            </w:r>
            <w:r>
              <w:rPr>
                <w:rFonts w:ascii="仿宋_GB2312" w:hAnsi="仿宋_GB2312" w:cs="仿宋_GB2312" w:eastAsia="仿宋_GB2312"/>
                <w:sz w:val="20"/>
                <w:color w:val="000000"/>
              </w:rPr>
              <w:t>(</w:t>
            </w:r>
            <w:r>
              <w:rPr>
                <w:rFonts w:ascii="仿宋_GB2312" w:hAnsi="仿宋_GB2312" w:cs="仿宋_GB2312" w:eastAsia="仿宋_GB2312"/>
                <w:sz w:val="20"/>
                <w:color w:val="000000"/>
              </w:rPr>
              <w:t>系统关键路径</w:t>
            </w:r>
            <w:r>
              <w:rPr>
                <w:rFonts w:ascii="仿宋_GB2312" w:hAnsi="仿宋_GB2312" w:cs="仿宋_GB2312" w:eastAsia="仿宋_GB2312"/>
                <w:sz w:val="20"/>
                <w:color w:val="000000"/>
              </w:rPr>
              <w:t>)</w:t>
            </w:r>
            <w:r>
              <w:rPr>
                <w:rFonts w:ascii="仿宋_GB2312" w:hAnsi="仿宋_GB2312" w:cs="仿宋_GB2312" w:eastAsia="仿宋_GB2312"/>
                <w:sz w:val="20"/>
                <w:color w:val="000000"/>
              </w:rPr>
              <w:t>，全盘扫描</w:t>
            </w:r>
            <w:r>
              <w:rPr>
                <w:rFonts w:ascii="仿宋_GB2312" w:hAnsi="仿宋_GB2312" w:cs="仿宋_GB2312" w:eastAsia="仿宋_GB2312"/>
                <w:sz w:val="20"/>
                <w:color w:val="000000"/>
              </w:rPr>
              <w:t>:</w:t>
            </w:r>
            <w:r>
              <w:rPr>
                <w:rFonts w:ascii="仿宋_GB2312" w:hAnsi="仿宋_GB2312" w:cs="仿宋_GB2312" w:eastAsia="仿宋_GB2312"/>
                <w:sz w:val="20"/>
                <w:color w:val="000000"/>
              </w:rPr>
              <w:t>根据磁盘大小</w:t>
            </w:r>
            <w:r>
              <w:rPr>
                <w:rFonts w:ascii="仿宋_GB2312" w:hAnsi="仿宋_GB2312" w:cs="仿宋_GB2312" w:eastAsia="仿宋_GB2312"/>
                <w:sz w:val="20"/>
                <w:color w:val="000000"/>
              </w:rPr>
              <w:t>,100-500MB/s</w:t>
            </w:r>
            <w:r>
              <w:rPr>
                <w:rFonts w:ascii="仿宋_GB2312" w:hAnsi="仿宋_GB2312" w:cs="仿宋_GB2312" w:eastAsia="仿宋_GB2312"/>
                <w:sz w:val="20"/>
                <w:color w:val="000000"/>
              </w:rPr>
              <w:t>，文件扫描吞吐量</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1000</w:t>
            </w:r>
            <w:r>
              <w:rPr>
                <w:rFonts w:ascii="仿宋_GB2312" w:hAnsi="仿宋_GB2312" w:cs="仿宋_GB2312" w:eastAsia="仿宋_GB2312"/>
                <w:sz w:val="20"/>
                <w:color w:val="000000"/>
              </w:rPr>
              <w:t>文件</w:t>
            </w:r>
            <w:r>
              <w:rPr>
                <w:rFonts w:ascii="仿宋_GB2312" w:hAnsi="仿宋_GB2312" w:cs="仿宋_GB2312" w:eastAsia="仿宋_GB2312"/>
                <w:sz w:val="20"/>
                <w:color w:val="000000"/>
              </w:rPr>
              <w:t>/</w:t>
            </w:r>
            <w:r>
              <w:rPr>
                <w:rFonts w:ascii="仿宋_GB2312" w:hAnsi="仿宋_GB2312" w:cs="仿宋_GB2312" w:eastAsia="仿宋_GB2312"/>
                <w:sz w:val="20"/>
                <w:color w:val="000000"/>
              </w:rPr>
              <w:t>秒；</w:t>
            </w:r>
          </w:p>
          <w:p>
            <w:pPr>
              <w:pStyle w:val="null3"/>
              <w:jc w:val="both"/>
            </w:pPr>
            <w:r>
              <w:rPr>
                <w:rFonts w:ascii="仿宋_GB2312" w:hAnsi="仿宋_GB2312" w:cs="仿宋_GB2312" w:eastAsia="仿宋_GB2312"/>
                <w:sz w:val="20"/>
                <w:color w:val="000000"/>
              </w:rPr>
              <w:t>②病毒库规模</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支持病毒签名数量</w:t>
            </w:r>
            <w:r>
              <w:rPr>
                <w:rFonts w:ascii="仿宋_GB2312" w:hAnsi="仿宋_GB2312" w:cs="仿宋_GB2312" w:eastAsia="仿宋_GB2312"/>
                <w:sz w:val="20"/>
                <w:color w:val="000000"/>
              </w:rPr>
              <w:t>≥</w:t>
            </w:r>
            <w:r>
              <w:rPr>
                <w:rFonts w:ascii="仿宋_GB2312" w:hAnsi="仿宋_GB2312" w:cs="仿宋_GB2312" w:eastAsia="仿宋_GB2312"/>
                <w:sz w:val="20"/>
                <w:color w:val="000000"/>
              </w:rPr>
              <w:t>10000</w:t>
            </w:r>
            <w:r>
              <w:rPr>
                <w:rFonts w:ascii="仿宋_GB2312" w:hAnsi="仿宋_GB2312" w:cs="仿宋_GB2312" w:eastAsia="仿宋_GB2312"/>
                <w:sz w:val="20"/>
                <w:color w:val="000000"/>
              </w:rPr>
              <w:t>个，病毒库缓存大小</w:t>
            </w:r>
            <w:r>
              <w:rPr>
                <w:rFonts w:ascii="仿宋_GB2312" w:hAnsi="仿宋_GB2312" w:cs="仿宋_GB2312" w:eastAsia="仿宋_GB2312"/>
                <w:sz w:val="20"/>
                <w:color w:val="000000"/>
              </w:rPr>
              <w:t>≥</w:t>
            </w:r>
            <w:r>
              <w:rPr>
                <w:rFonts w:ascii="仿宋_GB2312" w:hAnsi="仿宋_GB2312" w:cs="仿宋_GB2312" w:eastAsia="仿宋_GB2312"/>
                <w:sz w:val="20"/>
                <w:color w:val="000000"/>
              </w:rPr>
              <w:t>10000</w:t>
            </w:r>
            <w:r>
              <w:rPr>
                <w:rFonts w:ascii="仿宋_GB2312" w:hAnsi="仿宋_GB2312" w:cs="仿宋_GB2312" w:eastAsia="仿宋_GB2312"/>
                <w:sz w:val="20"/>
                <w:color w:val="000000"/>
              </w:rPr>
              <w:t>条记录，扫描算法</w:t>
            </w:r>
            <w:r>
              <w:rPr>
                <w:rFonts w:ascii="仿宋_GB2312" w:hAnsi="仿宋_GB2312" w:cs="仿宋_GB2312" w:eastAsia="仿宋_GB2312"/>
                <w:sz w:val="20"/>
                <w:color w:val="000000"/>
              </w:rPr>
              <w:t>:</w:t>
            </w:r>
            <w:r>
              <w:rPr>
                <w:rFonts w:ascii="仿宋_GB2312" w:hAnsi="仿宋_GB2312" w:cs="仿宋_GB2312" w:eastAsia="仿宋_GB2312"/>
                <w:sz w:val="20"/>
                <w:color w:val="000000"/>
              </w:rPr>
              <w:t>哈希算法</w:t>
            </w:r>
            <w:r>
              <w:rPr>
                <w:rFonts w:ascii="仿宋_GB2312" w:hAnsi="仿宋_GB2312" w:cs="仿宋_GB2312" w:eastAsia="仿宋_GB2312"/>
                <w:sz w:val="20"/>
                <w:color w:val="000000"/>
              </w:rPr>
              <w:t>SHA-256</w:t>
            </w:r>
            <w:r>
              <w:rPr>
                <w:rFonts w:ascii="仿宋_GB2312" w:hAnsi="仿宋_GB2312" w:cs="仿宋_GB2312" w:eastAsia="仿宋_GB2312"/>
                <w:sz w:val="20"/>
                <w:color w:val="000000"/>
              </w:rPr>
              <w:t>，签名匹配</w:t>
            </w:r>
            <w:r>
              <w:rPr>
                <w:rFonts w:ascii="仿宋_GB2312" w:hAnsi="仿宋_GB2312" w:cs="仿宋_GB2312" w:eastAsia="仿宋_GB2312"/>
                <w:sz w:val="20"/>
                <w:color w:val="000000"/>
              </w:rPr>
              <w:t>:</w:t>
            </w:r>
            <w:r>
              <w:rPr>
                <w:rFonts w:ascii="仿宋_GB2312" w:hAnsi="仿宋_GB2312" w:cs="仿宋_GB2312" w:eastAsia="仿宋_GB2312"/>
                <w:sz w:val="20"/>
                <w:color w:val="000000"/>
              </w:rPr>
              <w:t>完全哈希匹配；</w:t>
            </w:r>
          </w:p>
          <w:p>
            <w:pPr>
              <w:pStyle w:val="null3"/>
              <w:jc w:val="both"/>
            </w:pPr>
            <w:r>
              <w:rPr>
                <w:rFonts w:ascii="仿宋_GB2312" w:hAnsi="仿宋_GB2312" w:cs="仿宋_GB2312" w:eastAsia="仿宋_GB2312"/>
                <w:sz w:val="20"/>
                <w:color w:val="000000"/>
              </w:rPr>
              <w:t>③扫描覆盖范围快速扫描路径数</w:t>
            </w:r>
            <w:r>
              <w:rPr>
                <w:rFonts w:ascii="仿宋_GB2312" w:hAnsi="仿宋_GB2312" w:cs="仿宋_GB2312" w:eastAsia="仿宋_GB2312"/>
                <w:sz w:val="20"/>
                <w:color w:val="000000"/>
              </w:rPr>
              <w:t>:Windows:7</w:t>
            </w:r>
            <w:r>
              <w:rPr>
                <w:rFonts w:ascii="仿宋_GB2312" w:hAnsi="仿宋_GB2312" w:cs="仿宋_GB2312" w:eastAsia="仿宋_GB2312"/>
                <w:sz w:val="20"/>
                <w:color w:val="000000"/>
              </w:rPr>
              <w:t>个关键路径，</w:t>
            </w:r>
            <w:r>
              <w:rPr>
                <w:rFonts w:ascii="仿宋_GB2312" w:hAnsi="仿宋_GB2312" w:cs="仿宋_GB2312" w:eastAsia="仿宋_GB2312"/>
                <w:sz w:val="20"/>
                <w:color w:val="000000"/>
              </w:rPr>
              <w:t>Linux:8</w:t>
            </w:r>
            <w:r>
              <w:rPr>
                <w:rFonts w:ascii="仿宋_GB2312" w:hAnsi="仿宋_GB2312" w:cs="仿宋_GB2312" w:eastAsia="仿宋_GB2312"/>
                <w:sz w:val="20"/>
                <w:color w:val="000000"/>
              </w:rPr>
              <w:t>个关键路径扫描深度</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支持递归扫描</w:t>
            </w:r>
            <w:r>
              <w:rPr>
                <w:rFonts w:ascii="仿宋_GB2312" w:hAnsi="仿宋_GB2312" w:cs="仿宋_GB2312" w:eastAsia="仿宋_GB2312"/>
                <w:sz w:val="20"/>
                <w:color w:val="000000"/>
              </w:rPr>
              <w:t>,</w:t>
            </w:r>
            <w:r>
              <w:rPr>
                <w:rFonts w:ascii="仿宋_GB2312" w:hAnsi="仿宋_GB2312" w:cs="仿宋_GB2312" w:eastAsia="仿宋_GB2312"/>
                <w:sz w:val="20"/>
                <w:color w:val="000000"/>
              </w:rPr>
              <w:t>无限制层级文件类型支持</w:t>
            </w:r>
            <w:r>
              <w:rPr>
                <w:rFonts w:ascii="仿宋_GB2312" w:hAnsi="仿宋_GB2312" w:cs="仿宋_GB2312" w:eastAsia="仿宋_GB2312"/>
                <w:sz w:val="20"/>
                <w:color w:val="000000"/>
              </w:rPr>
              <w:t>:</w:t>
            </w:r>
            <w:r>
              <w:rPr>
                <w:rFonts w:ascii="仿宋_GB2312" w:hAnsi="仿宋_GB2312" w:cs="仿宋_GB2312" w:eastAsia="仿宋_GB2312"/>
                <w:sz w:val="20"/>
                <w:color w:val="000000"/>
              </w:rPr>
              <w:t>全文件类型</w:t>
            </w:r>
            <w:r>
              <w:rPr>
                <w:rFonts w:ascii="仿宋_GB2312" w:hAnsi="仿宋_GB2312" w:cs="仿宋_GB2312" w:eastAsia="仿宋_GB2312"/>
                <w:sz w:val="20"/>
                <w:color w:val="000000"/>
              </w:rPr>
              <w:t>(</w:t>
            </w:r>
            <w:r>
              <w:rPr>
                <w:rFonts w:ascii="仿宋_GB2312" w:hAnsi="仿宋_GB2312" w:cs="仿宋_GB2312" w:eastAsia="仿宋_GB2312"/>
                <w:sz w:val="20"/>
                <w:color w:val="000000"/>
              </w:rPr>
              <w:t>二进制匹配</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④威胁检测威胁类型识别</w:t>
            </w:r>
            <w:r>
              <w:rPr>
                <w:rFonts w:ascii="仿宋_GB2312" w:hAnsi="仿宋_GB2312" w:cs="仿宋_GB2312" w:eastAsia="仿宋_GB2312"/>
                <w:sz w:val="20"/>
                <w:color w:val="000000"/>
              </w:rPr>
              <w:t>:Trojan(</w:t>
            </w:r>
            <w:r>
              <w:rPr>
                <w:rFonts w:ascii="仿宋_GB2312" w:hAnsi="仿宋_GB2312" w:cs="仿宋_GB2312" w:eastAsia="仿宋_GB2312"/>
                <w:sz w:val="20"/>
                <w:color w:val="000000"/>
              </w:rPr>
              <w:t>木马</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Worm(</w:t>
            </w:r>
            <w:r>
              <w:rPr>
                <w:rFonts w:ascii="仿宋_GB2312" w:hAnsi="仿宋_GB2312" w:cs="仿宋_GB2312" w:eastAsia="仿宋_GB2312"/>
                <w:sz w:val="20"/>
                <w:color w:val="000000"/>
              </w:rPr>
              <w:t>蠕虫</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Spyware(</w:t>
            </w:r>
            <w:r>
              <w:rPr>
                <w:rFonts w:ascii="仿宋_GB2312" w:hAnsi="仿宋_GB2312" w:cs="仿宋_GB2312" w:eastAsia="仿宋_GB2312"/>
                <w:sz w:val="20"/>
                <w:color w:val="000000"/>
              </w:rPr>
              <w:t>间谍软件</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Adware(</w:t>
            </w:r>
            <w:r>
              <w:rPr>
                <w:rFonts w:ascii="仿宋_GB2312" w:hAnsi="仿宋_GB2312" w:cs="仿宋_GB2312" w:eastAsia="仿宋_GB2312"/>
                <w:sz w:val="20"/>
                <w:color w:val="000000"/>
              </w:rPr>
              <w:t>广告软件</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Ransomware(</w:t>
            </w:r>
            <w:r>
              <w:rPr>
                <w:rFonts w:ascii="仿宋_GB2312" w:hAnsi="仿宋_GB2312" w:cs="仿宋_GB2312" w:eastAsia="仿宋_GB2312"/>
                <w:sz w:val="20"/>
                <w:color w:val="000000"/>
              </w:rPr>
              <w:t>勒索软件</w:t>
            </w:r>
            <w:r>
              <w:rPr>
                <w:rFonts w:ascii="仿宋_GB2312" w:hAnsi="仿宋_GB2312" w:cs="仿宋_GB2312" w:eastAsia="仿宋_GB2312"/>
                <w:sz w:val="20"/>
                <w:color w:val="000000"/>
              </w:rPr>
              <w:t>)</w:t>
            </w:r>
            <w:r>
              <w:rPr>
                <w:rFonts w:ascii="仿宋_GB2312" w:hAnsi="仿宋_GB2312" w:cs="仿宋_GB2312" w:eastAsia="仿宋_GB2312"/>
                <w:sz w:val="20"/>
                <w:color w:val="000000"/>
              </w:rPr>
              <w:t>和</w:t>
            </w:r>
            <w:r>
              <w:rPr>
                <w:rFonts w:ascii="仿宋_GB2312" w:hAnsi="仿宋_GB2312" w:cs="仿宋_GB2312" w:eastAsia="仿宋_GB2312"/>
                <w:sz w:val="20"/>
                <w:color w:val="000000"/>
              </w:rPr>
              <w:t>Virus(</w:t>
            </w:r>
            <w:r>
              <w:rPr>
                <w:rFonts w:ascii="仿宋_GB2312" w:hAnsi="仿宋_GB2312" w:cs="仿宋_GB2312" w:eastAsia="仿宋_GB2312"/>
                <w:sz w:val="20"/>
                <w:color w:val="000000"/>
              </w:rPr>
              <w:t>传统病毒</w:t>
            </w:r>
            <w:r>
              <w:rPr>
                <w:rFonts w:ascii="仿宋_GB2312" w:hAnsi="仿宋_GB2312" w:cs="仿宋_GB2312" w:eastAsia="仿宋_GB2312"/>
                <w:sz w:val="20"/>
                <w:color w:val="000000"/>
              </w:rPr>
              <w:t>)</w:t>
            </w:r>
            <w:r>
              <w:rPr>
                <w:rFonts w:ascii="仿宋_GB2312" w:hAnsi="仿宋_GB2312" w:cs="仿宋_GB2312" w:eastAsia="仿宋_GB2312"/>
                <w:sz w:val="20"/>
                <w:color w:val="000000"/>
              </w:rPr>
              <w:t>等，检测准确率</w:t>
            </w:r>
            <w:r>
              <w:rPr>
                <w:rFonts w:ascii="仿宋_GB2312" w:hAnsi="仿宋_GB2312" w:cs="仿宋_GB2312" w:eastAsia="仿宋_GB2312"/>
                <w:sz w:val="20"/>
                <w:color w:val="000000"/>
              </w:rPr>
              <w:t>:</w:t>
            </w:r>
            <w:r>
              <w:rPr>
                <w:rFonts w:ascii="仿宋_GB2312" w:hAnsi="仿宋_GB2312" w:cs="仿宋_GB2312" w:eastAsia="仿宋_GB2312"/>
                <w:sz w:val="20"/>
                <w:color w:val="000000"/>
              </w:rPr>
              <w:t>已知病毒检测率</w:t>
            </w:r>
            <w:r>
              <w:rPr>
                <w:rFonts w:ascii="仿宋_GB2312" w:hAnsi="仿宋_GB2312" w:cs="仿宋_GB2312" w:eastAsia="仿宋_GB2312"/>
                <w:sz w:val="20"/>
                <w:color w:val="000000"/>
              </w:rPr>
              <w:t>:100%(</w:t>
            </w:r>
            <w:r>
              <w:rPr>
                <w:rFonts w:ascii="仿宋_GB2312" w:hAnsi="仿宋_GB2312" w:cs="仿宋_GB2312" w:eastAsia="仿宋_GB2312"/>
                <w:sz w:val="20"/>
                <w:color w:val="000000"/>
              </w:rPr>
              <w:t>基于病毒库</w:t>
            </w:r>
            <w:r>
              <w:rPr>
                <w:rFonts w:ascii="仿宋_GB2312" w:hAnsi="仿宋_GB2312" w:cs="仿宋_GB2312" w:eastAsia="仿宋_GB2312"/>
                <w:sz w:val="20"/>
                <w:color w:val="000000"/>
              </w:rPr>
              <w:t>)</w:t>
            </w:r>
            <w:r>
              <w:rPr>
                <w:rFonts w:ascii="仿宋_GB2312" w:hAnsi="仿宋_GB2312" w:cs="仿宋_GB2312" w:eastAsia="仿宋_GB2312"/>
                <w:sz w:val="20"/>
                <w:color w:val="000000"/>
              </w:rPr>
              <w:t>，误报率</w:t>
            </w:r>
            <w:r>
              <w:rPr>
                <w:rFonts w:ascii="仿宋_GB2312" w:hAnsi="仿宋_GB2312" w:cs="仿宋_GB2312" w:eastAsia="仿宋_GB2312"/>
                <w:sz w:val="20"/>
                <w:color w:val="000000"/>
              </w:rPr>
              <w:t>:</w:t>
            </w:r>
            <w:r>
              <w:rPr>
                <w:rFonts w:ascii="仿宋_GB2312" w:hAnsi="仿宋_GB2312" w:cs="仿宋_GB2312" w:eastAsia="仿宋_GB2312"/>
                <w:sz w:val="20"/>
                <w:color w:val="000000"/>
              </w:rPr>
              <w:t>≤</w:t>
            </w:r>
            <w:r>
              <w:rPr>
                <w:rFonts w:ascii="仿宋_GB2312" w:hAnsi="仿宋_GB2312" w:cs="仿宋_GB2312" w:eastAsia="仿宋_GB2312"/>
                <w:sz w:val="20"/>
                <w:color w:val="000000"/>
              </w:rPr>
              <w:t>0.1%</w:t>
            </w:r>
            <w:r>
              <w:rPr>
                <w:rFonts w:ascii="仿宋_GB2312" w:hAnsi="仿宋_GB2312" w:cs="仿宋_GB2312" w:eastAsia="仿宋_GB2312"/>
                <w:sz w:val="20"/>
                <w:color w:val="000000"/>
              </w:rPr>
              <w:t>；</w:t>
            </w:r>
          </w:p>
          <w:p>
            <w:pPr>
              <w:pStyle w:val="null3"/>
              <w:jc w:val="both"/>
            </w:pPr>
            <w:r>
              <w:rPr>
                <w:rFonts w:ascii="仿宋_GB2312" w:hAnsi="仿宋_GB2312" w:cs="仿宋_GB2312" w:eastAsia="仿宋_GB2312"/>
                <w:sz w:val="20"/>
                <w:color w:val="000000"/>
              </w:rPr>
              <w:t>⑤隔离管理：隔离文件保护，移动至受保护目录</w:t>
            </w:r>
            <w:r>
              <w:rPr>
                <w:rFonts w:ascii="仿宋_GB2312" w:hAnsi="仿宋_GB2312" w:cs="仿宋_GB2312" w:eastAsia="仿宋_GB2312"/>
                <w:sz w:val="20"/>
                <w:color w:val="000000"/>
              </w:rPr>
              <w:t>,</w:t>
            </w:r>
            <w:r>
              <w:rPr>
                <w:rFonts w:ascii="仿宋_GB2312" w:hAnsi="仿宋_GB2312" w:cs="仿宋_GB2312" w:eastAsia="仿宋_GB2312"/>
                <w:sz w:val="20"/>
                <w:color w:val="000000"/>
              </w:rPr>
              <w:t>不压缩不加密。恢复机制</w:t>
            </w:r>
            <w:r>
              <w:rPr>
                <w:rFonts w:ascii="仿宋_GB2312" w:hAnsi="仿宋_GB2312" w:cs="仿宋_GB2312" w:eastAsia="仿宋_GB2312"/>
                <w:sz w:val="20"/>
                <w:color w:val="000000"/>
              </w:rPr>
              <w:t>:</w:t>
            </w:r>
            <w:r>
              <w:rPr>
                <w:rFonts w:ascii="仿宋_GB2312" w:hAnsi="仿宋_GB2312" w:cs="仿宋_GB2312" w:eastAsia="仿宋_GB2312"/>
                <w:sz w:val="20"/>
                <w:color w:val="000000"/>
              </w:rPr>
              <w:t>支持原路径恢复、自定义路径恢复、路径重建。为保障后期维护要求，服务器品牌和杀毒软件为同一品牌，并提供佐证材料。</w:t>
            </w:r>
          </w:p>
          <w:p>
            <w:pPr>
              <w:pStyle w:val="null3"/>
              <w:jc w:val="both"/>
            </w:pPr>
            <w:r>
              <w:rPr>
                <w:rFonts w:ascii="仿宋_GB2312" w:hAnsi="仿宋_GB2312" w:cs="仿宋_GB2312" w:eastAsia="仿宋_GB2312"/>
                <w:sz w:val="20"/>
                <w:color w:val="000000"/>
              </w:rPr>
              <w:t>13.IP</w:t>
            </w:r>
            <w:r>
              <w:rPr>
                <w:rFonts w:ascii="仿宋_GB2312" w:hAnsi="仿宋_GB2312" w:cs="仿宋_GB2312" w:eastAsia="仿宋_GB2312"/>
                <w:sz w:val="20"/>
                <w:color w:val="000000"/>
              </w:rPr>
              <w:t>地址管理平台：</w:t>
            </w:r>
          </w:p>
          <w:p>
            <w:pPr>
              <w:pStyle w:val="null3"/>
              <w:jc w:val="both"/>
            </w:pPr>
            <w:r>
              <w:rPr>
                <w:rFonts w:ascii="仿宋_GB2312" w:hAnsi="仿宋_GB2312" w:cs="仿宋_GB2312" w:eastAsia="仿宋_GB2312"/>
                <w:sz w:val="20"/>
                <w:color w:val="000000"/>
              </w:rPr>
              <w:t>①部署架构：支持</w:t>
            </w:r>
            <w:r>
              <w:rPr>
                <w:rFonts w:ascii="仿宋_GB2312" w:hAnsi="仿宋_GB2312" w:cs="仿宋_GB2312" w:eastAsia="仿宋_GB2312"/>
                <w:sz w:val="20"/>
                <w:color w:val="000000"/>
              </w:rPr>
              <w:t>HA</w:t>
            </w:r>
            <w:r>
              <w:rPr>
                <w:rFonts w:ascii="仿宋_GB2312" w:hAnsi="仿宋_GB2312" w:cs="仿宋_GB2312" w:eastAsia="仿宋_GB2312"/>
                <w:sz w:val="20"/>
                <w:color w:val="000000"/>
              </w:rPr>
              <w:t>部署模式，可虚拟</w:t>
            </w:r>
            <w:r>
              <w:rPr>
                <w:rFonts w:ascii="仿宋_GB2312" w:hAnsi="仿宋_GB2312" w:cs="仿宋_GB2312" w:eastAsia="仿宋_GB2312"/>
                <w:sz w:val="20"/>
                <w:color w:val="000000"/>
              </w:rPr>
              <w:t>IP</w:t>
            </w:r>
            <w:r>
              <w:rPr>
                <w:rFonts w:ascii="仿宋_GB2312" w:hAnsi="仿宋_GB2312" w:cs="仿宋_GB2312" w:eastAsia="仿宋_GB2312"/>
                <w:sz w:val="20"/>
                <w:color w:val="000000"/>
              </w:rPr>
              <w:t>提供服务；网管支持主备管理模式，提高冗余性，主网管出现故障时备网管自动接管管理功能，在</w:t>
            </w:r>
            <w:r>
              <w:rPr>
                <w:rFonts w:ascii="仿宋_GB2312" w:hAnsi="仿宋_GB2312" w:cs="仿宋_GB2312" w:eastAsia="仿宋_GB2312"/>
                <w:sz w:val="20"/>
                <w:color w:val="000000"/>
              </w:rPr>
              <w:t>web</w:t>
            </w:r>
            <w:r>
              <w:rPr>
                <w:rFonts w:ascii="仿宋_GB2312" w:hAnsi="仿宋_GB2312" w:cs="仿宋_GB2312" w:eastAsia="仿宋_GB2312"/>
                <w:sz w:val="20"/>
                <w:color w:val="000000"/>
              </w:rPr>
              <w:t>界面上能够看到多台设备的主备信息；针对</w:t>
            </w:r>
            <w:r>
              <w:rPr>
                <w:rFonts w:ascii="仿宋_GB2312" w:hAnsi="仿宋_GB2312" w:cs="仿宋_GB2312" w:eastAsia="仿宋_GB2312"/>
                <w:sz w:val="20"/>
                <w:color w:val="000000"/>
              </w:rPr>
              <w:t>DHCP</w:t>
            </w:r>
            <w:r>
              <w:rPr>
                <w:rFonts w:ascii="仿宋_GB2312" w:hAnsi="仿宋_GB2312" w:cs="仿宋_GB2312" w:eastAsia="仿宋_GB2312"/>
                <w:sz w:val="20"/>
                <w:color w:val="000000"/>
              </w:rPr>
              <w:t>功能，支持</w:t>
            </w:r>
            <w:r>
              <w:rPr>
                <w:rFonts w:ascii="仿宋_GB2312" w:hAnsi="仿宋_GB2312" w:cs="仿宋_GB2312" w:eastAsia="仿宋_GB2312"/>
                <w:sz w:val="20"/>
                <w:color w:val="000000"/>
              </w:rPr>
              <w:t>DHCP Failover</w:t>
            </w:r>
            <w:r>
              <w:rPr>
                <w:rFonts w:ascii="仿宋_GB2312" w:hAnsi="仿宋_GB2312" w:cs="仿宋_GB2312" w:eastAsia="仿宋_GB2312"/>
                <w:sz w:val="20"/>
                <w:color w:val="000000"/>
              </w:rPr>
              <w:t>部署；</w:t>
            </w:r>
          </w:p>
          <w:p>
            <w:pPr>
              <w:pStyle w:val="null3"/>
              <w:jc w:val="both"/>
            </w:pPr>
            <w:r>
              <w:rPr>
                <w:rFonts w:ascii="仿宋_GB2312" w:hAnsi="仿宋_GB2312" w:cs="仿宋_GB2312" w:eastAsia="仿宋_GB2312"/>
                <w:sz w:val="20"/>
                <w:color w:val="000000"/>
              </w:rPr>
              <w:t>②管理功能：支持统一集中管理，通过统一的管理平台完成所有设备配置和管理；支持</w:t>
            </w:r>
            <w:r>
              <w:rPr>
                <w:rFonts w:ascii="仿宋_GB2312" w:hAnsi="仿宋_GB2312" w:cs="仿宋_GB2312" w:eastAsia="仿宋_GB2312"/>
                <w:sz w:val="20"/>
                <w:color w:val="000000"/>
              </w:rPr>
              <w:t>API</w:t>
            </w:r>
            <w:r>
              <w:rPr>
                <w:rFonts w:ascii="仿宋_GB2312" w:hAnsi="仿宋_GB2312" w:cs="仿宋_GB2312" w:eastAsia="仿宋_GB2312"/>
                <w:sz w:val="20"/>
                <w:color w:val="000000"/>
              </w:rPr>
              <w:t>接口，提供主要功能的基于</w:t>
            </w:r>
            <w:r>
              <w:rPr>
                <w:rFonts w:ascii="仿宋_GB2312" w:hAnsi="仿宋_GB2312" w:cs="仿宋_GB2312" w:eastAsia="仿宋_GB2312"/>
                <w:sz w:val="20"/>
                <w:color w:val="000000"/>
              </w:rPr>
              <w:t>RESTful</w:t>
            </w:r>
            <w:r>
              <w:rPr>
                <w:rFonts w:ascii="仿宋_GB2312" w:hAnsi="仿宋_GB2312" w:cs="仿宋_GB2312" w:eastAsia="仿宋_GB2312"/>
                <w:sz w:val="20"/>
                <w:color w:val="000000"/>
              </w:rPr>
              <w:t>的</w:t>
            </w:r>
            <w:r>
              <w:rPr>
                <w:rFonts w:ascii="仿宋_GB2312" w:hAnsi="仿宋_GB2312" w:cs="仿宋_GB2312" w:eastAsia="仿宋_GB2312"/>
                <w:sz w:val="20"/>
                <w:color w:val="000000"/>
              </w:rPr>
              <w:t>web</w:t>
            </w:r>
            <w:r>
              <w:rPr>
                <w:rFonts w:ascii="仿宋_GB2312" w:hAnsi="仿宋_GB2312" w:cs="仿宋_GB2312" w:eastAsia="仿宋_GB2312"/>
                <w:sz w:val="20"/>
                <w:color w:val="000000"/>
              </w:rPr>
              <w:t>服务的编程接口；支持详细日志管理功能，包含不限于：解析日志、登陆日志、系统日志、威胁日志、强制解析日志等日志分类；</w:t>
            </w:r>
            <w:r>
              <w:rPr>
                <w:rFonts w:ascii="仿宋_GB2312" w:hAnsi="仿宋_GB2312" w:cs="仿宋_GB2312" w:eastAsia="仿宋_GB2312"/>
                <w:sz w:val="21"/>
                <w:color w:val="000000"/>
              </w:rPr>
              <w:t>★</w:t>
            </w:r>
            <w:r>
              <w:rPr>
                <w:rFonts w:ascii="仿宋_GB2312" w:hAnsi="仿宋_GB2312" w:cs="仿宋_GB2312" w:eastAsia="仿宋_GB2312"/>
                <w:sz w:val="20"/>
                <w:color w:val="000000"/>
              </w:rPr>
              <w:t>支持多种告警通知方式，至少包括：</w:t>
            </w:r>
            <w:r>
              <w:rPr>
                <w:rFonts w:ascii="仿宋_GB2312" w:hAnsi="仿宋_GB2312" w:cs="仿宋_GB2312" w:eastAsia="仿宋_GB2312"/>
                <w:sz w:val="20"/>
                <w:color w:val="000000"/>
              </w:rPr>
              <w:t>SNMP</w:t>
            </w:r>
            <w:r>
              <w:rPr>
                <w:rFonts w:ascii="仿宋_GB2312" w:hAnsi="仿宋_GB2312" w:cs="仿宋_GB2312" w:eastAsia="仿宋_GB2312"/>
                <w:sz w:val="20"/>
                <w:color w:val="000000"/>
              </w:rPr>
              <w:t>、</w:t>
            </w:r>
            <w:r>
              <w:rPr>
                <w:rFonts w:ascii="仿宋_GB2312" w:hAnsi="仿宋_GB2312" w:cs="仿宋_GB2312" w:eastAsia="仿宋_GB2312"/>
                <w:sz w:val="20"/>
                <w:color w:val="000000"/>
              </w:rPr>
              <w:t>syslog</w:t>
            </w:r>
            <w:r>
              <w:rPr>
                <w:rFonts w:ascii="仿宋_GB2312" w:hAnsi="仿宋_GB2312" w:cs="仿宋_GB2312" w:eastAsia="仿宋_GB2312"/>
                <w:sz w:val="20"/>
                <w:color w:val="000000"/>
              </w:rPr>
              <w:t>、</w:t>
            </w:r>
            <w:r>
              <w:rPr>
                <w:rFonts w:ascii="仿宋_GB2312" w:hAnsi="仿宋_GB2312" w:cs="仿宋_GB2312" w:eastAsia="仿宋_GB2312"/>
                <w:sz w:val="20"/>
                <w:color w:val="000000"/>
              </w:rPr>
              <w:t>Kafka</w:t>
            </w:r>
            <w:r>
              <w:rPr>
                <w:rFonts w:ascii="仿宋_GB2312" w:hAnsi="仿宋_GB2312" w:cs="仿宋_GB2312" w:eastAsia="仿宋_GB2312"/>
                <w:sz w:val="20"/>
                <w:color w:val="000000"/>
              </w:rPr>
              <w:t>等；</w:t>
            </w:r>
          </w:p>
          <w:p>
            <w:pPr>
              <w:pStyle w:val="null3"/>
              <w:jc w:val="both"/>
            </w:pPr>
            <w:r>
              <w:rPr>
                <w:rFonts w:ascii="仿宋_GB2312" w:hAnsi="仿宋_GB2312" w:cs="仿宋_GB2312" w:eastAsia="仿宋_GB2312"/>
                <w:sz w:val="20"/>
                <w:color w:val="000000"/>
              </w:rPr>
              <w:t>③</w:t>
            </w:r>
            <w:r>
              <w:rPr>
                <w:rFonts w:ascii="仿宋_GB2312" w:hAnsi="仿宋_GB2312" w:cs="仿宋_GB2312" w:eastAsia="仿宋_GB2312"/>
                <w:sz w:val="20"/>
                <w:color w:val="000000"/>
              </w:rPr>
              <w:t>DHCP</w:t>
            </w:r>
            <w:r>
              <w:rPr>
                <w:rFonts w:ascii="仿宋_GB2312" w:hAnsi="仿宋_GB2312" w:cs="仿宋_GB2312" w:eastAsia="仿宋_GB2312"/>
                <w:sz w:val="20"/>
                <w:color w:val="000000"/>
              </w:rPr>
              <w:t>功能：支持</w:t>
            </w:r>
            <w:r>
              <w:rPr>
                <w:rFonts w:ascii="仿宋_GB2312" w:hAnsi="仿宋_GB2312" w:cs="仿宋_GB2312" w:eastAsia="仿宋_GB2312"/>
                <w:sz w:val="20"/>
                <w:color w:val="000000"/>
              </w:rPr>
              <w:t xml:space="preserve"> IPv4</w:t>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IPv6 </w:t>
            </w:r>
            <w:r>
              <w:rPr>
                <w:rFonts w:ascii="仿宋_GB2312" w:hAnsi="仿宋_GB2312" w:cs="仿宋_GB2312" w:eastAsia="仿宋_GB2312"/>
                <w:sz w:val="20"/>
                <w:color w:val="000000"/>
              </w:rPr>
              <w:t>地址动态分配、固定分配，提供灵活的租约管理。多层级父子网络展示，可自定义网络属性，父网络属性支持继承给子网络。支持</w:t>
            </w:r>
            <w:r>
              <w:rPr>
                <w:rFonts w:ascii="仿宋_GB2312" w:hAnsi="仿宋_GB2312" w:cs="仿宋_GB2312" w:eastAsia="仿宋_GB2312"/>
                <w:sz w:val="20"/>
                <w:color w:val="000000"/>
              </w:rPr>
              <w:t>DDNS</w:t>
            </w:r>
            <w:r>
              <w:rPr>
                <w:rFonts w:ascii="仿宋_GB2312" w:hAnsi="仿宋_GB2312" w:cs="仿宋_GB2312" w:eastAsia="仿宋_GB2312"/>
                <w:sz w:val="20"/>
                <w:color w:val="000000"/>
              </w:rPr>
              <w:t>功能，对</w:t>
            </w:r>
            <w:r>
              <w:rPr>
                <w:rFonts w:ascii="仿宋_GB2312" w:hAnsi="仿宋_GB2312" w:cs="仿宋_GB2312" w:eastAsia="仿宋_GB2312"/>
                <w:sz w:val="20"/>
                <w:color w:val="000000"/>
              </w:rPr>
              <w:t>DHCP</w:t>
            </w:r>
            <w:r>
              <w:rPr>
                <w:rFonts w:ascii="仿宋_GB2312" w:hAnsi="仿宋_GB2312" w:cs="仿宋_GB2312" w:eastAsia="仿宋_GB2312"/>
                <w:sz w:val="20"/>
                <w:color w:val="000000"/>
              </w:rPr>
              <w:t>分配的</w:t>
            </w:r>
            <w:r>
              <w:rPr>
                <w:rFonts w:ascii="仿宋_GB2312" w:hAnsi="仿宋_GB2312" w:cs="仿宋_GB2312" w:eastAsia="仿宋_GB2312"/>
                <w:sz w:val="20"/>
                <w:color w:val="000000"/>
              </w:rPr>
              <w:t>IP</w:t>
            </w:r>
            <w:r>
              <w:rPr>
                <w:rFonts w:ascii="仿宋_GB2312" w:hAnsi="仿宋_GB2312" w:cs="仿宋_GB2312" w:eastAsia="仿宋_GB2312"/>
                <w:sz w:val="20"/>
                <w:color w:val="000000"/>
              </w:rPr>
              <w:t>地址，系统将客户端携带的主机名动态更新到</w:t>
            </w:r>
            <w:r>
              <w:rPr>
                <w:rFonts w:ascii="仿宋_GB2312" w:hAnsi="仿宋_GB2312" w:cs="仿宋_GB2312" w:eastAsia="仿宋_GB2312"/>
                <w:sz w:val="20"/>
                <w:color w:val="000000"/>
              </w:rPr>
              <w:t>DNS</w:t>
            </w:r>
            <w:r>
              <w:rPr>
                <w:rFonts w:ascii="仿宋_GB2312" w:hAnsi="仿宋_GB2312" w:cs="仿宋_GB2312" w:eastAsia="仿宋_GB2312"/>
                <w:sz w:val="20"/>
                <w:color w:val="000000"/>
              </w:rPr>
              <w:t>授权配置，实时更新对应的域名解析</w:t>
            </w:r>
            <w:r>
              <w:rPr>
                <w:rFonts w:ascii="仿宋_GB2312" w:hAnsi="仿宋_GB2312" w:cs="仿宋_GB2312" w:eastAsia="仿宋_GB2312"/>
                <w:sz w:val="20"/>
                <w:color w:val="000000"/>
              </w:rPr>
              <w:t>IP</w:t>
            </w:r>
            <w:r>
              <w:rPr>
                <w:rFonts w:ascii="仿宋_GB2312" w:hAnsi="仿宋_GB2312" w:cs="仿宋_GB2312" w:eastAsia="仿宋_GB2312"/>
                <w:sz w:val="20"/>
                <w:color w:val="000000"/>
              </w:rPr>
              <w:t>为</w:t>
            </w:r>
            <w:r>
              <w:rPr>
                <w:rFonts w:ascii="仿宋_GB2312" w:hAnsi="仿宋_GB2312" w:cs="仿宋_GB2312" w:eastAsia="仿宋_GB2312"/>
                <w:sz w:val="20"/>
                <w:color w:val="000000"/>
              </w:rPr>
              <w:t>DHCP</w:t>
            </w:r>
            <w:r>
              <w:rPr>
                <w:rFonts w:ascii="仿宋_GB2312" w:hAnsi="仿宋_GB2312" w:cs="仿宋_GB2312" w:eastAsia="仿宋_GB2312"/>
                <w:sz w:val="20"/>
                <w:color w:val="000000"/>
              </w:rPr>
              <w:t>分配的</w:t>
            </w:r>
            <w:r>
              <w:rPr>
                <w:rFonts w:ascii="仿宋_GB2312" w:hAnsi="仿宋_GB2312" w:cs="仿宋_GB2312" w:eastAsia="仿宋_GB2312"/>
                <w:sz w:val="20"/>
                <w:color w:val="000000"/>
              </w:rPr>
              <w:t>IP</w:t>
            </w:r>
            <w:r>
              <w:rPr>
                <w:rFonts w:ascii="仿宋_GB2312" w:hAnsi="仿宋_GB2312" w:cs="仿宋_GB2312" w:eastAsia="仿宋_GB2312"/>
                <w:sz w:val="20"/>
                <w:color w:val="000000"/>
              </w:rPr>
              <w:t>地址，并提供解析服务；支持租约管理，可手动进行租赁清除和导出；支持基于</w:t>
            </w:r>
            <w:r>
              <w:rPr>
                <w:rFonts w:ascii="仿宋_GB2312" w:hAnsi="仿宋_GB2312" w:cs="仿宋_GB2312" w:eastAsia="仿宋_GB2312"/>
                <w:sz w:val="20"/>
                <w:color w:val="000000"/>
              </w:rPr>
              <w:t>Option</w:t>
            </w:r>
            <w:r>
              <w:rPr>
                <w:rFonts w:ascii="仿宋_GB2312" w:hAnsi="仿宋_GB2312" w:cs="仿宋_GB2312" w:eastAsia="仿宋_GB2312"/>
                <w:sz w:val="20"/>
                <w:color w:val="000000"/>
              </w:rPr>
              <w:t>、</w:t>
            </w:r>
            <w:r>
              <w:rPr>
                <w:rFonts w:ascii="仿宋_GB2312" w:hAnsi="仿宋_GB2312" w:cs="仿宋_GB2312" w:eastAsia="仿宋_GB2312"/>
                <w:sz w:val="20"/>
                <w:color w:val="000000"/>
              </w:rPr>
              <w:t>MAC</w:t>
            </w:r>
            <w:r>
              <w:rPr>
                <w:rFonts w:ascii="仿宋_GB2312" w:hAnsi="仿宋_GB2312" w:cs="仿宋_GB2312" w:eastAsia="仿宋_GB2312"/>
                <w:sz w:val="20"/>
                <w:color w:val="000000"/>
              </w:rPr>
              <w:t>、指纹的访问控制列表，用于地址分配控制；支持</w:t>
            </w:r>
            <w:r>
              <w:rPr>
                <w:rFonts w:ascii="仿宋_GB2312" w:hAnsi="仿宋_GB2312" w:cs="仿宋_GB2312" w:eastAsia="仿宋_GB2312"/>
                <w:sz w:val="20"/>
                <w:color w:val="000000"/>
              </w:rPr>
              <w:t>DHCP</w:t>
            </w:r>
            <w:r>
              <w:rPr>
                <w:rFonts w:ascii="仿宋_GB2312" w:hAnsi="仿宋_GB2312" w:cs="仿宋_GB2312" w:eastAsia="仿宋_GB2312"/>
                <w:sz w:val="20"/>
                <w:color w:val="000000"/>
              </w:rPr>
              <w:t>服务，设备支持在分配动态</w:t>
            </w:r>
            <w:r>
              <w:rPr>
                <w:rFonts w:ascii="仿宋_GB2312" w:hAnsi="仿宋_GB2312" w:cs="仿宋_GB2312" w:eastAsia="仿宋_GB2312"/>
                <w:sz w:val="20"/>
                <w:color w:val="000000"/>
              </w:rPr>
              <w:t>IP</w:t>
            </w:r>
            <w:r>
              <w:rPr>
                <w:rFonts w:ascii="仿宋_GB2312" w:hAnsi="仿宋_GB2312" w:cs="仿宋_GB2312" w:eastAsia="仿宋_GB2312"/>
                <w:sz w:val="20"/>
                <w:color w:val="000000"/>
              </w:rPr>
              <w:t>前进行</w:t>
            </w:r>
            <w:r>
              <w:rPr>
                <w:rFonts w:ascii="仿宋_GB2312" w:hAnsi="仿宋_GB2312" w:cs="仿宋_GB2312" w:eastAsia="仿宋_GB2312"/>
                <w:sz w:val="20"/>
                <w:color w:val="000000"/>
              </w:rPr>
              <w:t>Ping</w:t>
            </w:r>
            <w:r>
              <w:rPr>
                <w:rFonts w:ascii="仿宋_GB2312" w:hAnsi="仿宋_GB2312" w:cs="仿宋_GB2312" w:eastAsia="仿宋_GB2312"/>
                <w:sz w:val="20"/>
                <w:color w:val="000000"/>
              </w:rPr>
              <w:t>检查这一</w:t>
            </w:r>
            <w:r>
              <w:rPr>
                <w:rFonts w:ascii="仿宋_GB2312" w:hAnsi="仿宋_GB2312" w:cs="仿宋_GB2312" w:eastAsia="仿宋_GB2312"/>
                <w:sz w:val="20"/>
                <w:color w:val="000000"/>
              </w:rPr>
              <w:t>IP</w:t>
            </w:r>
            <w:r>
              <w:rPr>
                <w:rFonts w:ascii="仿宋_GB2312" w:hAnsi="仿宋_GB2312" w:cs="仿宋_GB2312" w:eastAsia="仿宋_GB2312"/>
                <w:sz w:val="20"/>
                <w:color w:val="000000"/>
              </w:rPr>
              <w:t>冲突检测机制；</w:t>
            </w:r>
          </w:p>
          <w:p>
            <w:pPr>
              <w:pStyle w:val="null3"/>
              <w:jc w:val="both"/>
            </w:pPr>
            <w:r>
              <w:rPr>
                <w:rFonts w:ascii="仿宋_GB2312" w:hAnsi="仿宋_GB2312" w:cs="仿宋_GB2312" w:eastAsia="仿宋_GB2312"/>
                <w:sz w:val="20"/>
                <w:color w:val="000000"/>
              </w:rPr>
              <w:t>④</w:t>
            </w:r>
            <w:r>
              <w:rPr>
                <w:rFonts w:ascii="仿宋_GB2312" w:hAnsi="仿宋_GB2312" w:cs="仿宋_GB2312" w:eastAsia="仿宋_GB2312"/>
                <w:sz w:val="20"/>
                <w:color w:val="000000"/>
              </w:rPr>
              <w:t>IPAM</w:t>
            </w:r>
            <w:r>
              <w:rPr>
                <w:rFonts w:ascii="仿宋_GB2312" w:hAnsi="仿宋_GB2312" w:cs="仿宋_GB2312" w:eastAsia="仿宋_GB2312"/>
                <w:sz w:val="20"/>
                <w:color w:val="000000"/>
              </w:rPr>
              <w:t>功能：支持网络管理，对网络进行网络块的拆分、合并、缩放功能，为网络的规划和使用提供灵活的管理入口；支持对网络进行批量的导入导出功能，支持网络地址、固定地址、保留地址、地址池进行一键导入；支持地址注册</w:t>
            </w:r>
            <w:r>
              <w:rPr>
                <w:rFonts w:ascii="仿宋_GB2312" w:hAnsi="仿宋_GB2312" w:cs="仿宋_GB2312" w:eastAsia="仿宋_GB2312"/>
                <w:sz w:val="20"/>
                <w:color w:val="000000"/>
              </w:rPr>
              <w:t>/</w:t>
            </w:r>
            <w:r>
              <w:rPr>
                <w:rFonts w:ascii="仿宋_GB2312" w:hAnsi="仿宋_GB2312" w:cs="仿宋_GB2312" w:eastAsia="仿宋_GB2312"/>
                <w:sz w:val="20"/>
                <w:color w:val="000000"/>
              </w:rPr>
              <w:t>变更</w:t>
            </w:r>
            <w:r>
              <w:rPr>
                <w:rFonts w:ascii="仿宋_GB2312" w:hAnsi="仿宋_GB2312" w:cs="仿宋_GB2312" w:eastAsia="仿宋_GB2312"/>
                <w:sz w:val="20"/>
                <w:color w:val="000000"/>
              </w:rPr>
              <w:t>/</w:t>
            </w:r>
            <w:r>
              <w:rPr>
                <w:rFonts w:ascii="仿宋_GB2312" w:hAnsi="仿宋_GB2312" w:cs="仿宋_GB2312" w:eastAsia="仿宋_GB2312"/>
                <w:sz w:val="20"/>
                <w:color w:val="000000"/>
              </w:rPr>
              <w:t>撤销流程，可通过管理系统一键申请可用的地址进行</w:t>
            </w:r>
            <w:r>
              <w:rPr>
                <w:rFonts w:ascii="仿宋_GB2312" w:hAnsi="仿宋_GB2312" w:cs="仿宋_GB2312" w:eastAsia="仿宋_GB2312"/>
                <w:sz w:val="20"/>
                <w:color w:val="000000"/>
              </w:rPr>
              <w:t>IP/MAC/</w:t>
            </w:r>
            <w:r>
              <w:rPr>
                <w:rFonts w:ascii="仿宋_GB2312" w:hAnsi="仿宋_GB2312" w:cs="仿宋_GB2312" w:eastAsia="仿宋_GB2312"/>
                <w:sz w:val="20"/>
                <w:color w:val="000000"/>
              </w:rPr>
              <w:t>域名的多维绑定；支持</w:t>
            </w:r>
            <w:r>
              <w:rPr>
                <w:rFonts w:ascii="仿宋_GB2312" w:hAnsi="仿宋_GB2312" w:cs="仿宋_GB2312" w:eastAsia="仿宋_GB2312"/>
                <w:sz w:val="20"/>
                <w:color w:val="000000"/>
              </w:rPr>
              <w:t>MAC</w:t>
            </w:r>
            <w:r>
              <w:rPr>
                <w:rFonts w:ascii="仿宋_GB2312" w:hAnsi="仿宋_GB2312" w:cs="仿宋_GB2312" w:eastAsia="仿宋_GB2312"/>
                <w:sz w:val="20"/>
                <w:color w:val="000000"/>
              </w:rPr>
              <w:t>管理，通过对接入网络的终端标识进行登记，完成客户对资产的管理要求；支持联动交换机进行封堵和绑定，支持对封堵地址进行状态计算和标识；支持资产发现，将未登记的的资产进行识别并提醒用户处理；</w:t>
            </w:r>
            <w:r>
              <w:rPr>
                <w:rFonts w:ascii="仿宋_GB2312" w:hAnsi="仿宋_GB2312" w:cs="仿宋_GB2312" w:eastAsia="仿宋_GB2312"/>
                <w:sz w:val="21"/>
                <w:color w:val="000000"/>
              </w:rPr>
              <w:t>★</w:t>
            </w:r>
            <w:r>
              <w:rPr>
                <w:rFonts w:ascii="仿宋_GB2312" w:hAnsi="仿宋_GB2312" w:cs="仿宋_GB2312" w:eastAsia="仿宋_GB2312"/>
                <w:sz w:val="20"/>
                <w:color w:val="000000"/>
              </w:rPr>
              <w:t>支持</w:t>
            </w:r>
            <w:r>
              <w:rPr>
                <w:rFonts w:ascii="仿宋_GB2312" w:hAnsi="仿宋_GB2312" w:cs="仿宋_GB2312" w:eastAsia="仿宋_GB2312"/>
                <w:sz w:val="20"/>
                <w:color w:val="000000"/>
              </w:rPr>
              <w:t>IP</w:t>
            </w:r>
            <w:r>
              <w:rPr>
                <w:rFonts w:ascii="仿宋_GB2312" w:hAnsi="仿宋_GB2312" w:cs="仿宋_GB2312" w:eastAsia="仿宋_GB2312"/>
                <w:sz w:val="20"/>
                <w:color w:val="000000"/>
              </w:rPr>
              <w:t>地址有效期控制，支持到期</w:t>
            </w:r>
            <w:r>
              <w:rPr>
                <w:rFonts w:ascii="仿宋_GB2312" w:hAnsi="仿宋_GB2312" w:cs="仿宋_GB2312" w:eastAsia="仿宋_GB2312"/>
                <w:sz w:val="20"/>
                <w:color w:val="000000"/>
              </w:rPr>
              <w:t>IP</w:t>
            </w:r>
            <w:r>
              <w:rPr>
                <w:rFonts w:ascii="仿宋_GB2312" w:hAnsi="仿宋_GB2312" w:cs="仿宋_GB2312" w:eastAsia="仿宋_GB2312"/>
                <w:sz w:val="20"/>
                <w:color w:val="000000"/>
              </w:rPr>
              <w:t>地址禁用、禁止、删除等测试，支持到期短信、邮箱通知；对于未录入的</w:t>
            </w:r>
            <w:r>
              <w:rPr>
                <w:rFonts w:ascii="仿宋_GB2312" w:hAnsi="仿宋_GB2312" w:cs="仿宋_GB2312" w:eastAsia="仿宋_GB2312"/>
                <w:sz w:val="20"/>
                <w:color w:val="000000"/>
              </w:rPr>
              <w:t>MAC</w:t>
            </w:r>
            <w:r>
              <w:rPr>
                <w:rFonts w:ascii="仿宋_GB2312" w:hAnsi="仿宋_GB2312" w:cs="仿宋_GB2312" w:eastAsia="仿宋_GB2312"/>
                <w:sz w:val="20"/>
                <w:color w:val="000000"/>
              </w:rPr>
              <w:t>资产，系统能够自动感知，并自动提供辅助信息（主机名、</w:t>
            </w:r>
            <w:r>
              <w:rPr>
                <w:rFonts w:ascii="仿宋_GB2312" w:hAnsi="仿宋_GB2312" w:cs="仿宋_GB2312" w:eastAsia="仿宋_GB2312"/>
                <w:sz w:val="20"/>
                <w:color w:val="000000"/>
              </w:rPr>
              <w:t>IP</w:t>
            </w:r>
            <w:r>
              <w:rPr>
                <w:rFonts w:ascii="仿宋_GB2312" w:hAnsi="仿宋_GB2312" w:cs="仿宋_GB2312" w:eastAsia="仿宋_GB2312"/>
                <w:sz w:val="20"/>
                <w:color w:val="000000"/>
              </w:rPr>
              <w:t>地址、指纹信息、上线时间、网络位置）帮助客户快速录入</w:t>
            </w:r>
            <w:r>
              <w:rPr>
                <w:rFonts w:ascii="仿宋_GB2312" w:hAnsi="仿宋_GB2312" w:cs="仿宋_GB2312" w:eastAsia="仿宋_GB2312"/>
                <w:sz w:val="20"/>
                <w:color w:val="000000"/>
              </w:rPr>
              <w:t>MAC</w:t>
            </w:r>
            <w:r>
              <w:rPr>
                <w:rFonts w:ascii="仿宋_GB2312" w:hAnsi="仿宋_GB2312" w:cs="仿宋_GB2312" w:eastAsia="仿宋_GB2312"/>
                <w:sz w:val="20"/>
                <w:color w:val="000000"/>
              </w:rPr>
              <w:t>资产。管理系统可统一查看活动租约，并可以指定网段</w:t>
            </w:r>
            <w:r>
              <w:rPr>
                <w:rFonts w:ascii="仿宋_GB2312" w:hAnsi="仿宋_GB2312" w:cs="仿宋_GB2312" w:eastAsia="仿宋_GB2312"/>
                <w:sz w:val="20"/>
                <w:color w:val="000000"/>
              </w:rPr>
              <w:t>/IP</w:t>
            </w:r>
            <w:r>
              <w:rPr>
                <w:rFonts w:ascii="仿宋_GB2312" w:hAnsi="仿宋_GB2312" w:cs="仿宋_GB2312" w:eastAsia="仿宋_GB2312"/>
                <w:sz w:val="20"/>
                <w:color w:val="000000"/>
              </w:rPr>
              <w:t>地址</w:t>
            </w:r>
            <w:r>
              <w:rPr>
                <w:rFonts w:ascii="仿宋_GB2312" w:hAnsi="仿宋_GB2312" w:cs="仿宋_GB2312" w:eastAsia="仿宋_GB2312"/>
                <w:sz w:val="20"/>
                <w:color w:val="000000"/>
              </w:rPr>
              <w:t>/MAC</w:t>
            </w:r>
            <w:r>
              <w:rPr>
                <w:rFonts w:ascii="仿宋_GB2312" w:hAnsi="仿宋_GB2312" w:cs="仿宋_GB2312" w:eastAsia="仿宋_GB2312"/>
                <w:sz w:val="20"/>
                <w:color w:val="000000"/>
              </w:rPr>
              <w:t>地址</w:t>
            </w:r>
            <w:r>
              <w:rPr>
                <w:rFonts w:ascii="仿宋_GB2312" w:hAnsi="仿宋_GB2312" w:cs="仿宋_GB2312" w:eastAsia="仿宋_GB2312"/>
                <w:sz w:val="20"/>
                <w:color w:val="000000"/>
              </w:rPr>
              <w:t>/</w:t>
            </w:r>
            <w:r>
              <w:rPr>
                <w:rFonts w:ascii="仿宋_GB2312" w:hAnsi="仿宋_GB2312" w:cs="仿宋_GB2312" w:eastAsia="仿宋_GB2312"/>
                <w:sz w:val="20"/>
                <w:color w:val="000000"/>
              </w:rPr>
              <w:t>主机名等条件筛选</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租约信息包含</w:t>
            </w:r>
            <w:r>
              <w:rPr>
                <w:rFonts w:ascii="仿宋_GB2312" w:hAnsi="仿宋_GB2312" w:cs="仿宋_GB2312" w:eastAsia="仿宋_GB2312"/>
                <w:sz w:val="20"/>
                <w:color w:val="000000"/>
              </w:rPr>
              <w:t>DHCP</w:t>
            </w:r>
            <w:r>
              <w:rPr>
                <w:rFonts w:ascii="仿宋_GB2312" w:hAnsi="仿宋_GB2312" w:cs="仿宋_GB2312" w:eastAsia="仿宋_GB2312"/>
                <w:sz w:val="20"/>
                <w:color w:val="000000"/>
              </w:rPr>
              <w:t>设备名称、网段、</w:t>
            </w:r>
            <w:r>
              <w:rPr>
                <w:rFonts w:ascii="仿宋_GB2312" w:hAnsi="仿宋_GB2312" w:cs="仿宋_GB2312" w:eastAsia="仿宋_GB2312"/>
                <w:sz w:val="20"/>
                <w:color w:val="000000"/>
              </w:rPr>
              <w:t>IP</w:t>
            </w:r>
            <w:r>
              <w:rPr>
                <w:rFonts w:ascii="仿宋_GB2312" w:hAnsi="仿宋_GB2312" w:cs="仿宋_GB2312" w:eastAsia="仿宋_GB2312"/>
                <w:sz w:val="20"/>
                <w:color w:val="000000"/>
              </w:rPr>
              <w:t>地址、</w:t>
            </w:r>
            <w:r>
              <w:rPr>
                <w:rFonts w:ascii="仿宋_GB2312" w:hAnsi="仿宋_GB2312" w:cs="仿宋_GB2312" w:eastAsia="仿宋_GB2312"/>
                <w:sz w:val="20"/>
                <w:color w:val="000000"/>
              </w:rPr>
              <w:t>MAC</w:t>
            </w:r>
            <w:r>
              <w:rPr>
                <w:rFonts w:ascii="仿宋_GB2312" w:hAnsi="仿宋_GB2312" w:cs="仿宋_GB2312" w:eastAsia="仿宋_GB2312"/>
                <w:sz w:val="20"/>
                <w:color w:val="000000"/>
              </w:rPr>
              <w:t>地址、分配方式、租约状态、地址状态、分配时间、失效时间、线路信息、主机名、浮动主机名、指纹等信息；</w:t>
            </w:r>
          </w:p>
          <w:p>
            <w:pPr>
              <w:pStyle w:val="null3"/>
              <w:jc w:val="both"/>
            </w:pPr>
            <w:r>
              <w:rPr>
                <w:rFonts w:ascii="仿宋_GB2312" w:hAnsi="仿宋_GB2312" w:cs="仿宋_GB2312" w:eastAsia="仿宋_GB2312"/>
                <w:sz w:val="20"/>
                <w:color w:val="000000"/>
              </w:rPr>
              <w:t>⑤安全防护：</w:t>
            </w:r>
            <w:r>
              <w:rPr>
                <w:rFonts w:ascii="仿宋_GB2312" w:hAnsi="仿宋_GB2312" w:cs="仿宋_GB2312" w:eastAsia="仿宋_GB2312"/>
                <w:sz w:val="21"/>
                <w:color w:val="000000"/>
              </w:rPr>
              <w:t>★</w:t>
            </w:r>
            <w:r>
              <w:rPr>
                <w:rFonts w:ascii="仿宋_GB2312" w:hAnsi="仿宋_GB2312" w:cs="仿宋_GB2312" w:eastAsia="仿宋_GB2312"/>
                <w:sz w:val="20"/>
                <w:color w:val="000000"/>
              </w:rPr>
              <w:t>支持对</w:t>
            </w:r>
            <w:r>
              <w:rPr>
                <w:rFonts w:ascii="仿宋_GB2312" w:hAnsi="仿宋_GB2312" w:cs="仿宋_GB2312" w:eastAsia="仿宋_GB2312"/>
                <w:sz w:val="20"/>
                <w:color w:val="000000"/>
              </w:rPr>
              <w:t>IP</w:t>
            </w:r>
            <w:r>
              <w:rPr>
                <w:rFonts w:ascii="仿宋_GB2312" w:hAnsi="仿宋_GB2312" w:cs="仿宋_GB2312" w:eastAsia="仿宋_GB2312"/>
                <w:sz w:val="20"/>
                <w:color w:val="000000"/>
              </w:rPr>
              <w:t>异常包、</w:t>
            </w:r>
            <w:r>
              <w:rPr>
                <w:rFonts w:ascii="仿宋_GB2312" w:hAnsi="仿宋_GB2312" w:cs="仿宋_GB2312" w:eastAsia="仿宋_GB2312"/>
                <w:sz w:val="20"/>
                <w:color w:val="000000"/>
              </w:rPr>
              <w:t>UDP</w:t>
            </w:r>
            <w:r>
              <w:rPr>
                <w:rFonts w:ascii="仿宋_GB2312" w:hAnsi="仿宋_GB2312" w:cs="仿宋_GB2312" w:eastAsia="仿宋_GB2312"/>
                <w:sz w:val="20"/>
                <w:color w:val="000000"/>
              </w:rPr>
              <w:t>异常包、</w:t>
            </w:r>
            <w:r>
              <w:rPr>
                <w:rFonts w:ascii="仿宋_GB2312" w:hAnsi="仿宋_GB2312" w:cs="仿宋_GB2312" w:eastAsia="仿宋_GB2312"/>
                <w:sz w:val="20"/>
                <w:color w:val="000000"/>
              </w:rPr>
              <w:t>DNS</w:t>
            </w:r>
            <w:r>
              <w:rPr>
                <w:rFonts w:ascii="仿宋_GB2312" w:hAnsi="仿宋_GB2312" w:cs="仿宋_GB2312" w:eastAsia="仿宋_GB2312"/>
                <w:sz w:val="20"/>
                <w:color w:val="000000"/>
              </w:rPr>
              <w:t>异常包进行识别和拦截的功能开关，在</w:t>
            </w:r>
            <w:r>
              <w:rPr>
                <w:rFonts w:ascii="仿宋_GB2312" w:hAnsi="仿宋_GB2312" w:cs="仿宋_GB2312" w:eastAsia="仿宋_GB2312"/>
                <w:sz w:val="20"/>
                <w:color w:val="000000"/>
              </w:rPr>
              <w:t>web</w:t>
            </w:r>
            <w:r>
              <w:rPr>
                <w:rFonts w:ascii="仿宋_GB2312" w:hAnsi="仿宋_GB2312" w:cs="仿宋_GB2312" w:eastAsia="仿宋_GB2312"/>
                <w:sz w:val="20"/>
                <w:color w:val="000000"/>
              </w:rPr>
              <w:t>配置界面上可实现指定功能的开启和关闭；支持基于类型防护控制；针对转发功能设置</w:t>
            </w:r>
            <w:r>
              <w:rPr>
                <w:rFonts w:ascii="仿宋_GB2312" w:hAnsi="仿宋_GB2312" w:cs="仿宋_GB2312" w:eastAsia="仿宋_GB2312"/>
                <w:sz w:val="20"/>
                <w:color w:val="000000"/>
              </w:rPr>
              <w:t>IP</w:t>
            </w:r>
            <w:r>
              <w:rPr>
                <w:rFonts w:ascii="仿宋_GB2312" w:hAnsi="仿宋_GB2312" w:cs="仿宋_GB2312" w:eastAsia="仿宋_GB2312"/>
                <w:sz w:val="20"/>
                <w:color w:val="000000"/>
              </w:rPr>
              <w:t>黑名单，在黑名单内的</w:t>
            </w:r>
            <w:r>
              <w:rPr>
                <w:rFonts w:ascii="仿宋_GB2312" w:hAnsi="仿宋_GB2312" w:cs="仿宋_GB2312" w:eastAsia="仿宋_GB2312"/>
                <w:sz w:val="20"/>
                <w:color w:val="000000"/>
              </w:rPr>
              <w:t>IP</w:t>
            </w:r>
            <w:r>
              <w:rPr>
                <w:rFonts w:ascii="仿宋_GB2312" w:hAnsi="仿宋_GB2312" w:cs="仿宋_GB2312" w:eastAsia="仿宋_GB2312"/>
                <w:sz w:val="20"/>
                <w:color w:val="000000"/>
              </w:rPr>
              <w:t>地址不能使用转发功能；支持基于源</w:t>
            </w:r>
            <w:r>
              <w:rPr>
                <w:rFonts w:ascii="仿宋_GB2312" w:hAnsi="仿宋_GB2312" w:cs="仿宋_GB2312" w:eastAsia="仿宋_GB2312"/>
                <w:sz w:val="20"/>
                <w:color w:val="000000"/>
              </w:rPr>
              <w:t>IP</w:t>
            </w:r>
            <w:r>
              <w:rPr>
                <w:rFonts w:ascii="仿宋_GB2312" w:hAnsi="仿宋_GB2312" w:cs="仿宋_GB2312" w:eastAsia="仿宋_GB2312"/>
                <w:sz w:val="20"/>
                <w:color w:val="000000"/>
              </w:rPr>
              <w:t>、源</w:t>
            </w:r>
            <w:r>
              <w:rPr>
                <w:rFonts w:ascii="仿宋_GB2312" w:hAnsi="仿宋_GB2312" w:cs="仿宋_GB2312" w:eastAsia="仿宋_GB2312"/>
                <w:sz w:val="20"/>
                <w:color w:val="000000"/>
              </w:rPr>
              <w:t>IP</w:t>
            </w:r>
            <w:r>
              <w:rPr>
                <w:rFonts w:ascii="仿宋_GB2312" w:hAnsi="仿宋_GB2312" w:cs="仿宋_GB2312" w:eastAsia="仿宋_GB2312"/>
                <w:sz w:val="20"/>
                <w:color w:val="000000"/>
              </w:rPr>
              <w:t>段、域、域名等各种维度的</w:t>
            </w:r>
            <w:r>
              <w:rPr>
                <w:rFonts w:ascii="仿宋_GB2312" w:hAnsi="仿宋_GB2312" w:cs="仿宋_GB2312" w:eastAsia="仿宋_GB2312"/>
                <w:sz w:val="20"/>
                <w:color w:val="000000"/>
              </w:rPr>
              <w:t>DNS</w:t>
            </w:r>
            <w:r>
              <w:rPr>
                <w:rFonts w:ascii="仿宋_GB2312" w:hAnsi="仿宋_GB2312" w:cs="仿宋_GB2312" w:eastAsia="仿宋_GB2312"/>
                <w:sz w:val="20"/>
                <w:color w:val="000000"/>
              </w:rPr>
              <w:t>流量限速；支持</w:t>
            </w:r>
            <w:r>
              <w:rPr>
                <w:rFonts w:ascii="仿宋_GB2312" w:hAnsi="仿宋_GB2312" w:cs="仿宋_GB2312" w:eastAsia="仿宋_GB2312"/>
                <w:sz w:val="20"/>
                <w:color w:val="000000"/>
              </w:rPr>
              <w:t>web</w:t>
            </w:r>
            <w:r>
              <w:rPr>
                <w:rFonts w:ascii="仿宋_GB2312" w:hAnsi="仿宋_GB2312" w:cs="仿宋_GB2312" w:eastAsia="仿宋_GB2312"/>
                <w:sz w:val="20"/>
                <w:color w:val="000000"/>
              </w:rPr>
              <w:t>界面设置用户的登录策略如多处登录、登录失败次数限制、登录失败锁定时间、登录超时时间、登录</w:t>
            </w:r>
            <w:r>
              <w:rPr>
                <w:rFonts w:ascii="仿宋_GB2312" w:hAnsi="仿宋_GB2312" w:cs="仿宋_GB2312" w:eastAsia="仿宋_GB2312"/>
                <w:sz w:val="20"/>
                <w:color w:val="000000"/>
              </w:rPr>
              <w:t>IP</w:t>
            </w:r>
            <w:r>
              <w:rPr>
                <w:rFonts w:ascii="仿宋_GB2312" w:hAnsi="仿宋_GB2312" w:cs="仿宋_GB2312" w:eastAsia="仿宋_GB2312"/>
                <w:sz w:val="20"/>
                <w:color w:val="000000"/>
              </w:rPr>
              <w:t>段限制；支持对于源</w:t>
            </w:r>
            <w:r>
              <w:rPr>
                <w:rFonts w:ascii="仿宋_GB2312" w:hAnsi="仿宋_GB2312" w:cs="仿宋_GB2312" w:eastAsia="仿宋_GB2312"/>
                <w:sz w:val="20"/>
                <w:color w:val="000000"/>
              </w:rPr>
              <w:t>IP</w:t>
            </w:r>
            <w:r>
              <w:rPr>
                <w:rFonts w:ascii="仿宋_GB2312" w:hAnsi="仿宋_GB2312" w:cs="仿宋_GB2312" w:eastAsia="仿宋_GB2312"/>
                <w:sz w:val="20"/>
                <w:color w:val="000000"/>
              </w:rPr>
              <w:t>的流量限速，支持对于指定域名的流量限速，支持对于指定域的流量限速，支持对于递归流量的限速；</w:t>
            </w:r>
            <w:r>
              <w:rPr>
                <w:rFonts w:ascii="仿宋_GB2312" w:hAnsi="仿宋_GB2312" w:cs="仿宋_GB2312" w:eastAsia="仿宋_GB2312"/>
                <w:sz w:val="21"/>
                <w:color w:val="000000"/>
              </w:rPr>
              <w:t>★</w:t>
            </w:r>
            <w:r>
              <w:rPr>
                <w:rFonts w:ascii="仿宋_GB2312" w:hAnsi="仿宋_GB2312" w:cs="仿宋_GB2312" w:eastAsia="仿宋_GB2312"/>
                <w:sz w:val="20"/>
                <w:color w:val="000000"/>
              </w:rPr>
              <w:t>支持威胁情报功能，针对递归用户的自动分析合法</w:t>
            </w:r>
            <w:r>
              <w:rPr>
                <w:rFonts w:ascii="仿宋_GB2312" w:hAnsi="仿宋_GB2312" w:cs="仿宋_GB2312" w:eastAsia="仿宋_GB2312"/>
                <w:sz w:val="20"/>
                <w:color w:val="000000"/>
              </w:rPr>
              <w:t>/</w:t>
            </w:r>
            <w:r>
              <w:rPr>
                <w:rFonts w:ascii="仿宋_GB2312" w:hAnsi="仿宋_GB2312" w:cs="仿宋_GB2312" w:eastAsia="仿宋_GB2312"/>
                <w:sz w:val="20"/>
                <w:color w:val="000000"/>
              </w:rPr>
              <w:t>非法域名，根据防护策略，应对给客户端；</w:t>
            </w:r>
          </w:p>
          <w:p>
            <w:pPr>
              <w:pStyle w:val="null3"/>
              <w:jc w:val="both"/>
            </w:pPr>
            <w:r>
              <w:rPr>
                <w:rFonts w:ascii="仿宋_GB2312" w:hAnsi="仿宋_GB2312" w:cs="仿宋_GB2312" w:eastAsia="仿宋_GB2312"/>
                <w:sz w:val="20"/>
                <w:color w:val="000000"/>
              </w:rPr>
              <w:t>⑥分析报表：支持对设备针对硬件运行情况分析报表；支持</w:t>
            </w:r>
            <w:r>
              <w:rPr>
                <w:rFonts w:ascii="仿宋_GB2312" w:hAnsi="仿宋_GB2312" w:cs="仿宋_GB2312" w:eastAsia="仿宋_GB2312"/>
                <w:sz w:val="20"/>
                <w:color w:val="000000"/>
              </w:rPr>
              <w:t>DNS</w:t>
            </w:r>
            <w:r>
              <w:rPr>
                <w:rFonts w:ascii="仿宋_GB2312" w:hAnsi="仿宋_GB2312" w:cs="仿宋_GB2312" w:eastAsia="仿宋_GB2312"/>
                <w:sz w:val="20"/>
                <w:color w:val="000000"/>
              </w:rPr>
              <w:t>、</w:t>
            </w:r>
            <w:r>
              <w:rPr>
                <w:rFonts w:ascii="仿宋_GB2312" w:hAnsi="仿宋_GB2312" w:cs="仿宋_GB2312" w:eastAsia="仿宋_GB2312"/>
                <w:sz w:val="20"/>
                <w:color w:val="000000"/>
              </w:rPr>
              <w:t>DHCP</w:t>
            </w:r>
            <w:r>
              <w:rPr>
                <w:rFonts w:ascii="仿宋_GB2312" w:hAnsi="仿宋_GB2312" w:cs="仿宋_GB2312" w:eastAsia="仿宋_GB2312"/>
                <w:sz w:val="20"/>
                <w:color w:val="000000"/>
              </w:rPr>
              <w:t>和</w:t>
            </w:r>
            <w:r>
              <w:rPr>
                <w:rFonts w:ascii="仿宋_GB2312" w:hAnsi="仿宋_GB2312" w:cs="仿宋_GB2312" w:eastAsia="仿宋_GB2312"/>
                <w:sz w:val="20"/>
                <w:color w:val="000000"/>
              </w:rPr>
              <w:t>IPAM</w:t>
            </w:r>
            <w:r>
              <w:rPr>
                <w:rFonts w:ascii="仿宋_GB2312" w:hAnsi="仿宋_GB2312" w:cs="仿宋_GB2312" w:eastAsia="仿宋_GB2312"/>
                <w:sz w:val="20"/>
                <w:color w:val="000000"/>
              </w:rPr>
              <w:t>业务情况分析报告。</w:t>
            </w:r>
          </w:p>
          <w:p>
            <w:pPr>
              <w:pStyle w:val="null3"/>
              <w:jc w:val="both"/>
            </w:pPr>
            <w:r>
              <w:rPr>
                <w:rFonts w:ascii="仿宋_GB2312" w:hAnsi="仿宋_GB2312" w:cs="仿宋_GB2312" w:eastAsia="仿宋_GB2312"/>
              </w:rPr>
              <w:t>14</w:t>
            </w:r>
            <w:r>
              <w:rPr>
                <w:rFonts w:ascii="仿宋_GB2312" w:hAnsi="仿宋_GB2312" w:cs="仿宋_GB2312" w:eastAsia="仿宋_GB2312"/>
              </w:rPr>
              <w:t>.预装国产化操作系统：</w:t>
            </w:r>
          </w:p>
          <w:p>
            <w:pPr>
              <w:pStyle w:val="null3"/>
              <w:jc w:val="both"/>
            </w:pPr>
            <w:r>
              <w:rPr>
                <w:rFonts w:ascii="仿宋_GB2312" w:hAnsi="仿宋_GB2312" w:cs="仿宋_GB2312" w:eastAsia="仿宋_GB2312"/>
              </w:rPr>
              <w:t>①</w:t>
            </w:r>
            <w:r>
              <w:rPr>
                <w:rFonts w:ascii="仿宋_GB2312" w:hAnsi="仿宋_GB2312" w:cs="仿宋_GB2312" w:eastAsia="仿宋_GB2312"/>
              </w:rPr>
              <w:t>★</w:t>
            </w:r>
            <w:r>
              <w:rPr>
                <w:rFonts w:ascii="仿宋_GB2312" w:hAnsi="仿宋_GB2312" w:cs="仿宋_GB2312" w:eastAsia="仿宋_GB2312"/>
              </w:rPr>
              <w:t>系统内核：同一镜像，在系统安装时，提供</w:t>
            </w:r>
            <w:r>
              <w:rPr>
                <w:rFonts w:ascii="仿宋_GB2312" w:hAnsi="仿宋_GB2312" w:cs="仿宋_GB2312" w:eastAsia="仿宋_GB2312"/>
              </w:rPr>
              <w:t>4.19和</w:t>
            </w:r>
            <w:r>
              <w:rPr>
                <w:rFonts w:ascii="仿宋_GB2312" w:hAnsi="仿宋_GB2312" w:cs="仿宋_GB2312" w:eastAsia="仿宋_GB2312"/>
              </w:rPr>
              <w:t>5.10的内核版本。</w:t>
            </w:r>
            <w:r>
              <w:rPr>
                <w:rFonts w:ascii="仿宋_GB2312" w:hAnsi="仿宋_GB2312" w:cs="仿宋_GB2312" w:eastAsia="仿宋_GB2312"/>
              </w:rPr>
              <w:t>（提供系统截图（含品牌标识）、服务器操作系统（双内核）软著证书）</w:t>
            </w:r>
          </w:p>
          <w:p>
            <w:pPr>
              <w:pStyle w:val="null3"/>
              <w:jc w:val="both"/>
            </w:pPr>
            <w:r>
              <w:rPr>
                <w:rFonts w:ascii="仿宋_GB2312" w:hAnsi="仿宋_GB2312" w:cs="仿宋_GB2312" w:eastAsia="仿宋_GB2312"/>
              </w:rPr>
              <w:t>②CPU支持：支持AMD64、ARM64、MIPS64、SW64、LoongArch</w:t>
            </w:r>
            <w:r>
              <w:rPr>
                <w:rFonts w:ascii="仿宋_GB2312" w:hAnsi="仿宋_GB2312" w:cs="仿宋_GB2312" w:eastAsia="仿宋_GB2312"/>
              </w:rPr>
              <w:t>等</w:t>
            </w:r>
            <w:r>
              <w:rPr>
                <w:rFonts w:ascii="仿宋_GB2312" w:hAnsi="仿宋_GB2312" w:cs="仿宋_GB2312" w:eastAsia="仿宋_GB2312"/>
              </w:rPr>
              <w:t>架构的</w:t>
            </w:r>
            <w:r>
              <w:rPr>
                <w:rFonts w:ascii="仿宋_GB2312" w:hAnsi="仿宋_GB2312" w:cs="仿宋_GB2312" w:eastAsia="仿宋_GB2312"/>
              </w:rPr>
              <w:t>CPU。</w:t>
            </w:r>
          </w:p>
          <w:p>
            <w:pPr>
              <w:pStyle w:val="null3"/>
              <w:jc w:val="both"/>
            </w:pPr>
            <w:r>
              <w:rPr>
                <w:rFonts w:ascii="仿宋_GB2312" w:hAnsi="仿宋_GB2312" w:cs="仿宋_GB2312" w:eastAsia="仿宋_GB2312"/>
              </w:rPr>
              <w:t>③中文支持：采用i18n（国际化）技术和标准，支持最新国家标准字符集GB18030-2022。</w:t>
            </w:r>
          </w:p>
          <w:p>
            <w:pPr>
              <w:pStyle w:val="null3"/>
              <w:jc w:val="both"/>
            </w:pPr>
            <w:r>
              <w:rPr>
                <w:rFonts w:ascii="仿宋_GB2312" w:hAnsi="仿宋_GB2312" w:cs="仿宋_GB2312" w:eastAsia="仿宋_GB2312"/>
              </w:rPr>
              <w:t>④基本功能：提供文件管理、用户帐户管理、用户组管理、设备管理、日志管理、网络管理、输入法管理、软件更新管理等基本功能。</w:t>
            </w:r>
          </w:p>
          <w:p>
            <w:pPr>
              <w:pStyle w:val="null3"/>
              <w:jc w:val="both"/>
            </w:pPr>
            <w:r>
              <w:rPr>
                <w:rFonts w:ascii="仿宋_GB2312" w:hAnsi="仿宋_GB2312" w:cs="仿宋_GB2312" w:eastAsia="仿宋_GB2312"/>
              </w:rPr>
              <w:t>⑤</w:t>
            </w:r>
            <w:r>
              <w:rPr>
                <w:rFonts w:ascii="仿宋_GB2312" w:hAnsi="仿宋_GB2312" w:cs="仿宋_GB2312" w:eastAsia="仿宋_GB2312"/>
              </w:rPr>
              <w:t>★</w:t>
            </w:r>
            <w:r>
              <w:rPr>
                <w:rFonts w:ascii="仿宋_GB2312" w:hAnsi="仿宋_GB2312" w:cs="仿宋_GB2312" w:eastAsia="仿宋_GB2312"/>
              </w:rPr>
              <w:t>浏览器：系统预装</w:t>
            </w:r>
            <w:r>
              <w:rPr>
                <w:rFonts w:ascii="仿宋_GB2312" w:hAnsi="仿宋_GB2312" w:cs="仿宋_GB2312" w:eastAsia="仿宋_GB2312"/>
              </w:rPr>
              <w:t>自研</w:t>
            </w:r>
            <w:r>
              <w:rPr>
                <w:rFonts w:ascii="仿宋_GB2312" w:hAnsi="仿宋_GB2312" w:cs="仿宋_GB2312" w:eastAsia="仿宋_GB2312"/>
              </w:rPr>
              <w:t>浏览器，且浏览器产品满足</w:t>
            </w:r>
            <w:r>
              <w:rPr>
                <w:rFonts w:ascii="仿宋_GB2312" w:hAnsi="仿宋_GB2312" w:cs="仿宋_GB2312" w:eastAsia="仿宋_GB2312"/>
              </w:rPr>
              <w:t>GM/T 0087《浏览器密码应用接口规范》、GM/T 0028《密码模块安全技术要求》、GB/T 38636《信息安全技术传输层密码协议（TLCP）》等规范标准。</w:t>
            </w:r>
            <w:r>
              <w:rPr>
                <w:rFonts w:ascii="仿宋_GB2312" w:hAnsi="仿宋_GB2312" w:cs="仿宋_GB2312" w:eastAsia="仿宋_GB2312"/>
              </w:rPr>
              <w:t>（提供与操作系统同品牌的浏览器软著证书、浏览器商用密码产品认证证书）</w:t>
            </w:r>
          </w:p>
          <w:p>
            <w:pPr>
              <w:pStyle w:val="null3"/>
              <w:jc w:val="both"/>
            </w:pPr>
            <w:r>
              <w:rPr>
                <w:rFonts w:ascii="仿宋_GB2312" w:hAnsi="仿宋_GB2312" w:cs="仿宋_GB2312" w:eastAsia="仿宋_GB2312"/>
              </w:rPr>
              <w:t>⑥虚拟化管理：支持虚拟化解决方案，如OpenStack、KVM、Docker、Hyper-V等。</w:t>
            </w:r>
          </w:p>
          <w:p>
            <w:pPr>
              <w:pStyle w:val="null3"/>
              <w:jc w:val="both"/>
            </w:pPr>
            <w:r>
              <w:rPr>
                <w:rFonts w:ascii="仿宋_GB2312" w:hAnsi="仿宋_GB2312" w:cs="仿宋_GB2312" w:eastAsia="仿宋_GB2312"/>
              </w:rPr>
              <w:t>⑦</w:t>
            </w:r>
            <w:r>
              <w:rPr>
                <w:rFonts w:ascii="仿宋_GB2312" w:hAnsi="仿宋_GB2312" w:cs="仿宋_GB2312" w:eastAsia="仿宋_GB2312"/>
              </w:rPr>
              <w:t>★</w:t>
            </w:r>
            <w:r>
              <w:rPr>
                <w:rFonts w:ascii="仿宋_GB2312" w:hAnsi="仿宋_GB2312" w:cs="仿宋_GB2312" w:eastAsia="仿宋_GB2312"/>
              </w:rPr>
              <w:t>全栈国密支持：系统内置国密算法，支持基于国密算法的加解密应用，支持国密</w:t>
            </w:r>
            <w:r>
              <w:rPr>
                <w:rFonts w:ascii="仿宋_GB2312" w:hAnsi="仿宋_GB2312" w:cs="仿宋_GB2312" w:eastAsia="仿宋_GB2312"/>
              </w:rPr>
              <w:t>SM2/3/4；提供国密版内核模块签名机制，支持国密算法，以保证内核模块的可信性，禁止未签名模块加载至内核；软件包仓库及管理命令支持国密算法；提供OpenSSL、Libgcrypt、Gnulib、Nettle、Hashes、libkcapi、OpenSSH等常见算法库的国密版本，OpenSSL须支持X509、PKCS#7证书。</w:t>
            </w:r>
            <w:r>
              <w:rPr>
                <w:rFonts w:ascii="仿宋_GB2312" w:hAnsi="仿宋_GB2312" w:cs="仿宋_GB2312" w:eastAsia="仿宋_GB2312"/>
              </w:rPr>
              <w:t>（</w:t>
            </w:r>
            <w:r>
              <w:rPr>
                <w:rFonts w:ascii="仿宋_GB2312" w:hAnsi="仿宋_GB2312" w:cs="仿宋_GB2312" w:eastAsia="仿宋_GB2312"/>
              </w:rPr>
              <w:t>提供测试步骤及测试结果截图</w:t>
            </w:r>
            <w:r>
              <w:rPr>
                <w:rFonts w:ascii="仿宋_GB2312" w:hAnsi="仿宋_GB2312" w:cs="仿宋_GB2312" w:eastAsia="仿宋_GB2312"/>
              </w:rPr>
              <w:t>）</w:t>
            </w:r>
          </w:p>
          <w:p>
            <w:pPr>
              <w:pStyle w:val="null3"/>
              <w:jc w:val="both"/>
            </w:pPr>
            <w:r>
              <w:rPr>
                <w:rFonts w:ascii="仿宋_GB2312" w:hAnsi="仿宋_GB2312" w:cs="仿宋_GB2312" w:eastAsia="仿宋_GB2312"/>
              </w:rPr>
              <w:t>⑧</w:t>
            </w:r>
            <w:r>
              <w:rPr>
                <w:rFonts w:ascii="仿宋_GB2312" w:hAnsi="仿宋_GB2312" w:cs="仿宋_GB2312" w:eastAsia="仿宋_GB2312"/>
              </w:rPr>
              <w:t>★</w:t>
            </w:r>
            <w:r>
              <w:rPr>
                <w:rFonts w:ascii="仿宋_GB2312" w:hAnsi="仿宋_GB2312" w:cs="仿宋_GB2312" w:eastAsia="仿宋_GB2312"/>
              </w:rPr>
              <w:t>安全加固：支持安全访问统一控制的安全框架，提供系统安全加固、完整性度量、应用管控、可信保护、三权分立等功能，支持选择高、中两种安全基线选择。</w:t>
            </w:r>
            <w:r>
              <w:rPr>
                <w:rFonts w:ascii="仿宋_GB2312" w:hAnsi="仿宋_GB2312" w:cs="仿宋_GB2312" w:eastAsia="仿宋_GB2312"/>
              </w:rPr>
              <w:t>（提供与操作系统同品牌安全软件软著证书、系统功能截图）</w:t>
            </w:r>
          </w:p>
          <w:p>
            <w:pPr>
              <w:pStyle w:val="null3"/>
              <w:jc w:val="both"/>
            </w:pPr>
            <w:r>
              <w:rPr>
                <w:rFonts w:ascii="仿宋_GB2312" w:hAnsi="仿宋_GB2312" w:cs="仿宋_GB2312" w:eastAsia="仿宋_GB2312"/>
              </w:rPr>
              <w:t>⑨</w:t>
            </w:r>
            <w:r>
              <w:rPr>
                <w:rFonts w:ascii="仿宋_GB2312" w:hAnsi="仿宋_GB2312" w:cs="仿宋_GB2312" w:eastAsia="仿宋_GB2312"/>
              </w:rPr>
              <w:t>★</w:t>
            </w:r>
            <w:r>
              <w:rPr>
                <w:rFonts w:ascii="仿宋_GB2312" w:hAnsi="仿宋_GB2312" w:cs="仿宋_GB2312" w:eastAsia="仿宋_GB2312"/>
              </w:rPr>
              <w:t>核心基础组件代码开源率：为保障操作系统供应链安全，系统核心基础组件代码开源率为</w:t>
            </w:r>
            <w:r>
              <w:rPr>
                <w:rFonts w:ascii="仿宋_GB2312" w:hAnsi="仿宋_GB2312" w:cs="仿宋_GB2312" w:eastAsia="仿宋_GB2312"/>
              </w:rPr>
              <w:t>0%，其中至少包括桌面环境、动态链接库。</w:t>
            </w:r>
            <w:r>
              <w:rPr>
                <w:rFonts w:ascii="仿宋_GB2312" w:hAnsi="仿宋_GB2312" w:cs="仿宋_GB2312" w:eastAsia="仿宋_GB2312"/>
              </w:rPr>
              <w:t>（提供第三方检测机构产品源代码溯源扫描评估报告）</w:t>
            </w:r>
          </w:p>
          <w:p>
            <w:pPr>
              <w:pStyle w:val="null3"/>
              <w:jc w:val="both"/>
            </w:pPr>
            <w:r>
              <w:rPr>
                <w:rFonts w:ascii="仿宋_GB2312" w:hAnsi="仿宋_GB2312" w:cs="仿宋_GB2312" w:eastAsia="仿宋_GB2312"/>
              </w:rPr>
              <w:t>⑩</w:t>
            </w:r>
            <w:r>
              <w:rPr>
                <w:rFonts w:ascii="仿宋_GB2312" w:hAnsi="仿宋_GB2312" w:cs="仿宋_GB2312" w:eastAsia="仿宋_GB2312"/>
              </w:rPr>
              <w:t>★</w:t>
            </w:r>
            <w:r>
              <w:rPr>
                <w:rFonts w:ascii="仿宋_GB2312" w:hAnsi="仿宋_GB2312" w:cs="仿宋_GB2312" w:eastAsia="仿宋_GB2312"/>
              </w:rPr>
              <w:t>运维监管：提供静态数据收集工具，可一键采集</w:t>
            </w:r>
            <w:r>
              <w:rPr>
                <w:rFonts w:ascii="仿宋_GB2312" w:hAnsi="仿宋_GB2312" w:cs="仿宋_GB2312" w:eastAsia="仿宋_GB2312"/>
              </w:rPr>
              <w:t>OS的关键静态数据，并生成数据分析报表，辅助定位运维问题；支持自研运维监管平台，可视化系统软硬件和日志等信息，支持异常数据自动打包分析、多版本仓库的批量管理与运维功能，并提供仓库更新与同步报表。</w:t>
            </w:r>
            <w:r>
              <w:rPr>
                <w:rFonts w:ascii="仿宋_GB2312" w:hAnsi="仿宋_GB2312" w:cs="仿宋_GB2312" w:eastAsia="仿宋_GB2312"/>
              </w:rPr>
              <w:t>（提供功能截图）</w:t>
            </w:r>
          </w:p>
          <w:p>
            <w:pPr>
              <w:pStyle w:val="null3"/>
              <w:jc w:val="both"/>
            </w:pPr>
            <w:r>
              <w:rPr>
                <w:rFonts w:ascii="仿宋_GB2312" w:hAnsi="仿宋_GB2312" w:cs="仿宋_GB2312" w:eastAsia="仿宋_GB2312"/>
              </w:rPr>
              <w:t>⑪</w:t>
            </w:r>
            <w:r>
              <w:rPr>
                <w:rFonts w:ascii="仿宋_GB2312" w:hAnsi="仿宋_GB2312" w:cs="仿宋_GB2312" w:eastAsia="仿宋_GB2312"/>
              </w:rPr>
              <w:t>★</w:t>
            </w:r>
            <w:r>
              <w:rPr>
                <w:rFonts w:ascii="仿宋_GB2312" w:hAnsi="仿宋_GB2312" w:cs="仿宋_GB2312" w:eastAsia="仿宋_GB2312"/>
              </w:rPr>
              <w:t>评估分析：支持同品牌国产</w:t>
            </w:r>
            <w:r>
              <w:rPr>
                <w:rFonts w:ascii="仿宋_GB2312" w:hAnsi="仿宋_GB2312" w:cs="仿宋_GB2312" w:eastAsia="仿宋_GB2312"/>
              </w:rPr>
              <w:t>Linux系统通用压力分析套件软件、通用性能评分套件软件。</w:t>
            </w:r>
            <w:r>
              <w:rPr>
                <w:rFonts w:ascii="仿宋_GB2312" w:hAnsi="仿宋_GB2312" w:cs="仿宋_GB2312" w:eastAsia="仿宋_GB2312"/>
              </w:rPr>
              <w:t>（提供软著证书）</w:t>
            </w:r>
          </w:p>
          <w:p>
            <w:pPr>
              <w:pStyle w:val="null3"/>
            </w:pPr>
            <w:r>
              <w:rPr>
                <w:rFonts w:ascii="仿宋_GB2312" w:hAnsi="仿宋_GB2312" w:cs="仿宋_GB2312" w:eastAsia="仿宋_GB2312"/>
                <w:sz w:val="21"/>
                <w:color w:val="000000"/>
              </w:rPr>
              <w:t>⑫</w:t>
            </w:r>
            <w:r>
              <w:rPr>
                <w:rFonts w:ascii="仿宋_GB2312" w:hAnsi="仿宋_GB2312" w:cs="仿宋_GB2312" w:eastAsia="仿宋_GB2312"/>
                <w:sz w:val="21"/>
                <w:color w:val="000000"/>
              </w:rPr>
              <w:t>★技术服务能力：操作系统原厂商须满足GB/T 27922-2011《商品售后服务评价体系》国家标准和CTEAS1001售后服务体系完善程度认证。（提供认证证书）</w:t>
            </w:r>
          </w:p>
          <w:p>
            <w:pPr>
              <w:pStyle w:val="null3"/>
            </w:pPr>
            <w:r>
              <w:rPr>
                <w:rFonts w:ascii="仿宋_GB2312" w:hAnsi="仿宋_GB2312" w:cs="仿宋_GB2312" w:eastAsia="仿宋_GB2312"/>
                <w:sz w:val="21"/>
                <w:b/>
                <w:color w:val="000000"/>
              </w:rPr>
              <w:t>注:带“★”的参数需求为实质性要求，供应商必须响应并满足的参数需求，并提供佐证材料（不限于第三方检测报告或官网截图或使用说明书或产品彩页等）</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b/>
              </w:rPr>
              <w:t>三</w:t>
            </w:r>
            <w:r>
              <w:rPr>
                <w:rFonts w:ascii="仿宋_GB2312" w:hAnsi="仿宋_GB2312" w:cs="仿宋_GB2312" w:eastAsia="仿宋_GB2312"/>
                <w:b/>
              </w:rPr>
              <w:t>、培训</w:t>
            </w:r>
          </w:p>
          <w:p>
            <w:pPr>
              <w:pStyle w:val="null3"/>
            </w:pPr>
            <w:r>
              <w:rPr>
                <w:rFonts w:ascii="仿宋_GB2312" w:hAnsi="仿宋_GB2312" w:cs="仿宋_GB2312" w:eastAsia="仿宋_GB2312"/>
              </w:rPr>
              <w:t>1、供应商有义务为用户提供不少于4次培训，其中硬件培训时间累计不少于8小时，软件培训时间累计不少于8小时。并对高性能图形工作站进行维护和安全检查，培训费用由供应商承担。</w:t>
            </w:r>
          </w:p>
          <w:p>
            <w:pPr>
              <w:pStyle w:val="null3"/>
            </w:pPr>
            <w:r>
              <w:rPr>
                <w:rFonts w:ascii="仿宋_GB2312" w:hAnsi="仿宋_GB2312" w:cs="仿宋_GB2312" w:eastAsia="仿宋_GB2312"/>
              </w:rPr>
              <w:t>2、仪器使用培训的内容包括：仪器的使用操作、日常的维护保养及简单的故障维修，使用户能够独立使用和获取正确的数据。培训完成后，供应商需提供仪器的使用手册和常规故障排除说明。（应用培训的内容需根据用户具体情况安排有针对性的应用培训。）</w:t>
            </w:r>
          </w:p>
          <w:p>
            <w:pPr>
              <w:pStyle w:val="null3"/>
            </w:pPr>
            <w:r>
              <w:rPr>
                <w:rFonts w:ascii="仿宋_GB2312" w:hAnsi="仿宋_GB2312" w:cs="仿宋_GB2312" w:eastAsia="仿宋_GB2312"/>
                <w:b/>
              </w:rPr>
              <w:t>3、其他要求：供应商为用户提供至少一次免费设备移机服务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合同签订后45日历天内安装调试完成并保证可正常使用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西安邮电大学指定地点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货到安装调试完成后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待验收合格后，凭成交供应商开具全额增值税专用发票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到货验收由采购方组织实施。（2）验收分初次到货验收和学校最终验收两个阶段，以最终验收为准。货物到货后，甲、乙双方共同开箱验收,在检查货物原产地、型号、规格、配置符合合同要求后，由乙方负责安装调试、按照工作状态完成组装连接,甲方使用单位负责技术指标验收（乙方协助），所有软硬件货物满足技术参数要求，平台可正常开机运转，达到功能和性能要求。验收以国内行业标准或合同文本货物供货配置清单中描述的有关技术要求为准；（3）采购人使用单位初验合格后提出验收申请，学校相关部门根据使用单位技术验收结果，组织有关专家进行货物的最终验收；（4）验收依据：①磋商文件、响应文件、澄清表（函）；②本合同及附件文本；③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合同项目质保期为最终验收通过之日起3年，供应商终身提供免费软件版本更新服务；（2）即时响应（包括电话响应）：24小时内电话响应，电话响应无法解决72小时内到达现场解决。如72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响应文件，同时线下提交响应文件壹份。纸质响应文件建议A4纸双面打印、装订成册、编制页码及目录、密封并加盖公章，邮寄（仅接收顺丰快递）或现场提交均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原件和身份证原件。法定代表人/负责人授权代表参加投标的，须出具法定代表人/负责人授权书原件及授权代表身份证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2024年12月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2024年12月1日至响应文件递交截止日已缴存的任意一个月的纳税证明或完税证明，纳税证明或完税证明上应有代收机构或税务机关的公章，依法免税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提供具有履行合同所必需的设备和专业技术能力的承诺原件。供应商需在项目电子化交易系统中按要求上传相应证明文件并进行电子签章。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相关方案.docx 附件（授权、书面声明、承诺）.docx 中小企业声明函 商务应答表 供应商应提交的相关资格证明材料 报价表 响应文件封面 产品参数技术表.docx 分项报价表.docx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响应文件的签字盖章是否按照谈判文件要求进行的</w:t>
            </w:r>
          </w:p>
        </w:tc>
        <w:tc>
          <w:tcPr>
            <w:tcW w:type="dxa" w:w="1661"/>
          </w:tcPr>
          <w:p>
            <w:pPr>
              <w:pStyle w:val="null3"/>
            </w:pPr>
            <w:r>
              <w:rPr>
                <w:rFonts w:ascii="仿宋_GB2312" w:hAnsi="仿宋_GB2312" w:cs="仿宋_GB2312" w:eastAsia="仿宋_GB2312"/>
              </w:rPr>
              <w:t>相关方案.docx 附件（授权、书面声明、承诺）.docx 中小企业声明函 商务应答表 供应商应提交的相关资格证明材料 报价表 响应文件封面 产品参数技术表.docx 分项报价表.docx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投标有效期是否满足谈判最低要求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投标报价是否唯一有效或投标报价是否未超过采购预算</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商务、技术要求不满足实质性要求的</w:t>
            </w:r>
          </w:p>
        </w:tc>
        <w:tc>
          <w:tcPr>
            <w:tcW w:type="dxa" w:w="1661"/>
          </w:tcPr>
          <w:p>
            <w:pPr>
              <w:pStyle w:val="null3"/>
            </w:pPr>
            <w:r>
              <w:rPr>
                <w:rFonts w:ascii="仿宋_GB2312" w:hAnsi="仿宋_GB2312" w:cs="仿宋_GB2312" w:eastAsia="仿宋_GB2312"/>
              </w:rPr>
              <w:t>产品参数技术表.docx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其他不符合法律、规章、规范性文件和规定的</w:t>
            </w:r>
          </w:p>
        </w:tc>
        <w:tc>
          <w:tcPr>
            <w:tcW w:type="dxa" w:w="1661"/>
          </w:tcPr>
          <w:p>
            <w:pPr>
              <w:pStyle w:val="null3"/>
            </w:pPr>
            <w:r>
              <w:rPr>
                <w:rFonts w:ascii="仿宋_GB2312" w:hAnsi="仿宋_GB2312" w:cs="仿宋_GB2312" w:eastAsia="仿宋_GB2312"/>
              </w:rPr>
              <w:t>相关方案.docx 附件（授权、书面声明、承诺）.docx 中小企业声明函 商务应答表 供应商应提交的相关资格证明材料 报价表 响应文件封面 产品参数技术表.docx 分项报价表.docx 残疾人福利性单位声明函 标的清单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分项报价表.docx 中小企业声明函 标的清单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当出现响应报价相同时由采购人或者采购人委托谈判小组采取再次进行报价。</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详见附件：产品参数技术表.docx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详见附件：附件（授权、书面声明、承诺）.docx</w:t>
      </w:r>
    </w:p>
    <w:p>
      <w:pPr>
        <w:pStyle w:val="null3"/>
        <w:ind w:firstLine="960"/>
      </w:pPr>
      <w:r>
        <w:rPr>
          <w:rFonts w:ascii="仿宋_GB2312" w:hAnsi="仿宋_GB2312" w:cs="仿宋_GB2312" w:eastAsia="仿宋_GB2312"/>
        </w:rPr>
        <w:t>详见附件：相关方案.docx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详见附件：货物类合同模板.docx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