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版本号：KY2025-1-104020251212001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2025年度省级政法云服务项目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KY2025-1-1040</w:t>
      </w:r>
      <w:r>
        <w:br/>
      </w:r>
      <w:r>
        <w:br/>
      </w:r>
      <w:r>
        <w:br/>
      </w:r>
    </w:p>
    <w:p>
      <w:pPr>
        <w:pStyle w:val="null3"/>
        <w:jc w:val="center"/>
        <w:outlineLvl w:val="2"/>
      </w:pPr>
      <w:r>
        <w:rPr>
          <w:rFonts w:ascii="仿宋_GB2312" w:hAnsi="仿宋_GB2312" w:cs="仿宋_GB2312" w:eastAsia="仿宋_GB2312"/>
          <w:sz w:val="28"/>
          <w:b/>
        </w:rPr>
        <w:t>陕西省政务大数据服务中心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陕西省政务大数据服务中心</w:t>
      </w:r>
      <w:r>
        <w:rPr>
          <w:rFonts w:ascii="仿宋_GB2312" w:hAnsi="仿宋_GB2312" w:cs="仿宋_GB2312" w:eastAsia="仿宋_GB2312"/>
        </w:rPr>
        <w:t>委托，拟对</w:t>
      </w:r>
      <w:r>
        <w:rPr>
          <w:rFonts w:ascii="仿宋_GB2312" w:hAnsi="仿宋_GB2312" w:cs="仿宋_GB2312" w:eastAsia="仿宋_GB2312"/>
        </w:rPr>
        <w:t>2025年度省级政法云服务项目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KY2025-1-1040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2025年度省级政法云服务项目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2025年度省级政法云服务项目，具体内容详见招标文件第3章。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11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4、社会保障资金缴存证明：提供2024年11月至今已缴存的至少一个月的社会保障资金缴存单据或社保机构开具的社会保险参保缴费情况证明，依法不需要缴纳社会保障资金的单位应提供相关证明材料。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陕西省政务大数据服务中心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029-63912540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采购包1：10,076,200.00元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银行账号：86113010750181502000544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说明：中标供应商以银行履约保函形式向采购人缴纳合同总金额的5%作为履约保证金。 履约保函的退还： a.通过最终验收并按照实际工作量双方进行确认； b.按确认后实际工作量和考核结果进行结算； c.乙方已退还按实际工作量结算多付款项以及考核应扣除款项。</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代理服务费收费标准：经双方协商，按实际中标金额，按差额定率累进法计算。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陕西省政务大数据服务中心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陕西省政务大数据服务中心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陕西省政务大数据服务中心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根据招标文件服务内容，按照合同约定执行。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联系人：汪涛、牛佩文</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2025年度省级政法云服务项目，具体内容详见招标文件第3章。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10,076,200.00</w:t>
      </w:r>
    </w:p>
    <w:p>
      <w:pPr>
        <w:pStyle w:val="null3"/>
      </w:pPr>
      <w:r>
        <w:rPr>
          <w:rFonts w:ascii="仿宋_GB2312" w:hAnsi="仿宋_GB2312" w:cs="仿宋_GB2312" w:eastAsia="仿宋_GB2312"/>
        </w:rPr>
        <w:t>采购包最高限价（元）: 10,076,200.00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省级政法云服务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10,076,200.00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标的名称：省级政法云服务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服务需求</w:t>
            </w:r>
          </w:p>
          <w:p>
            <w:pPr>
              <w:pStyle w:val="null3"/>
              <w:jc w:val="left"/>
            </w:pPr>
            <w:r>
              <w:rPr>
                <w:rFonts w:ascii="仿宋_GB2312" w:hAnsi="仿宋_GB2312" w:cs="仿宋_GB2312" w:eastAsia="仿宋_GB2312"/>
                <w:sz w:val="21"/>
                <w:b/>
              </w:rPr>
              <w:t>1.1</w:t>
            </w:r>
            <w:r>
              <w:rPr>
                <w:rFonts w:ascii="仿宋_GB2312" w:hAnsi="仿宋_GB2312" w:cs="仿宋_GB2312" w:eastAsia="仿宋_GB2312"/>
                <w:sz w:val="21"/>
                <w:b/>
              </w:rPr>
              <w:t>业务需求</w:t>
            </w:r>
          </w:p>
          <w:p>
            <w:pPr>
              <w:pStyle w:val="null3"/>
              <w:jc w:val="both"/>
            </w:pPr>
            <w:r>
              <w:rPr>
                <w:rFonts w:ascii="仿宋_GB2312" w:hAnsi="仿宋_GB2312" w:cs="仿宋_GB2312" w:eastAsia="仿宋_GB2312"/>
                <w:sz w:val="21"/>
                <w:b/>
              </w:rPr>
              <w:t>1.1.1</w:t>
            </w:r>
            <w:r>
              <w:rPr>
                <w:rFonts w:ascii="仿宋_GB2312" w:hAnsi="仿宋_GB2312" w:cs="仿宋_GB2312" w:eastAsia="仿宋_GB2312"/>
                <w:sz w:val="21"/>
                <w:b/>
              </w:rPr>
              <w:t>政法云资源需求</w:t>
            </w:r>
          </w:p>
          <w:p>
            <w:pPr>
              <w:pStyle w:val="null3"/>
              <w:ind w:firstLine="420"/>
              <w:jc w:val="left"/>
            </w:pPr>
            <w:r>
              <w:rPr>
                <w:rFonts w:ascii="仿宋_GB2312" w:hAnsi="仿宋_GB2312" w:cs="仿宋_GB2312" w:eastAsia="仿宋_GB2312"/>
                <w:sz w:val="21"/>
              </w:rPr>
              <w:t>本项目总体资源</w:t>
            </w:r>
            <w:r>
              <w:rPr>
                <w:rFonts w:ascii="仿宋_GB2312" w:hAnsi="仿宋_GB2312" w:cs="仿宋_GB2312" w:eastAsia="仿宋_GB2312"/>
                <w:sz w:val="21"/>
              </w:rPr>
              <w:t>需求包括</w:t>
            </w:r>
            <w:r>
              <w:rPr>
                <w:rFonts w:ascii="仿宋_GB2312" w:hAnsi="仿宋_GB2312" w:cs="仿宋_GB2312" w:eastAsia="仿宋_GB2312"/>
                <w:sz w:val="21"/>
              </w:rPr>
              <w:t>vCPU、内存、高性能存储、通用性能存储、裸金属服务器以及云基地到公、检、法、司及政法委不小于1G的两条网络带宽，</w:t>
            </w:r>
            <w:r>
              <w:rPr>
                <w:rFonts w:ascii="仿宋_GB2312" w:hAnsi="仿宋_GB2312" w:cs="仿宋_GB2312" w:eastAsia="仿宋_GB2312"/>
                <w:sz w:val="21"/>
              </w:rPr>
              <w:t>同时提供</w:t>
            </w:r>
            <w:r>
              <w:rPr>
                <w:rFonts w:ascii="仿宋_GB2312" w:hAnsi="仿宋_GB2312" w:cs="仿宋_GB2312" w:eastAsia="仿宋_GB2312"/>
                <w:sz w:val="21"/>
              </w:rPr>
              <w:t>数据备份和安全保障类服务</w:t>
            </w:r>
            <w:r>
              <w:rPr>
                <w:rFonts w:ascii="仿宋_GB2312" w:hAnsi="仿宋_GB2312" w:cs="仿宋_GB2312" w:eastAsia="仿宋_GB2312"/>
                <w:sz w:val="21"/>
              </w:rPr>
              <w:t>。</w:t>
            </w:r>
          </w:p>
          <w:p>
            <w:pPr>
              <w:pStyle w:val="null3"/>
              <w:ind w:firstLine="422"/>
              <w:jc w:val="left"/>
            </w:pPr>
            <w:r>
              <w:rPr>
                <w:rFonts w:ascii="仿宋_GB2312" w:hAnsi="仿宋_GB2312" w:cs="仿宋_GB2312" w:eastAsia="仿宋_GB2312"/>
                <w:sz w:val="21"/>
                <w:b/>
              </w:rPr>
              <w:t>1</w:t>
            </w:r>
            <w:r>
              <w:rPr>
                <w:rFonts w:ascii="仿宋_GB2312" w:hAnsi="仿宋_GB2312" w:cs="仿宋_GB2312" w:eastAsia="仿宋_GB2312"/>
                <w:sz w:val="21"/>
                <w:b/>
              </w:rPr>
              <w:t>.1.1.1</w:t>
            </w:r>
            <w:r>
              <w:rPr>
                <w:rFonts w:ascii="仿宋_GB2312" w:hAnsi="仿宋_GB2312" w:cs="仿宋_GB2312" w:eastAsia="仿宋_GB2312"/>
                <w:sz w:val="21"/>
              </w:rPr>
              <w:t>总平台</w:t>
            </w:r>
            <w:r>
              <w:rPr>
                <w:rFonts w:ascii="仿宋_GB2312" w:hAnsi="仿宋_GB2312" w:cs="仿宋_GB2312" w:eastAsia="仿宋_GB2312"/>
                <w:sz w:val="21"/>
              </w:rPr>
              <w:t>专区</w:t>
            </w:r>
            <w:r>
              <w:rPr>
                <w:rFonts w:ascii="仿宋_GB2312" w:hAnsi="仿宋_GB2312" w:cs="仿宋_GB2312" w:eastAsia="仿宋_GB2312"/>
                <w:sz w:val="21"/>
              </w:rPr>
              <w:t>需求</w:t>
            </w:r>
          </w:p>
          <w:p>
            <w:pPr>
              <w:pStyle w:val="null3"/>
              <w:ind w:firstLine="420"/>
              <w:jc w:val="left"/>
            </w:pPr>
            <w:r>
              <w:rPr>
                <w:rFonts w:ascii="仿宋_GB2312" w:hAnsi="仿宋_GB2312" w:cs="仿宋_GB2312" w:eastAsia="仿宋_GB2312"/>
                <w:sz w:val="21"/>
              </w:rPr>
              <w:t>总平台专区需求包括：</w:t>
            </w:r>
            <w:r>
              <w:rPr>
                <w:rFonts w:ascii="仿宋_GB2312" w:hAnsi="仿宋_GB2312" w:cs="仿宋_GB2312" w:eastAsia="仿宋_GB2312"/>
                <w:sz w:val="21"/>
              </w:rPr>
              <w:t>1792</w:t>
            </w:r>
            <w:r>
              <w:rPr>
                <w:rFonts w:ascii="仿宋_GB2312" w:hAnsi="仿宋_GB2312" w:cs="仿宋_GB2312" w:eastAsia="仿宋_GB2312"/>
                <w:sz w:val="21"/>
              </w:rPr>
              <w:t>vCPU、5088GB内存、</w:t>
            </w:r>
            <w:r>
              <w:rPr>
                <w:rFonts w:ascii="仿宋_GB2312" w:hAnsi="仿宋_GB2312" w:cs="仿宋_GB2312" w:eastAsia="仿宋_GB2312"/>
                <w:sz w:val="21"/>
              </w:rPr>
              <w:t>43464</w:t>
            </w:r>
            <w:r>
              <w:rPr>
                <w:rFonts w:ascii="仿宋_GB2312" w:hAnsi="仿宋_GB2312" w:cs="仿宋_GB2312" w:eastAsia="仿宋_GB2312"/>
                <w:sz w:val="21"/>
              </w:rPr>
              <w:t>GB高性能存储、2092032GB通用性能存储、16台裸金属服务器及相关配套基础软件。</w:t>
            </w:r>
            <w:r>
              <w:rPr>
                <w:rFonts w:ascii="仿宋_GB2312" w:hAnsi="仿宋_GB2312" w:cs="仿宋_GB2312" w:eastAsia="仿宋_GB2312"/>
                <w:sz w:val="21"/>
              </w:rPr>
              <w:t>政法云带宽（</w:t>
            </w:r>
            <w:r>
              <w:rPr>
                <w:rFonts w:ascii="仿宋_GB2312" w:hAnsi="仿宋_GB2312" w:cs="仿宋_GB2312" w:eastAsia="仿宋_GB2312"/>
                <w:sz w:val="21"/>
              </w:rPr>
              <w:t>1000M）（横向）总计14条，其中总平台云服务资源区2条、公安侧云服务资源区2条、检察院侧云服务资源区3条、法院侧云服务资源区3条、司法侧云服务资源区4条。</w:t>
            </w:r>
          </w:p>
          <w:p>
            <w:pPr>
              <w:pStyle w:val="null3"/>
              <w:ind w:firstLine="420"/>
              <w:jc w:val="left"/>
            </w:pPr>
            <w:r>
              <w:rPr>
                <w:rFonts w:ascii="仿宋_GB2312" w:hAnsi="仿宋_GB2312" w:cs="仿宋_GB2312" w:eastAsia="仿宋_GB2312"/>
                <w:sz w:val="21"/>
              </w:rPr>
              <w:t>资源需求</w:t>
            </w:r>
            <w:r>
              <w:rPr>
                <w:rFonts w:ascii="仿宋_GB2312" w:hAnsi="仿宋_GB2312" w:cs="仿宋_GB2312" w:eastAsia="仿宋_GB2312"/>
                <w:sz w:val="21"/>
              </w:rPr>
              <w:t>和</w:t>
            </w:r>
            <w:r>
              <w:rPr>
                <w:rFonts w:ascii="仿宋_GB2312" w:hAnsi="仿宋_GB2312" w:cs="仿宋_GB2312" w:eastAsia="仿宋_GB2312"/>
                <w:sz w:val="21"/>
              </w:rPr>
              <w:t>明细资源数量如下表：</w:t>
            </w:r>
          </w:p>
          <w:p>
            <w:pPr>
              <w:pStyle w:val="null3"/>
              <w:jc w:val="center"/>
            </w:pPr>
            <w:r>
              <w:rPr>
                <w:rFonts w:ascii="仿宋_GB2312" w:hAnsi="仿宋_GB2312" w:cs="仿宋_GB2312" w:eastAsia="仿宋_GB2312"/>
                <w:sz w:val="21"/>
              </w:rPr>
              <w:t>总平台专区</w:t>
            </w:r>
            <w:r>
              <w:rPr>
                <w:rFonts w:ascii="仿宋_GB2312" w:hAnsi="仿宋_GB2312" w:cs="仿宋_GB2312" w:eastAsia="仿宋_GB2312"/>
                <w:sz w:val="21"/>
              </w:rPr>
              <w:t>需求表</w:t>
            </w:r>
          </w:p>
          <w:tbl>
            <w:tblPr>
              <w:tblBorders>
                <w:top w:val="none" w:color="000000" w:sz="4"/>
                <w:left w:val="none" w:color="000000" w:sz="4"/>
                <w:bottom w:val="none" w:color="000000" w:sz="4"/>
                <w:right w:val="none" w:color="000000" w:sz="4"/>
                <w:insideH w:val="none"/>
                <w:insideV w:val="none"/>
              </w:tblBorders>
            </w:tblPr>
            <w:tblGrid>
              <w:gridCol w:w="304"/>
              <w:gridCol w:w="597"/>
              <w:gridCol w:w="577"/>
              <w:gridCol w:w="396"/>
              <w:gridCol w:w="370"/>
              <w:gridCol w:w="307"/>
            </w:tblGrid>
            <w:tr>
              <w:tc>
                <w:tcPr>
                  <w:tcW w:type="dxa" w:w="30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w:t>
                  </w:r>
                </w:p>
              </w:tc>
              <w:tc>
                <w:tcPr>
                  <w:tcW w:type="dxa" w:w="5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应用</w:t>
                  </w:r>
                </w:p>
              </w:tc>
              <w:tc>
                <w:tcPr>
                  <w:tcW w:type="dxa" w:w="5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云资源类型</w:t>
                  </w:r>
                </w:p>
              </w:tc>
              <w:tc>
                <w:tcPr>
                  <w:tcW w:type="dxa" w:w="107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服务规格</w:t>
                  </w:r>
                </w:p>
              </w:tc>
            </w:tr>
            <w:tr>
              <w:tc>
                <w:tcPr>
                  <w:tcW w:type="dxa" w:w="304"/>
                  <w:vMerge/>
                  <w:tcBorders>
                    <w:top w:val="single" w:color="000000" w:sz="4"/>
                    <w:left w:val="single" w:color="000000" w:sz="4"/>
                    <w:bottom w:val="single" w:color="000000" w:sz="4"/>
                    <w:right w:val="single" w:color="000000" w:sz="4"/>
                  </w:tcBorders>
                </w:tcPr>
                <w:p/>
              </w:tc>
              <w:tc>
                <w:tcPr>
                  <w:tcW w:type="dxa" w:w="597"/>
                  <w:vMerge/>
                  <w:tcBorders>
                    <w:top w:val="single" w:color="000000" w:sz="4"/>
                    <w:left w:val="none" w:color="000000" w:sz="4"/>
                    <w:bottom w:val="single" w:color="000000" w:sz="4"/>
                    <w:right w:val="single" w:color="000000" w:sz="4"/>
                  </w:tcBorders>
                </w:tcPr>
                <w:p/>
              </w:tc>
              <w:tc>
                <w:tcPr>
                  <w:tcW w:type="dxa" w:w="577"/>
                  <w:vMerge/>
                  <w:tcBorders>
                    <w:top w:val="singl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总平台云服务资源</w:t>
                  </w: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3072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2</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4</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322560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5</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6</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7</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256</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960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16384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8</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18432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9</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18432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10</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33792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数据库（裸金属）</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CPU：96C，内存：256G，系统盘：500G，SSD云硬盘：4T</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符合安全测评的国产操作系统</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符合安全测评的国产数据库</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密码</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数据加解密、签名</w:t>
                  </w:r>
                  <w:r>
                    <w:rPr>
                      <w:rFonts w:ascii="仿宋_GB2312" w:hAnsi="仿宋_GB2312" w:cs="仿宋_GB2312" w:eastAsia="仿宋_GB2312"/>
                      <w:sz w:val="21"/>
                    </w:rPr>
                    <w:t>/验签、密钥管理</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到政法云带宽（</w:t>
                  </w:r>
                  <w:r>
                    <w:rPr>
                      <w:rFonts w:ascii="仿宋_GB2312" w:hAnsi="仿宋_GB2312" w:cs="仿宋_GB2312" w:eastAsia="仿宋_GB2312"/>
                      <w:sz w:val="21"/>
                    </w:rPr>
                    <w:t>1000M）（横向）</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公安侧云服务资源</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到政法云带宽（</w:t>
                  </w:r>
                  <w:r>
                    <w:rPr>
                      <w:rFonts w:ascii="仿宋_GB2312" w:hAnsi="仿宋_GB2312" w:cs="仿宋_GB2312" w:eastAsia="仿宋_GB2312"/>
                      <w:sz w:val="21"/>
                    </w:rPr>
                    <w:t>1000M）（横向）</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检察院侧云服务资源</w:t>
                  </w: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3072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2</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4</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322560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数据库（裸金属）</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CPU：96C，内存：256G，系统盘：500G，SSD云硬盘：4T</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符合安全测评的国产操作系统</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符合安全测评的国产数据库</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到政法云带宽（</w:t>
                  </w:r>
                  <w:r>
                    <w:rPr>
                      <w:rFonts w:ascii="仿宋_GB2312" w:hAnsi="仿宋_GB2312" w:cs="仿宋_GB2312" w:eastAsia="仿宋_GB2312"/>
                      <w:sz w:val="21"/>
                    </w:rPr>
                    <w:t>1000M）（横向）</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法院侧云服务资源</w:t>
                  </w: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3072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2</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4</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261120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数据库（裸金属）</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CPU：96C，内存：256G，系统盘：500G（SSD）云硬盘：4T</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OCR应用基础设施（公共支撑）</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CPU：2*24C，2.6GHz，内存：128G，系统盘：2*480G  数据盘：1T 及以上可用容量，显卡：1张</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符合安全测评的国产操作系统</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符合安全测评的国产数据库</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到政法云带宽（</w:t>
                  </w:r>
                  <w:r>
                    <w:rPr>
                      <w:rFonts w:ascii="仿宋_GB2312" w:hAnsi="仿宋_GB2312" w:cs="仿宋_GB2312" w:eastAsia="仿宋_GB2312"/>
                      <w:sz w:val="21"/>
                    </w:rPr>
                    <w:t>1000M）（横向）</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司法侧云服务资源</w:t>
                  </w: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2</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4</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23552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4"/>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 磁盘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数据库（裸金属）</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CPU：64C，内存：128G，系统盘：500G（SSD）云硬盘：4T</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符合安全测评的国产操作系统</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w:t>
                  </w:r>
                </w:p>
              </w:tc>
              <w:tc>
                <w:tcPr>
                  <w:tcW w:type="dxa" w:w="1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符合安全测评的国产数据库</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304"/>
                  <w:vMerge/>
                  <w:tcBorders>
                    <w:top w:val="none" w:color="000000" w:sz="4"/>
                    <w:left w:val="singl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到政法云带宽（</w:t>
                  </w:r>
                  <w:r>
                    <w:rPr>
                      <w:rFonts w:ascii="仿宋_GB2312" w:hAnsi="仿宋_GB2312" w:cs="仿宋_GB2312" w:eastAsia="仿宋_GB2312"/>
                      <w:sz w:val="21"/>
                    </w:rPr>
                    <w:t>1000M）（横向）</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bl>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.1.1.2</w:t>
            </w:r>
            <w:r>
              <w:rPr>
                <w:rFonts w:ascii="仿宋_GB2312" w:hAnsi="仿宋_GB2312" w:cs="仿宋_GB2312" w:eastAsia="仿宋_GB2312"/>
                <w:sz w:val="21"/>
              </w:rPr>
              <w:t>司法厅</w:t>
            </w:r>
            <w:r>
              <w:rPr>
                <w:rFonts w:ascii="仿宋_GB2312" w:hAnsi="仿宋_GB2312" w:cs="仿宋_GB2312" w:eastAsia="仿宋_GB2312"/>
                <w:sz w:val="21"/>
              </w:rPr>
              <w:t>专区</w:t>
            </w:r>
            <w:r>
              <w:rPr>
                <w:rFonts w:ascii="仿宋_GB2312" w:hAnsi="仿宋_GB2312" w:cs="仿宋_GB2312" w:eastAsia="仿宋_GB2312"/>
                <w:sz w:val="21"/>
              </w:rPr>
              <w:t>需求</w:t>
            </w:r>
          </w:p>
          <w:p>
            <w:pPr>
              <w:pStyle w:val="null3"/>
              <w:ind w:firstLine="420"/>
              <w:jc w:val="left"/>
            </w:pPr>
            <w:r>
              <w:rPr>
                <w:rFonts w:ascii="仿宋_GB2312" w:hAnsi="仿宋_GB2312" w:cs="仿宋_GB2312" w:eastAsia="仿宋_GB2312"/>
                <w:sz w:val="21"/>
              </w:rPr>
              <w:t>司法厅专区需求包括：</w:t>
            </w:r>
            <w:r>
              <w:rPr>
                <w:rFonts w:ascii="仿宋_GB2312" w:hAnsi="仿宋_GB2312" w:cs="仿宋_GB2312" w:eastAsia="仿宋_GB2312"/>
                <w:sz w:val="21"/>
              </w:rPr>
              <w:t>528</w:t>
            </w:r>
            <w:r>
              <w:rPr>
                <w:rFonts w:ascii="仿宋_GB2312" w:hAnsi="仿宋_GB2312" w:cs="仿宋_GB2312" w:eastAsia="仿宋_GB2312"/>
                <w:sz w:val="21"/>
              </w:rPr>
              <w:t>vCPU、1</w:t>
            </w:r>
            <w:r>
              <w:rPr>
                <w:rFonts w:ascii="仿宋_GB2312" w:hAnsi="仿宋_GB2312" w:cs="仿宋_GB2312" w:eastAsia="仿宋_GB2312"/>
                <w:sz w:val="21"/>
              </w:rPr>
              <w:t>104</w:t>
            </w:r>
            <w:r>
              <w:rPr>
                <w:rFonts w:ascii="仿宋_GB2312" w:hAnsi="仿宋_GB2312" w:cs="仿宋_GB2312" w:eastAsia="仿宋_GB2312"/>
                <w:sz w:val="21"/>
              </w:rPr>
              <w:t>GB内存、19860GB高性能存储、</w:t>
            </w:r>
            <w:r>
              <w:rPr>
                <w:rFonts w:ascii="仿宋_GB2312" w:hAnsi="仿宋_GB2312" w:cs="仿宋_GB2312" w:eastAsia="仿宋_GB2312"/>
                <w:sz w:val="21"/>
              </w:rPr>
              <w:t>2048</w:t>
            </w:r>
            <w:r>
              <w:rPr>
                <w:rFonts w:ascii="仿宋_GB2312" w:hAnsi="仿宋_GB2312" w:cs="仿宋_GB2312" w:eastAsia="仿宋_GB2312"/>
                <w:sz w:val="21"/>
              </w:rPr>
              <w:t>GB通用性能存储及相关配套基础软件。</w:t>
            </w:r>
          </w:p>
          <w:p>
            <w:pPr>
              <w:pStyle w:val="null3"/>
              <w:jc w:val="left"/>
            </w:pPr>
            <w:r>
              <w:rPr>
                <w:rFonts w:ascii="仿宋_GB2312" w:hAnsi="仿宋_GB2312" w:cs="仿宋_GB2312" w:eastAsia="仿宋_GB2312"/>
                <w:sz w:val="21"/>
              </w:rPr>
              <w:t>资源需求</w:t>
            </w:r>
            <w:r>
              <w:rPr>
                <w:rFonts w:ascii="仿宋_GB2312" w:hAnsi="仿宋_GB2312" w:cs="仿宋_GB2312" w:eastAsia="仿宋_GB2312"/>
                <w:sz w:val="21"/>
              </w:rPr>
              <w:t>和</w:t>
            </w:r>
            <w:r>
              <w:rPr>
                <w:rFonts w:ascii="仿宋_GB2312" w:hAnsi="仿宋_GB2312" w:cs="仿宋_GB2312" w:eastAsia="仿宋_GB2312"/>
                <w:sz w:val="21"/>
              </w:rPr>
              <w:t>明细资源数量如下表：</w:t>
            </w:r>
          </w:p>
          <w:p>
            <w:pPr>
              <w:pStyle w:val="null3"/>
              <w:jc w:val="center"/>
            </w:pPr>
            <w:r>
              <w:rPr>
                <w:rFonts w:ascii="仿宋_GB2312" w:hAnsi="仿宋_GB2312" w:cs="仿宋_GB2312" w:eastAsia="仿宋_GB2312"/>
                <w:sz w:val="21"/>
              </w:rPr>
              <w:t>司法厅专区</w:t>
            </w:r>
            <w:r>
              <w:rPr>
                <w:rFonts w:ascii="仿宋_GB2312" w:hAnsi="仿宋_GB2312" w:cs="仿宋_GB2312" w:eastAsia="仿宋_GB2312"/>
                <w:sz w:val="21"/>
              </w:rPr>
              <w:t>需求表</w:t>
            </w:r>
          </w:p>
          <w:tbl>
            <w:tblPr>
              <w:tblBorders>
                <w:top w:val="none" w:color="000000" w:sz="4"/>
                <w:left w:val="none" w:color="000000" w:sz="4"/>
                <w:bottom w:val="none" w:color="000000" w:sz="4"/>
                <w:right w:val="none" w:color="000000" w:sz="4"/>
                <w:insideH w:val="none"/>
                <w:insideV w:val="none"/>
              </w:tblBorders>
            </w:tblPr>
            <w:tblGrid>
              <w:gridCol w:w="334"/>
              <w:gridCol w:w="806"/>
              <w:gridCol w:w="504"/>
              <w:gridCol w:w="377"/>
              <w:gridCol w:w="263"/>
              <w:gridCol w:w="267"/>
            </w:tblGrid>
            <w:tr>
              <w:tc>
                <w:tcPr>
                  <w:tcW w:type="dxa" w:w="33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项目</w:t>
                  </w:r>
                </w:p>
              </w:tc>
              <w:tc>
                <w:tcPr>
                  <w:tcW w:type="dxa" w:w="8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应用</w:t>
                  </w:r>
                </w:p>
              </w:tc>
              <w:tc>
                <w:tcPr>
                  <w:tcW w:type="dxa" w:w="5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云资源类型</w:t>
                  </w:r>
                </w:p>
              </w:tc>
              <w:tc>
                <w:tcPr>
                  <w:tcW w:type="dxa" w:w="90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服务规格</w:t>
                  </w:r>
                </w:p>
              </w:tc>
            </w:tr>
            <w:tr>
              <w:tc>
                <w:tcPr>
                  <w:tcW w:type="dxa" w:w="334"/>
                  <w:vMerge/>
                  <w:tcBorders>
                    <w:top w:val="single" w:color="000000" w:sz="4"/>
                    <w:left w:val="single" w:color="000000" w:sz="4"/>
                    <w:bottom w:val="single" w:color="000000" w:sz="4"/>
                    <w:right w:val="single" w:color="000000" w:sz="4"/>
                  </w:tcBorders>
                </w:tcPr>
                <w:p/>
              </w:tc>
              <w:tc>
                <w:tcPr>
                  <w:tcW w:type="dxa" w:w="806"/>
                  <w:vMerge/>
                  <w:tcBorders>
                    <w:top w:val="single" w:color="000000" w:sz="4"/>
                    <w:left w:val="none" w:color="000000" w:sz="4"/>
                    <w:bottom w:val="single" w:color="000000" w:sz="4"/>
                    <w:right w:val="single" w:color="000000" w:sz="4"/>
                  </w:tcBorders>
                </w:tcPr>
                <w:p/>
              </w:tc>
              <w:tc>
                <w:tcPr>
                  <w:tcW w:type="dxa" w:w="504"/>
                  <w:vMerge/>
                  <w:tcBorders>
                    <w:top w:val="single" w:color="000000" w:sz="4"/>
                    <w:left w:val="non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规格</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单位</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数量</w:t>
                  </w:r>
                </w:p>
              </w:tc>
            </w:tr>
            <w:tr>
              <w:tc>
                <w:tcPr>
                  <w:tcW w:type="dxa" w:w="3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计算存储资源</w:t>
                  </w: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2</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3</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4</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5</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6</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5120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7</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8</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9</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10</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11</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5120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12</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13</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14</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15</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16</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34"/>
                  <w:vMerge/>
                  <w:tcBorders>
                    <w:top w:val="none" w:color="000000" w:sz="4"/>
                    <w:left w:val="singl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34"/>
                  <w:vMerge/>
                  <w:tcBorders>
                    <w:top w:val="none" w:color="000000" w:sz="4"/>
                    <w:left w:val="single" w:color="000000" w:sz="4"/>
                    <w:bottom w:val="single" w:color="000000" w:sz="4"/>
                    <w:right w:val="single" w:color="000000" w:sz="4"/>
                  </w:tcBorders>
                </w:tcP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OCR应用基础设施（公共支撑）</w:t>
                  </w:r>
                </w:p>
              </w:tc>
              <w:tc>
                <w:tcPr>
                  <w:tcW w:type="dxa" w:w="114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CPU：2*24C，2.6GHz，内存：128G，系统盘：2*480G数据盘：1T及以上可用容量，显卡：1张</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34"/>
                  <w:vMerge/>
                  <w:tcBorders>
                    <w:top w:val="none" w:color="000000" w:sz="4"/>
                    <w:left w:val="single" w:color="000000" w:sz="4"/>
                    <w:bottom w:val="single" w:color="000000" w:sz="4"/>
                    <w:right w:val="single" w:color="000000" w:sz="4"/>
                  </w:tcBorders>
                </w:tcP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w:t>
                  </w:r>
                </w:p>
              </w:tc>
              <w:tc>
                <w:tcPr>
                  <w:tcW w:type="dxa" w:w="114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符合安全测评的国产操作系统</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r>
            <w:tr>
              <w:tc>
                <w:tcPr>
                  <w:tcW w:type="dxa" w:w="334"/>
                  <w:vMerge/>
                  <w:tcBorders>
                    <w:top w:val="none" w:color="000000" w:sz="4"/>
                    <w:left w:val="single" w:color="000000" w:sz="4"/>
                    <w:bottom w:val="single" w:color="000000" w:sz="4"/>
                    <w:right w:val="single" w:color="000000" w:sz="4"/>
                  </w:tcBorders>
                </w:tcP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w:t>
                  </w:r>
                </w:p>
              </w:tc>
              <w:tc>
                <w:tcPr>
                  <w:tcW w:type="dxa" w:w="114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符合安全测评的国产数据库</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r>
          </w:tbl>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.1.1.3</w:t>
            </w:r>
            <w:r>
              <w:rPr>
                <w:rFonts w:ascii="仿宋_GB2312" w:hAnsi="仿宋_GB2312" w:cs="仿宋_GB2312" w:eastAsia="仿宋_GB2312"/>
                <w:sz w:val="21"/>
              </w:rPr>
              <w:t>检察院</w:t>
            </w:r>
            <w:r>
              <w:rPr>
                <w:rFonts w:ascii="仿宋_GB2312" w:hAnsi="仿宋_GB2312" w:cs="仿宋_GB2312" w:eastAsia="仿宋_GB2312"/>
                <w:sz w:val="21"/>
              </w:rPr>
              <w:t>专区</w:t>
            </w:r>
            <w:r>
              <w:rPr>
                <w:rFonts w:ascii="仿宋_GB2312" w:hAnsi="仿宋_GB2312" w:cs="仿宋_GB2312" w:eastAsia="仿宋_GB2312"/>
                <w:sz w:val="21"/>
              </w:rPr>
              <w:t>需求</w:t>
            </w:r>
          </w:p>
          <w:p>
            <w:pPr>
              <w:pStyle w:val="null3"/>
              <w:ind w:firstLine="420"/>
              <w:jc w:val="left"/>
            </w:pPr>
            <w:r>
              <w:rPr>
                <w:rFonts w:ascii="仿宋_GB2312" w:hAnsi="仿宋_GB2312" w:cs="仿宋_GB2312" w:eastAsia="仿宋_GB2312"/>
                <w:sz w:val="21"/>
              </w:rPr>
              <w:t>检察院专区需求包括：</w:t>
            </w:r>
            <w:r>
              <w:rPr>
                <w:rFonts w:ascii="仿宋_GB2312" w:hAnsi="仿宋_GB2312" w:cs="仿宋_GB2312" w:eastAsia="仿宋_GB2312"/>
                <w:sz w:val="21"/>
              </w:rPr>
              <w:t>2</w:t>
            </w:r>
            <w:r>
              <w:rPr>
                <w:rFonts w:ascii="仿宋_GB2312" w:hAnsi="仿宋_GB2312" w:cs="仿宋_GB2312" w:eastAsia="仿宋_GB2312"/>
                <w:sz w:val="21"/>
              </w:rPr>
              <w:t>56</w:t>
            </w:r>
            <w:r>
              <w:rPr>
                <w:rFonts w:ascii="仿宋_GB2312" w:hAnsi="仿宋_GB2312" w:cs="仿宋_GB2312" w:eastAsia="仿宋_GB2312"/>
                <w:sz w:val="21"/>
              </w:rPr>
              <w:t>vCPU、</w:t>
            </w:r>
            <w:r>
              <w:rPr>
                <w:rFonts w:ascii="仿宋_GB2312" w:hAnsi="仿宋_GB2312" w:cs="仿宋_GB2312" w:eastAsia="仿宋_GB2312"/>
                <w:sz w:val="21"/>
              </w:rPr>
              <w:t>768</w:t>
            </w:r>
            <w:r>
              <w:rPr>
                <w:rFonts w:ascii="仿宋_GB2312" w:hAnsi="仿宋_GB2312" w:cs="仿宋_GB2312" w:eastAsia="仿宋_GB2312"/>
                <w:sz w:val="21"/>
              </w:rPr>
              <w:t>GB内存、4448GB高性能存储、273408GB通用性能存储及相关配套基础软件。</w:t>
            </w:r>
          </w:p>
          <w:p>
            <w:pPr>
              <w:pStyle w:val="null3"/>
              <w:ind w:firstLine="420"/>
              <w:jc w:val="left"/>
            </w:pPr>
            <w:r>
              <w:rPr>
                <w:rFonts w:ascii="仿宋_GB2312" w:hAnsi="仿宋_GB2312" w:cs="仿宋_GB2312" w:eastAsia="仿宋_GB2312"/>
                <w:sz w:val="21"/>
              </w:rPr>
              <w:t>资源需求和明细资源数量如下表：</w:t>
            </w:r>
          </w:p>
          <w:tbl>
            <w:tblPr>
              <w:tblInd w:type="dxa" w:w="135"/>
              <w:tblBorders>
                <w:top w:val="none" w:color="000000" w:sz="4"/>
                <w:left w:val="none" w:color="000000" w:sz="4"/>
                <w:bottom w:val="none" w:color="000000" w:sz="4"/>
                <w:right w:val="none" w:color="000000" w:sz="4"/>
                <w:insideH w:val="none"/>
                <w:insideV w:val="none"/>
              </w:tblBorders>
            </w:tblPr>
            <w:tblGrid>
              <w:gridCol w:w="306"/>
              <w:gridCol w:w="782"/>
              <w:gridCol w:w="574"/>
              <w:gridCol w:w="322"/>
              <w:gridCol w:w="293"/>
              <w:gridCol w:w="275"/>
            </w:tblGrid>
            <w:tr>
              <w:tc>
                <w:tcPr>
                  <w:tcW w:type="dxa" w:w="30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项目</w:t>
                  </w:r>
                </w:p>
              </w:tc>
              <w:tc>
                <w:tcPr>
                  <w:tcW w:type="dxa" w:w="7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应用</w:t>
                  </w:r>
                </w:p>
              </w:tc>
              <w:tc>
                <w:tcPr>
                  <w:tcW w:type="dxa" w:w="5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云资源类型</w:t>
                  </w:r>
                </w:p>
              </w:tc>
              <w:tc>
                <w:tcPr>
                  <w:tcW w:type="dxa" w:w="89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服务规格</w:t>
                  </w:r>
                </w:p>
              </w:tc>
            </w:tr>
            <w:tr>
              <w:tc>
                <w:tcPr>
                  <w:tcW w:type="dxa" w:w="306"/>
                  <w:vMerge/>
                  <w:tcBorders>
                    <w:top w:val="single" w:color="000000" w:sz="4"/>
                    <w:left w:val="single" w:color="000000" w:sz="4"/>
                    <w:bottom w:val="single" w:color="000000" w:sz="4"/>
                    <w:right w:val="single" w:color="000000" w:sz="4"/>
                  </w:tcBorders>
                </w:tcPr>
                <w:p/>
              </w:tc>
              <w:tc>
                <w:tcPr>
                  <w:tcW w:type="dxa" w:w="782"/>
                  <w:vMerge/>
                  <w:tcBorders>
                    <w:top w:val="single" w:color="000000" w:sz="4"/>
                    <w:left w:val="none" w:color="000000" w:sz="4"/>
                    <w:bottom w:val="single" w:color="000000" w:sz="4"/>
                    <w:right w:val="single" w:color="000000" w:sz="4"/>
                  </w:tcBorders>
                </w:tcPr>
                <w:p/>
              </w:tc>
              <w:tc>
                <w:tcPr>
                  <w:tcW w:type="dxa" w:w="574"/>
                  <w:vMerge/>
                  <w:tcBorders>
                    <w:top w:val="single" w:color="000000" w:sz="4"/>
                    <w:left w:val="non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规格</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单位</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数量</w:t>
                  </w:r>
                </w:p>
              </w:tc>
            </w:tr>
            <w:tr>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云服务资源</w:t>
                  </w:r>
                </w:p>
              </w:tc>
              <w:tc>
                <w:tcPr>
                  <w:tcW w:type="dxa" w:w="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30720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2</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30720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3</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4</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204800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5</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306"/>
                  <w:vMerge/>
                  <w:tcBorders>
                    <w:top w:val="none" w:color="000000" w:sz="4"/>
                    <w:left w:val="single" w:color="000000" w:sz="4"/>
                    <w:bottom w:val="single" w:color="000000" w:sz="4"/>
                    <w:right w:val="single" w:color="000000" w:sz="4"/>
                  </w:tcBorders>
                </w:tcPr>
                <w:p/>
              </w:tc>
              <w:tc>
                <w:tcPr>
                  <w:tcW w:type="dxa" w:w="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6</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7</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8</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6"/>
                  <w:vMerge/>
                  <w:tcBorders>
                    <w:top w:val="none" w:color="000000" w:sz="4"/>
                    <w:left w:val="single" w:color="000000" w:sz="4"/>
                    <w:bottom w:val="single" w:color="000000" w:sz="4"/>
                    <w:right w:val="single" w:color="000000" w:sz="4"/>
                  </w:tcBorders>
                </w:tcPr>
                <w:p/>
              </w:tc>
              <w:tc>
                <w:tcPr>
                  <w:tcW w:type="dxa" w:w="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9</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306"/>
                  <w:vMerge/>
                  <w:tcBorders>
                    <w:top w:val="none" w:color="000000" w:sz="4"/>
                    <w:left w:val="singl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w:t>
                  </w:r>
                </w:p>
              </w:tc>
            </w:tr>
            <w:tr>
              <w:tc>
                <w:tcPr>
                  <w:tcW w:type="dxa" w:w="306"/>
                  <w:vMerge/>
                  <w:tcBorders>
                    <w:top w:val="none" w:color="000000" w:sz="4"/>
                    <w:left w:val="single" w:color="000000" w:sz="4"/>
                    <w:bottom w:val="single" w:color="000000" w:sz="4"/>
                    <w:right w:val="single" w:color="000000" w:sz="4"/>
                  </w:tcBorders>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w:t>
                  </w:r>
                </w:p>
              </w:tc>
              <w:tc>
                <w:tcPr>
                  <w:tcW w:type="dxa" w:w="118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符合安全测评的国产操作系统</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r>
            <w:tr>
              <w:tc>
                <w:tcPr>
                  <w:tcW w:type="dxa" w:w="306"/>
                  <w:vMerge/>
                  <w:tcBorders>
                    <w:top w:val="none" w:color="000000" w:sz="4"/>
                    <w:left w:val="single" w:color="000000" w:sz="4"/>
                    <w:bottom w:val="single" w:color="000000" w:sz="4"/>
                    <w:right w:val="single" w:color="000000" w:sz="4"/>
                  </w:tcBorders>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w:t>
                  </w:r>
                </w:p>
              </w:tc>
              <w:tc>
                <w:tcPr>
                  <w:tcW w:type="dxa" w:w="118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符合安全测评的国产数据库</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r>
          </w:tbl>
          <w:p>
            <w:pPr>
              <w:pStyle w:val="null3"/>
              <w:jc w:val="center"/>
            </w:pPr>
            <w:r>
              <w:rPr>
                <w:rFonts w:ascii="仿宋_GB2312" w:hAnsi="仿宋_GB2312" w:cs="仿宋_GB2312" w:eastAsia="仿宋_GB2312"/>
                <w:sz w:val="21"/>
              </w:rPr>
              <w:t>检察院专区</w:t>
            </w:r>
            <w:r>
              <w:rPr>
                <w:rFonts w:ascii="仿宋_GB2312" w:hAnsi="仿宋_GB2312" w:cs="仿宋_GB2312" w:eastAsia="仿宋_GB2312"/>
                <w:sz w:val="21"/>
              </w:rPr>
              <w:t>需求表</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.1.1.4</w:t>
            </w:r>
            <w:r>
              <w:rPr>
                <w:rFonts w:ascii="仿宋_GB2312" w:hAnsi="仿宋_GB2312" w:cs="仿宋_GB2312" w:eastAsia="仿宋_GB2312"/>
                <w:sz w:val="21"/>
              </w:rPr>
              <w:t>法院</w:t>
            </w:r>
            <w:r>
              <w:rPr>
                <w:rFonts w:ascii="仿宋_GB2312" w:hAnsi="仿宋_GB2312" w:cs="仿宋_GB2312" w:eastAsia="仿宋_GB2312"/>
                <w:sz w:val="21"/>
              </w:rPr>
              <w:t>专区</w:t>
            </w:r>
            <w:r>
              <w:rPr>
                <w:rFonts w:ascii="仿宋_GB2312" w:hAnsi="仿宋_GB2312" w:cs="仿宋_GB2312" w:eastAsia="仿宋_GB2312"/>
                <w:sz w:val="21"/>
              </w:rPr>
              <w:t>需求</w:t>
            </w:r>
          </w:p>
          <w:p>
            <w:pPr>
              <w:pStyle w:val="null3"/>
              <w:ind w:firstLine="420"/>
              <w:jc w:val="left"/>
            </w:pPr>
            <w:r>
              <w:rPr>
                <w:rFonts w:ascii="仿宋_GB2312" w:hAnsi="仿宋_GB2312" w:cs="仿宋_GB2312" w:eastAsia="仿宋_GB2312"/>
                <w:sz w:val="21"/>
              </w:rPr>
              <w:t>法院</w:t>
            </w:r>
            <w:r>
              <w:rPr>
                <w:rFonts w:ascii="仿宋_GB2312" w:hAnsi="仿宋_GB2312" w:cs="仿宋_GB2312" w:eastAsia="仿宋_GB2312"/>
                <w:sz w:val="21"/>
              </w:rPr>
              <w:t>侧需求包括：</w:t>
            </w:r>
            <w:r>
              <w:rPr>
                <w:rFonts w:ascii="仿宋_GB2312" w:hAnsi="仿宋_GB2312" w:cs="仿宋_GB2312" w:eastAsia="仿宋_GB2312"/>
                <w:sz w:val="21"/>
              </w:rPr>
              <w:t>752</w:t>
            </w:r>
            <w:r>
              <w:rPr>
                <w:rFonts w:ascii="仿宋_GB2312" w:hAnsi="仿宋_GB2312" w:cs="仿宋_GB2312" w:eastAsia="仿宋_GB2312"/>
                <w:sz w:val="21"/>
              </w:rPr>
              <w:t>vCPU、6176GB内存、37364GB高性能存储、354304GB通用性能存储、1台裸金属服务器及相关配套基础软件。</w:t>
            </w:r>
          </w:p>
          <w:p>
            <w:pPr>
              <w:pStyle w:val="null3"/>
              <w:ind w:firstLine="420"/>
              <w:jc w:val="left"/>
            </w:pPr>
            <w:r>
              <w:rPr>
                <w:rFonts w:ascii="仿宋_GB2312" w:hAnsi="仿宋_GB2312" w:cs="仿宋_GB2312" w:eastAsia="仿宋_GB2312"/>
                <w:sz w:val="21"/>
              </w:rPr>
              <w:t>资源需求和明细资源数量如下表：</w:t>
            </w:r>
          </w:p>
          <w:tbl>
            <w:tblPr>
              <w:tblInd w:type="dxa" w:w="135"/>
              <w:tblBorders>
                <w:top w:val="none" w:color="000000" w:sz="4"/>
                <w:left w:val="none" w:color="000000" w:sz="4"/>
                <w:bottom w:val="none" w:color="000000" w:sz="4"/>
                <w:right w:val="none" w:color="000000" w:sz="4"/>
                <w:insideH w:val="none"/>
                <w:insideV w:val="none"/>
              </w:tblBorders>
            </w:tblPr>
            <w:tblGrid>
              <w:gridCol w:w="279"/>
              <w:gridCol w:w="748"/>
              <w:gridCol w:w="624"/>
              <w:gridCol w:w="369"/>
              <w:gridCol w:w="266"/>
              <w:gridCol w:w="267"/>
            </w:tblGrid>
            <w:tr>
              <w:tc>
                <w:tcPr>
                  <w:tcW w:type="dxa" w:w="27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项目</w:t>
                  </w:r>
                </w:p>
              </w:tc>
              <w:tc>
                <w:tcPr>
                  <w:tcW w:type="dxa" w:w="7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应用</w:t>
                  </w:r>
                </w:p>
              </w:tc>
              <w:tc>
                <w:tcPr>
                  <w:tcW w:type="dxa" w:w="6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云资源类型</w:t>
                  </w:r>
                </w:p>
              </w:tc>
              <w:tc>
                <w:tcPr>
                  <w:tcW w:type="dxa" w:w="90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服务规格</w:t>
                  </w:r>
                </w:p>
              </w:tc>
            </w:tr>
            <w:tr>
              <w:tc>
                <w:tcPr>
                  <w:tcW w:type="dxa" w:w="279"/>
                  <w:vMerge/>
                  <w:tcBorders>
                    <w:top w:val="single" w:color="000000" w:sz="4"/>
                    <w:left w:val="single" w:color="000000" w:sz="4"/>
                    <w:bottom w:val="single" w:color="000000" w:sz="4"/>
                    <w:right w:val="single" w:color="000000" w:sz="4"/>
                  </w:tcBorders>
                </w:tcPr>
                <w:p/>
              </w:tc>
              <w:tc>
                <w:tcPr>
                  <w:tcW w:type="dxa" w:w="748"/>
                  <w:vMerge/>
                  <w:tcBorders>
                    <w:top w:val="single" w:color="000000" w:sz="4"/>
                    <w:left w:val="none" w:color="000000" w:sz="4"/>
                    <w:bottom w:val="single" w:color="000000" w:sz="4"/>
                    <w:right w:val="single" w:color="000000" w:sz="4"/>
                  </w:tcBorders>
                </w:tcPr>
                <w:p/>
              </w:tc>
              <w:tc>
                <w:tcPr>
                  <w:tcW w:type="dxa" w:w="624"/>
                  <w:vMerge/>
                  <w:tcBorders>
                    <w:top w:val="single" w:color="000000" w:sz="4"/>
                    <w:left w:val="none" w:color="000000" w:sz="4"/>
                    <w:bottom w:val="single" w:color="000000" w:sz="4"/>
                    <w:right w:val="single" w:color="000000" w:sz="4"/>
                  </w:tcBorders>
                </w:tcP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规格</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单位</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数量</w:t>
                  </w:r>
                </w:p>
              </w:tc>
            </w:tr>
            <w:tr>
              <w:tc>
                <w:tcPr>
                  <w:tcW w:type="dxa" w:w="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云服务资源</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8192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279"/>
                  <w:vMerge/>
                  <w:tcBorders>
                    <w:top w:val="none" w:color="000000" w:sz="4"/>
                    <w:left w:val="single" w:color="000000" w:sz="4"/>
                    <w:bottom w:val="single" w:color="000000" w:sz="4"/>
                    <w:right w:val="single" w:color="000000" w:sz="4"/>
                  </w:tcBorders>
                </w:tcP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256</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8192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r>
            <w:tr>
              <w:tc>
                <w:tcPr>
                  <w:tcW w:type="dxa" w:w="279"/>
                  <w:vMerge/>
                  <w:tcBorders>
                    <w:top w:val="none" w:color="000000" w:sz="4"/>
                    <w:left w:val="single" w:color="000000" w:sz="4"/>
                    <w:bottom w:val="single" w:color="000000" w:sz="4"/>
                    <w:right w:val="single" w:color="000000" w:sz="4"/>
                  </w:tcBorders>
                </w:tcP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256</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40960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279"/>
                  <w:vMerge/>
                  <w:tcBorders>
                    <w:top w:val="none" w:color="000000" w:sz="4"/>
                    <w:left w:val="single" w:color="000000" w:sz="4"/>
                    <w:bottom w:val="single" w:color="000000" w:sz="4"/>
                    <w:right w:val="single" w:color="000000" w:sz="4"/>
                  </w:tcBorders>
                </w:tcP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20480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279"/>
                  <w:vMerge/>
                  <w:tcBorders>
                    <w:top w:val="none" w:color="000000" w:sz="4"/>
                    <w:left w:val="single" w:color="000000" w:sz="4"/>
                    <w:bottom w:val="single" w:color="000000" w:sz="4"/>
                    <w:right w:val="single" w:color="000000" w:sz="4"/>
                  </w:tcBorders>
                </w:tcP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w:t>
                  </w:r>
                  <w:r>
                    <w:rPr>
                      <w:rFonts w:ascii="仿宋_GB2312" w:hAnsi="仿宋_GB2312" w:cs="仿宋_GB2312" w:eastAsia="仿宋_GB2312"/>
                      <w:sz w:val="21"/>
                    </w:rPr>
                    <w:t>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SSD）</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9"/>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数据盘</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51200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9"/>
                  <w:vMerge/>
                  <w:tcBorders>
                    <w:top w:val="none" w:color="000000" w:sz="4"/>
                    <w:left w:val="single" w:color="000000" w:sz="4"/>
                    <w:bottom w:val="singl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裸金属</w:t>
                  </w:r>
                </w:p>
              </w:tc>
              <w:tc>
                <w:tcPr>
                  <w:tcW w:type="dxa" w:w="12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CPU：2*24核，内存：512GB，硬盘：2块1T；2块12T</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9"/>
                  <w:vMerge/>
                  <w:tcBorders>
                    <w:top w:val="none" w:color="000000" w:sz="4"/>
                    <w:left w:val="single" w:color="000000" w:sz="4"/>
                    <w:bottom w:val="singl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OCR 应用基础设施（公共支撑）</w:t>
                  </w:r>
                </w:p>
              </w:tc>
              <w:tc>
                <w:tcPr>
                  <w:tcW w:type="dxa" w:w="12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CPU：2*24C，2.6GHz，内存：128G，系统盘：2*480G  数据盘：1T 及以上可用容量，显卡：1张</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279"/>
                  <w:vMerge/>
                  <w:tcBorders>
                    <w:top w:val="none" w:color="000000" w:sz="4"/>
                    <w:left w:val="single" w:color="000000" w:sz="4"/>
                    <w:bottom w:val="singl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w:t>
                  </w:r>
                </w:p>
              </w:tc>
              <w:tc>
                <w:tcPr>
                  <w:tcW w:type="dxa" w:w="12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符合安全测评的国产操作系统</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r>
            <w:tr>
              <w:tc>
                <w:tcPr>
                  <w:tcW w:type="dxa" w:w="279"/>
                  <w:vMerge/>
                  <w:tcBorders>
                    <w:top w:val="none" w:color="000000" w:sz="4"/>
                    <w:left w:val="single" w:color="000000" w:sz="4"/>
                    <w:bottom w:val="singl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w:t>
                  </w:r>
                </w:p>
              </w:tc>
              <w:tc>
                <w:tcPr>
                  <w:tcW w:type="dxa" w:w="12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符合安全测评的国产数据库</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r>
          </w:tbl>
          <w:p>
            <w:pPr>
              <w:pStyle w:val="null3"/>
              <w:jc w:val="center"/>
            </w:pPr>
            <w:r>
              <w:rPr>
                <w:rFonts w:ascii="仿宋_GB2312" w:hAnsi="仿宋_GB2312" w:cs="仿宋_GB2312" w:eastAsia="仿宋_GB2312"/>
                <w:sz w:val="21"/>
              </w:rPr>
              <w:t>法院</w:t>
            </w:r>
            <w:r>
              <w:rPr>
                <w:rFonts w:ascii="仿宋_GB2312" w:hAnsi="仿宋_GB2312" w:cs="仿宋_GB2312" w:eastAsia="仿宋_GB2312"/>
                <w:sz w:val="21"/>
              </w:rPr>
              <w:t>专区</w:t>
            </w:r>
            <w:r>
              <w:rPr>
                <w:rFonts w:ascii="仿宋_GB2312" w:hAnsi="仿宋_GB2312" w:cs="仿宋_GB2312" w:eastAsia="仿宋_GB2312"/>
                <w:sz w:val="21"/>
              </w:rPr>
              <w:t>需求表</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.1.1.</w:t>
            </w:r>
            <w:r>
              <w:rPr>
                <w:rFonts w:ascii="仿宋_GB2312" w:hAnsi="仿宋_GB2312" w:cs="仿宋_GB2312" w:eastAsia="仿宋_GB2312"/>
                <w:sz w:val="21"/>
                <w:b/>
              </w:rPr>
              <w:t>5</w:t>
            </w:r>
            <w:r>
              <w:rPr>
                <w:rFonts w:ascii="仿宋_GB2312" w:hAnsi="仿宋_GB2312" w:cs="仿宋_GB2312" w:eastAsia="仿宋_GB2312"/>
                <w:sz w:val="21"/>
              </w:rPr>
              <w:t>网络设备运营服务</w:t>
            </w:r>
            <w:r>
              <w:rPr>
                <w:rFonts w:ascii="仿宋_GB2312" w:hAnsi="仿宋_GB2312" w:cs="仿宋_GB2312" w:eastAsia="仿宋_GB2312"/>
                <w:sz w:val="21"/>
              </w:rPr>
              <w:t>需求</w:t>
            </w:r>
          </w:p>
          <w:p>
            <w:pPr>
              <w:pStyle w:val="null3"/>
              <w:ind w:firstLine="420"/>
              <w:jc w:val="left"/>
            </w:pPr>
            <w:r>
              <w:rPr>
                <w:rFonts w:ascii="仿宋_GB2312" w:hAnsi="仿宋_GB2312" w:cs="仿宋_GB2312" w:eastAsia="仿宋_GB2312"/>
                <w:sz w:val="21"/>
              </w:rPr>
              <w:t>资源需求如下表：</w:t>
            </w:r>
          </w:p>
          <w:tbl>
            <w:tblPr>
              <w:tblInd w:type="dxa" w:w="120"/>
              <w:tblBorders>
                <w:top w:val="none" w:color="000000" w:sz="4"/>
                <w:left w:val="none" w:color="000000" w:sz="4"/>
                <w:bottom w:val="none" w:color="000000" w:sz="4"/>
                <w:right w:val="none" w:color="000000" w:sz="4"/>
                <w:insideH w:val="none"/>
                <w:insideV w:val="none"/>
              </w:tblBorders>
            </w:tblPr>
            <w:tblGrid>
              <w:gridCol w:w="164"/>
              <w:gridCol w:w="164"/>
              <w:gridCol w:w="246"/>
              <w:gridCol w:w="1649"/>
              <w:gridCol w:w="328"/>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服务类型</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服务名称</w:t>
                  </w:r>
                </w:p>
              </w:tc>
              <w:tc>
                <w:tcPr>
                  <w:tcW w:type="dxa" w:w="1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服务配置</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数量（台）</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网络设备</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VPN设备服务</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、流量处理能力：最大三层吞吐量</w:t>
                  </w:r>
                  <w:r>
                    <w:rPr>
                      <w:rFonts w:ascii="仿宋_GB2312" w:hAnsi="仿宋_GB2312" w:cs="仿宋_GB2312" w:eastAsia="仿宋_GB2312"/>
                      <w:sz w:val="21"/>
                    </w:rPr>
                    <w:t>10Gbps，最大并发连接数300万；每秒新建连接数5万；</w:t>
                  </w:r>
                  <w:r>
                    <w:br/>
                  </w:r>
                  <w:r>
                    <w:rPr>
                      <w:rFonts w:ascii="仿宋_GB2312" w:hAnsi="仿宋_GB2312" w:cs="仿宋_GB2312" w:eastAsia="仿宋_GB2312"/>
                      <w:sz w:val="21"/>
                    </w:rPr>
                    <w:t>2、功能要求：支持会话控制功能，要求能够基于源、连接数做会话数限制，支持按照用户、应用、时间、接口类型、地址、服务等方式对数据进行访问控制；配置GREVPN，支持点对点、点对多点；配置IPsecVPN和SSLVPN功能，不限并发用户数；支持源IP联动封锁；支持入侵防护功能，支持资产风险识别，可支持病毒查杀功能，对应用流量实行带宽限制、带宽保证等策略；</w:t>
                  </w:r>
                  <w:r>
                    <w:br/>
                  </w:r>
                  <w:r>
                    <w:rPr>
                      <w:rFonts w:ascii="仿宋_GB2312" w:hAnsi="仿宋_GB2312" w:cs="仿宋_GB2312" w:eastAsia="仿宋_GB2312"/>
                      <w:sz w:val="21"/>
                    </w:rPr>
                    <w:t>2、配置IPsecVPN和SSLVPN功能,采用商密算法，符合《IPSecVPN网关产品规范》。</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网络设备</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交换机服务</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1、24个千兆光口,其中8个10/100/1000Base-TCombo,4个万兆光口,2个GE堆叠口。</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支持静态</w:t>
                  </w:r>
                  <w:r>
                    <w:rPr>
                      <w:rFonts w:ascii="仿宋_GB2312" w:hAnsi="仿宋_GB2312" w:cs="仿宋_GB2312" w:eastAsia="仿宋_GB2312"/>
                      <w:sz w:val="21"/>
                    </w:rPr>
                    <w:t>VLAN、基于 MAC 地址 / IP 地址 / 协议的动态 VLAN；支持 IEEE 802.3ad LACP 链路聚合</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IEEE 802.3ad LACP 链路聚合</w:t>
                  </w: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网络设备</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一体化光闸服务</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1、硬件配置要求：包含内网汇聚服务前置、外网汇聚服务后置、2台单向光闸四个设备组成；</w:t>
                  </w:r>
                  <w:r>
                    <w:br/>
                  </w:r>
                  <w:r>
                    <w:rPr>
                      <w:rFonts w:ascii="仿宋_GB2312" w:hAnsi="仿宋_GB2312" w:cs="仿宋_GB2312" w:eastAsia="仿宋_GB2312"/>
                      <w:sz w:val="21"/>
                    </w:rPr>
                    <w:t>2、接口要求：内外网汇聚服务前置、后置均支持6个100/1000Mbps自适应千兆RJ45接口。</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安全设备</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防火墙服务</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设备功能：产品支持透明传输、路由转发模式部署，支持路由设置、高可用性等组网与部署能力；提供包过滤、地址转换、状态检测、动态开放端口、带宽管理、连接数控制等网络层访问控制能力；提供应用类型控制、应用关键内容控制等应用层控制功能；提供拒绝服务攻击防护、恶意代码防护、应用攻击防护等功能；</w:t>
                  </w:r>
                  <w:r>
                    <w:br/>
                  </w:r>
                  <w:r>
                    <w:rPr>
                      <w:rFonts w:ascii="仿宋_GB2312" w:hAnsi="仿宋_GB2312" w:cs="仿宋_GB2312" w:eastAsia="仿宋_GB2312"/>
                      <w:sz w:val="21"/>
                    </w:rPr>
                    <w:t>2、操作系统：国产操作系统；</w:t>
                  </w:r>
                  <w:r>
                    <w:br/>
                  </w:r>
                  <w:r>
                    <w:rPr>
                      <w:rFonts w:ascii="仿宋_GB2312" w:hAnsi="仿宋_GB2312" w:cs="仿宋_GB2312" w:eastAsia="仿宋_GB2312"/>
                      <w:sz w:val="21"/>
                    </w:rPr>
                    <w:t>3、硬件及接口：8个千兆电口、8个千兆光口、16个万兆光口，满配光模块，电源满配；</w:t>
                  </w:r>
                  <w:r>
                    <w:br/>
                  </w:r>
                  <w:r>
                    <w:rPr>
                      <w:rFonts w:ascii="仿宋_GB2312" w:hAnsi="仿宋_GB2312" w:cs="仿宋_GB2312" w:eastAsia="仿宋_GB2312"/>
                      <w:sz w:val="21"/>
                    </w:rPr>
                    <w:t>4、设备性能：整机网络层吞吐： IPv4:68Gbps， 整机TCP新建：259万/秒，整机TCP并发：6000万。</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.1.1.</w:t>
            </w:r>
            <w:r>
              <w:rPr>
                <w:rFonts w:ascii="仿宋_GB2312" w:hAnsi="仿宋_GB2312" w:cs="仿宋_GB2312" w:eastAsia="仿宋_GB2312"/>
                <w:sz w:val="21"/>
                <w:b/>
              </w:rPr>
              <w:t>6</w:t>
            </w:r>
            <w:r>
              <w:rPr>
                <w:rFonts w:ascii="仿宋_GB2312" w:hAnsi="仿宋_GB2312" w:cs="仿宋_GB2312" w:eastAsia="仿宋_GB2312"/>
                <w:sz w:val="21"/>
              </w:rPr>
              <w:t>数据备份运营服务</w:t>
            </w:r>
            <w:r>
              <w:rPr>
                <w:rFonts w:ascii="仿宋_GB2312" w:hAnsi="仿宋_GB2312" w:cs="仿宋_GB2312" w:eastAsia="仿宋_GB2312"/>
                <w:sz w:val="21"/>
              </w:rPr>
              <w:t>需</w:t>
            </w:r>
            <w:r>
              <w:rPr>
                <w:rFonts w:ascii="仿宋_GB2312" w:hAnsi="仿宋_GB2312" w:cs="仿宋_GB2312" w:eastAsia="仿宋_GB2312"/>
                <w:sz w:val="21"/>
              </w:rPr>
              <w:t>求</w:t>
            </w:r>
          </w:p>
          <w:p>
            <w:pPr>
              <w:pStyle w:val="null3"/>
              <w:ind w:firstLine="420"/>
              <w:jc w:val="left"/>
            </w:pPr>
            <w:r>
              <w:rPr>
                <w:rFonts w:ascii="仿宋_GB2312" w:hAnsi="仿宋_GB2312" w:cs="仿宋_GB2312" w:eastAsia="仿宋_GB2312"/>
                <w:sz w:val="21"/>
              </w:rPr>
              <w:t>资源需求如下表：</w:t>
            </w:r>
          </w:p>
          <w:tbl>
            <w:tblPr>
              <w:tblInd w:type="dxa" w:w="120"/>
              <w:tblBorders>
                <w:top w:val="none" w:color="000000" w:sz="4"/>
                <w:left w:val="none" w:color="000000" w:sz="4"/>
                <w:bottom w:val="none" w:color="000000" w:sz="4"/>
                <w:right w:val="none" w:color="000000" w:sz="4"/>
                <w:insideH w:val="none"/>
                <w:insideV w:val="none"/>
              </w:tblBorders>
            </w:tblPr>
            <w:tblGrid>
              <w:gridCol w:w="148"/>
              <w:gridCol w:w="235"/>
              <w:gridCol w:w="1693"/>
              <w:gridCol w:w="328"/>
              <w:gridCol w:w="148"/>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服务项目</w:t>
                  </w:r>
                </w:p>
              </w:tc>
              <w:tc>
                <w:tcPr>
                  <w:tcW w:type="dxa" w:w="1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服务描述</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本地备份服务</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1、国产化设备；</w:t>
                  </w:r>
                  <w:r>
                    <w:br/>
                  </w:r>
                  <w:r>
                    <w:rPr>
                      <w:rFonts w:ascii="仿宋_GB2312" w:hAnsi="仿宋_GB2312" w:cs="仿宋_GB2312" w:eastAsia="仿宋_GB2312"/>
                      <w:sz w:val="21"/>
                    </w:rPr>
                    <w:t>2、支持国产化操作系统、文件、数据库备份与恢复; 支持国内虚拟化平台备份与恢复。</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1048576</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异地备份服务</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1、国产化设备；</w:t>
                  </w:r>
                  <w:r>
                    <w:br/>
                  </w:r>
                  <w:r>
                    <w:rPr>
                      <w:rFonts w:ascii="仿宋_GB2312" w:hAnsi="仿宋_GB2312" w:cs="仿宋_GB2312" w:eastAsia="仿宋_GB2312"/>
                      <w:sz w:val="21"/>
                    </w:rPr>
                    <w:t>2、支持国产化操作系统、文件、数据库备份与恢复; 支持国内虚拟化平台备份与恢复。</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1048576</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VPN 设备服务</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1、流量处理能力：最大三层吞吐量10Gbps，最大并发连接数300万；每秒新建连接数5万；</w:t>
                  </w:r>
                  <w:r>
                    <w:br/>
                  </w:r>
                  <w:r>
                    <w:rPr>
                      <w:rFonts w:ascii="仿宋_GB2312" w:hAnsi="仿宋_GB2312" w:cs="仿宋_GB2312" w:eastAsia="仿宋_GB2312"/>
                      <w:sz w:val="21"/>
                    </w:rPr>
                    <w:t>2、功能要求：支持会话控制功能，要求能够基于源、连接数做会话数限制，支持按照用户、应用、时间、接口类型、地址、服务等方式对数据进行访问控制；配置GREVPN，支持点对点、点对多点；配置IPsecVPN和SSLVPN功能，不限并发用户数；支持源IP联动封锁；支持入侵防护功能，支持资产风险识别，可支持病毒查杀功能，对应用流量实行带宽限制、带宽保证等策略；</w:t>
                  </w:r>
                  <w:r>
                    <w:br/>
                  </w:r>
                  <w:r>
                    <w:rPr>
                      <w:rFonts w:ascii="仿宋_GB2312" w:hAnsi="仿宋_GB2312" w:cs="仿宋_GB2312" w:eastAsia="仿宋_GB2312"/>
                      <w:sz w:val="21"/>
                    </w:rPr>
                    <w:t>3、配置IPsecVPN和SSLVPN功能,采用商密算法，符合《IPSecVPN网关产品规范》</w:t>
                  </w:r>
                  <w:r>
                    <w:rPr>
                      <w:rFonts w:ascii="仿宋_GB2312" w:hAnsi="仿宋_GB2312" w:cs="仿宋_GB2312" w:eastAsia="仿宋_GB2312"/>
                      <w:sz w:val="22"/>
                    </w:rPr>
                    <w:t>。</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交换机服务</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1、24个千兆光口,其中8个10/100/1000Base-TCombo,4个万兆光口,2个GE堆叠口。</w:t>
                  </w:r>
                </w:p>
                <w:p>
                  <w:pPr>
                    <w:pStyle w:val="null3"/>
                    <w:jc w:val="left"/>
                  </w:pPr>
                  <w:r>
                    <w:rPr>
                      <w:rFonts w:ascii="仿宋_GB2312" w:hAnsi="仿宋_GB2312" w:cs="仿宋_GB2312" w:eastAsia="仿宋_GB2312"/>
                      <w:sz w:val="22"/>
                    </w:rPr>
                    <w:t>2、支持静态 VLAN、基于 MAC 地址 / IP 地址 / 协议的动态 VLAN；支持 IEEE 802.3ad LACP 链路聚合。支持 IEEE 802.3ad LACP 链路聚合。</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到政法云带宽</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1000M（纵向）</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r>
          </w:tbl>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.1.1.</w:t>
            </w:r>
            <w:r>
              <w:rPr>
                <w:rFonts w:ascii="仿宋_GB2312" w:hAnsi="仿宋_GB2312" w:cs="仿宋_GB2312" w:eastAsia="仿宋_GB2312"/>
                <w:sz w:val="21"/>
                <w:b/>
              </w:rPr>
              <w:t>7</w:t>
            </w:r>
            <w:r>
              <w:rPr>
                <w:rFonts w:ascii="仿宋_GB2312" w:hAnsi="仿宋_GB2312" w:cs="仿宋_GB2312" w:eastAsia="仿宋_GB2312"/>
                <w:sz w:val="21"/>
              </w:rPr>
              <w:t>安全保障服务</w:t>
            </w:r>
            <w:r>
              <w:rPr>
                <w:rFonts w:ascii="仿宋_GB2312" w:hAnsi="仿宋_GB2312" w:cs="仿宋_GB2312" w:eastAsia="仿宋_GB2312"/>
                <w:sz w:val="21"/>
              </w:rPr>
              <w:t>需</w:t>
            </w:r>
            <w:r>
              <w:rPr>
                <w:rFonts w:ascii="仿宋_GB2312" w:hAnsi="仿宋_GB2312" w:cs="仿宋_GB2312" w:eastAsia="仿宋_GB2312"/>
                <w:sz w:val="21"/>
              </w:rPr>
              <w:t>求</w:t>
            </w:r>
          </w:p>
          <w:p>
            <w:pPr>
              <w:pStyle w:val="null3"/>
              <w:ind w:firstLine="420"/>
              <w:jc w:val="left"/>
            </w:pPr>
            <w:r>
              <w:rPr>
                <w:rFonts w:ascii="仿宋_GB2312" w:hAnsi="仿宋_GB2312" w:cs="仿宋_GB2312" w:eastAsia="仿宋_GB2312"/>
                <w:sz w:val="21"/>
              </w:rPr>
              <w:t>资源需求如下表：</w:t>
            </w:r>
          </w:p>
          <w:tbl>
            <w:tblPr>
              <w:tblInd w:type="dxa" w:w="120"/>
              <w:tblBorders>
                <w:top w:val="none" w:color="000000" w:sz="4"/>
                <w:left w:val="none" w:color="000000" w:sz="4"/>
                <w:bottom w:val="none" w:color="000000" w:sz="4"/>
                <w:right w:val="none" w:color="000000" w:sz="4"/>
                <w:insideH w:val="none"/>
                <w:insideV w:val="none"/>
              </w:tblBorders>
            </w:tblPr>
            <w:tblGrid>
              <w:gridCol w:w="148"/>
              <w:gridCol w:w="667"/>
              <w:gridCol w:w="1401"/>
              <w:gridCol w:w="189"/>
              <w:gridCol w:w="148"/>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服务项目</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服务描述</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WEB应用防火墙软件服务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Web应用攻击防护、威胁情报分析</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综合日志审计分析平台软件服务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日志集中收集与分析</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126</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漏洞扫描系统软件服务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主机漏洞扫描、</w:t>
                  </w:r>
                  <w:r>
                    <w:rPr>
                      <w:rFonts w:ascii="仿宋_GB2312" w:hAnsi="仿宋_GB2312" w:cs="仿宋_GB2312" w:eastAsia="仿宋_GB2312"/>
                      <w:sz w:val="22"/>
                    </w:rPr>
                    <w:t>Web漏洞扫描、数据库漏洞扫描、配置核查、弱口令扫描</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运维审计与风险控制系统服务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运维行为审计、运维行为管控、运维账户管控</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126</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防火墙软件服务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网络防火墙、入侵防御、网络病毒防护</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6</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主机安全及管理系统软件服务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防病毒、终端管控、主机防火墙、勒索病毒防护、挖矿病毒防护、网络入侵监测</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126</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7</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APT攻击预警平台软件服务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网络流量分析与攻击监测、文件沙箱分析、威胁情报分析</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8</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数据库审计与风险控制系统软件服务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数据库访问行为审计、数据库攻击监测与告警</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pPr>
              <w:pStyle w:val="null3"/>
              <w:jc w:val="left"/>
            </w:pPr>
            <w:r>
              <w:rPr>
                <w:rFonts w:ascii="仿宋_GB2312" w:hAnsi="仿宋_GB2312" w:cs="仿宋_GB2312" w:eastAsia="仿宋_GB2312"/>
                <w:sz w:val="21"/>
                <w:b/>
              </w:rPr>
              <w:t>1.1.2</w:t>
            </w:r>
            <w:r>
              <w:rPr>
                <w:rFonts w:ascii="仿宋_GB2312" w:hAnsi="仿宋_GB2312" w:cs="仿宋_GB2312" w:eastAsia="仿宋_GB2312"/>
                <w:sz w:val="21"/>
                <w:b/>
              </w:rPr>
              <w:t>政法云服务要求</w:t>
            </w:r>
          </w:p>
          <w:p>
            <w:pPr>
              <w:pStyle w:val="null3"/>
              <w:ind w:firstLine="420"/>
            </w:pPr>
            <w:r>
              <w:rPr>
                <w:rFonts w:ascii="仿宋_GB2312" w:hAnsi="仿宋_GB2312" w:cs="仿宋_GB2312" w:eastAsia="仿宋_GB2312"/>
                <w:sz w:val="21"/>
              </w:rPr>
              <w:t>政法云全面的云资源基础设施服务体系，包含计算服务、存储服务、网络服务、备份服务、安全服务、操作系统、数据库、安全扩展、监测管理、运维管理等服务内容。</w:t>
            </w:r>
            <w:r>
              <w:rPr>
                <w:rFonts w:ascii="仿宋_GB2312" w:hAnsi="仿宋_GB2312" w:cs="仿宋_GB2312" w:eastAsia="仿宋_GB2312"/>
                <w:sz w:val="21"/>
              </w:rPr>
              <w:t>中标人</w:t>
            </w:r>
            <w:r>
              <w:rPr>
                <w:rFonts w:ascii="仿宋_GB2312" w:hAnsi="仿宋_GB2312" w:cs="仿宋_GB2312" w:eastAsia="仿宋_GB2312"/>
                <w:sz w:val="21"/>
              </w:rPr>
              <w:t>所提供各类服务的准确性（服务内容与要求的符合度）达到</w:t>
            </w:r>
            <w:r>
              <w:rPr>
                <w:rFonts w:ascii="仿宋_GB2312" w:hAnsi="仿宋_GB2312" w:cs="仿宋_GB2312" w:eastAsia="仿宋_GB2312"/>
                <w:sz w:val="21"/>
              </w:rPr>
              <w:t>100%，服务内容云平台故障造成业务中断次数为0，数据的可靠性不低于99.9999%，云平台整体的业务连续性达到99.99%以上，各类服务响应及时性满足率达到100%，保障服务使用单位的信息安全事件发生率为0。</w:t>
            </w:r>
          </w:p>
          <w:p>
            <w:pPr>
              <w:pStyle w:val="null3"/>
              <w:ind w:firstLine="420"/>
            </w:pPr>
            <w:r>
              <w:rPr>
                <w:rFonts w:ascii="仿宋_GB2312" w:hAnsi="仿宋_GB2312" w:cs="仿宋_GB2312" w:eastAsia="仿宋_GB2312"/>
                <w:sz w:val="21"/>
              </w:rPr>
              <w:t>政法云满足政法云管理单位统一的运维监管要求和安全监管要求，按照监管数据要求提供</w:t>
            </w:r>
            <w:r>
              <w:rPr>
                <w:rFonts w:ascii="仿宋_GB2312" w:hAnsi="仿宋_GB2312" w:cs="仿宋_GB2312" w:eastAsia="仿宋_GB2312"/>
                <w:sz w:val="21"/>
              </w:rPr>
              <w:t>“网络流量接口、网络协议接口、云主机接口和应用程序编程接口”等数据接口。云平台服务交付使用时需将云平台最高权限账号交由服务采购人管理，并在审核监管下使用。云平台服务商需配合做好政法云平台数据的备份和安全管理工作，避免数据泄露和丢失。</w:t>
            </w:r>
            <w:r>
              <w:rPr>
                <w:rFonts w:ascii="仿宋_GB2312" w:hAnsi="仿宋_GB2312" w:cs="仿宋_GB2312" w:eastAsia="仿宋_GB2312"/>
                <w:sz w:val="21"/>
              </w:rPr>
              <w:t>合同</w:t>
            </w:r>
            <w:r>
              <w:rPr>
                <w:rFonts w:ascii="仿宋_GB2312" w:hAnsi="仿宋_GB2312" w:cs="仿宋_GB2312" w:eastAsia="仿宋_GB2312"/>
                <w:sz w:val="21"/>
              </w:rPr>
              <w:t>服务期间需配合服务采购人、政法云使用人做好与云平台相关的监督检查、加固处置、资源调整等各项服务保障工作。</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本次</w:t>
            </w:r>
            <w:r>
              <w:rPr>
                <w:rFonts w:ascii="仿宋_GB2312" w:hAnsi="仿宋_GB2312" w:cs="仿宋_GB2312" w:eastAsia="仿宋_GB2312"/>
                <w:sz w:val="21"/>
              </w:rPr>
              <w:t>提供的</w:t>
            </w:r>
            <w:r>
              <w:rPr>
                <w:rFonts w:ascii="仿宋_GB2312" w:hAnsi="仿宋_GB2312" w:cs="仿宋_GB2312" w:eastAsia="仿宋_GB2312"/>
                <w:sz w:val="21"/>
              </w:rPr>
              <w:t>政法云</w:t>
            </w:r>
            <w:r>
              <w:rPr>
                <w:rFonts w:ascii="仿宋_GB2312" w:hAnsi="仿宋_GB2312" w:cs="仿宋_GB2312" w:eastAsia="仿宋_GB2312"/>
                <w:sz w:val="21"/>
              </w:rPr>
              <w:t>基础资源</w:t>
            </w:r>
            <w:r>
              <w:rPr>
                <w:rFonts w:ascii="仿宋_GB2312" w:hAnsi="仿宋_GB2312" w:cs="仿宋_GB2312" w:eastAsia="仿宋_GB2312"/>
                <w:sz w:val="21"/>
              </w:rPr>
              <w:t>要求与其他信息系统和网络物理隔离</w:t>
            </w:r>
            <w:r>
              <w:rPr>
                <w:rFonts w:ascii="仿宋_GB2312" w:hAnsi="仿宋_GB2312" w:cs="仿宋_GB2312" w:eastAsia="仿宋_GB2312"/>
                <w:sz w:val="21"/>
              </w:rPr>
              <w:t>，</w:t>
            </w:r>
            <w:r>
              <w:rPr>
                <w:rFonts w:ascii="仿宋_GB2312" w:hAnsi="仿宋_GB2312" w:cs="仿宋_GB2312" w:eastAsia="仿宋_GB2312"/>
                <w:sz w:val="21"/>
              </w:rPr>
              <w:t>政法云所有软硬件设备设施均要求符合政府采购国产化相关政策、标准，符合相关安全可靠测评要求</w:t>
            </w:r>
            <w:r>
              <w:rPr>
                <w:rFonts w:ascii="仿宋_GB2312" w:hAnsi="仿宋_GB2312" w:cs="仿宋_GB2312" w:eastAsia="仿宋_GB2312"/>
                <w:sz w:val="21"/>
              </w:rPr>
              <w:t>（提供承诺函）</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中标人在服务期限内</w:t>
            </w:r>
            <w:r>
              <w:rPr>
                <w:rFonts w:ascii="仿宋_GB2312" w:hAnsi="仿宋_GB2312" w:cs="仿宋_GB2312" w:eastAsia="仿宋_GB2312"/>
                <w:sz w:val="21"/>
              </w:rPr>
              <w:t>按照采购人需求</w:t>
            </w:r>
            <w:r>
              <w:rPr>
                <w:rFonts w:ascii="仿宋_GB2312" w:hAnsi="仿宋_GB2312" w:cs="仿宋_GB2312" w:eastAsia="仿宋_GB2312"/>
                <w:sz w:val="21"/>
              </w:rPr>
              <w:t>配合完成云平台的必要迁移调整，不得额外收取采购人费用</w:t>
            </w:r>
            <w:r>
              <w:rPr>
                <w:rFonts w:ascii="仿宋_GB2312" w:hAnsi="仿宋_GB2312" w:cs="仿宋_GB2312" w:eastAsia="仿宋_GB2312"/>
                <w:sz w:val="21"/>
              </w:rPr>
              <w:t>；</w:t>
            </w:r>
            <w:r>
              <w:rPr>
                <w:rFonts w:ascii="仿宋_GB2312" w:hAnsi="仿宋_GB2312" w:cs="仿宋_GB2312" w:eastAsia="仿宋_GB2312"/>
                <w:sz w:val="21"/>
              </w:rPr>
              <w:t>因服务考核不合格或特殊原因不再提供云平台服务时，需配合做好应用和数据的迁移工作，在此期间不得中断云平台的资源服务</w:t>
            </w:r>
            <w:r>
              <w:rPr>
                <w:rFonts w:ascii="仿宋_GB2312" w:hAnsi="仿宋_GB2312" w:cs="仿宋_GB2312" w:eastAsia="仿宋_GB2312"/>
                <w:sz w:val="21"/>
              </w:rPr>
              <w:t>（提供承诺函）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1.1.2.1</w:t>
            </w:r>
            <w:r>
              <w:rPr>
                <w:rFonts w:ascii="仿宋_GB2312" w:hAnsi="仿宋_GB2312" w:cs="仿宋_GB2312" w:eastAsia="仿宋_GB2312"/>
                <w:sz w:val="21"/>
              </w:rPr>
              <w:t>机房环境要求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1）机房环境为政法云平台提供良好的运行物理环境，要求如下：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应满足《数据中心设计规范》（</w:t>
            </w:r>
            <w:r>
              <w:rPr>
                <w:rFonts w:ascii="仿宋_GB2312" w:hAnsi="仿宋_GB2312" w:cs="仿宋_GB2312" w:eastAsia="仿宋_GB2312"/>
                <w:sz w:val="21"/>
              </w:rPr>
              <w:t>GB50174-2017）A级技术要求；</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应具备为特殊用户需求划分独立物理区域的能力；</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实际运行</w:t>
            </w:r>
            <w:r>
              <w:rPr>
                <w:rFonts w:ascii="仿宋_GB2312" w:hAnsi="仿宋_GB2312" w:cs="仿宋_GB2312" w:eastAsia="仿宋_GB2312"/>
                <w:sz w:val="21"/>
              </w:rPr>
              <w:t>PUE不高于1.3；</w:t>
            </w:r>
          </w:p>
          <w:p>
            <w:pPr>
              <w:pStyle w:val="null3"/>
              <w:ind w:firstLine="420"/>
              <w:jc w:val="left"/>
            </w:pPr>
            <w:r>
              <w:rPr>
                <w:rFonts w:ascii="仿宋_GB2312" w:hAnsi="仿宋_GB2312" w:cs="仿宋_GB2312" w:eastAsia="仿宋_GB2312"/>
                <w:sz w:val="21"/>
              </w:rPr>
              <w:t>④</w:t>
            </w:r>
            <w:r>
              <w:rPr>
                <w:rFonts w:ascii="仿宋_GB2312" w:hAnsi="仿宋_GB2312" w:cs="仿宋_GB2312" w:eastAsia="仿宋_GB2312"/>
                <w:sz w:val="21"/>
              </w:rPr>
              <w:t>可用性应达到</w:t>
            </w:r>
            <w:r>
              <w:rPr>
                <w:rFonts w:ascii="仿宋_GB2312" w:hAnsi="仿宋_GB2312" w:cs="仿宋_GB2312" w:eastAsia="仿宋_GB2312"/>
                <w:sz w:val="21"/>
              </w:rPr>
              <w:t>99.99%；</w:t>
            </w:r>
          </w:p>
          <w:p>
            <w:pPr>
              <w:pStyle w:val="null3"/>
              <w:ind w:firstLine="420"/>
              <w:jc w:val="left"/>
            </w:pPr>
            <w:r>
              <w:rPr>
                <w:rFonts w:ascii="仿宋_GB2312" w:hAnsi="仿宋_GB2312" w:cs="仿宋_GB2312" w:eastAsia="仿宋_GB2312"/>
                <w:sz w:val="21"/>
              </w:rPr>
              <w:t>⑤</w:t>
            </w:r>
            <w:r>
              <w:rPr>
                <w:rFonts w:ascii="仿宋_GB2312" w:hAnsi="仿宋_GB2312" w:cs="仿宋_GB2312" w:eastAsia="仿宋_GB2312"/>
                <w:sz w:val="21"/>
              </w:rPr>
              <w:t>应配备建筑与结构系统、供电系统、制冷系统、网络与布线系统及消防系统等。门禁数据应采用国密算法进行数据加密。安防</w:t>
            </w:r>
            <w:r>
              <w:rPr>
                <w:rFonts w:ascii="仿宋_GB2312" w:hAnsi="仿宋_GB2312" w:cs="仿宋_GB2312" w:eastAsia="仿宋_GB2312"/>
                <w:sz w:val="21"/>
              </w:rPr>
              <w:t>监测和控制系统</w:t>
            </w:r>
            <w:r>
              <w:rPr>
                <w:rFonts w:ascii="仿宋_GB2312" w:hAnsi="仿宋_GB2312" w:cs="仿宋_GB2312" w:eastAsia="仿宋_GB2312"/>
                <w:sz w:val="21"/>
              </w:rPr>
              <w:t>、场地环境与设备</w:t>
            </w:r>
            <w:r>
              <w:rPr>
                <w:rFonts w:ascii="仿宋_GB2312" w:hAnsi="仿宋_GB2312" w:cs="仿宋_GB2312" w:eastAsia="仿宋_GB2312"/>
                <w:sz w:val="21"/>
              </w:rPr>
              <w:t>监测和控制系统</w:t>
            </w:r>
            <w:r>
              <w:rPr>
                <w:rFonts w:ascii="仿宋_GB2312" w:hAnsi="仿宋_GB2312" w:cs="仿宋_GB2312" w:eastAsia="仿宋_GB2312"/>
                <w:sz w:val="21"/>
              </w:rPr>
              <w:t>、火灾报警系统、自动控制系统能够实时监控场地运行数据。视频监控数据保存不少于</w:t>
            </w:r>
            <w:r>
              <w:rPr>
                <w:rFonts w:ascii="仿宋_GB2312" w:hAnsi="仿宋_GB2312" w:cs="仿宋_GB2312" w:eastAsia="仿宋_GB2312"/>
                <w:sz w:val="21"/>
              </w:rPr>
              <w:t>3个月，其他数据保存不少于12个月。</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政法云机房环境具体要求如下：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机房资产权属</w:t>
            </w:r>
          </w:p>
          <w:p>
            <w:pPr>
              <w:pStyle w:val="null3"/>
              <w:ind w:firstLine="420"/>
              <w:jc w:val="left"/>
            </w:pPr>
            <w:r>
              <w:rPr>
                <w:rFonts w:ascii="仿宋_GB2312" w:hAnsi="仿宋_GB2312" w:cs="仿宋_GB2312" w:eastAsia="仿宋_GB2312"/>
                <w:sz w:val="21"/>
              </w:rPr>
              <w:t>政法云机房的资产权属应明确，确保所有相关资产有清晰的归属权以及边界。包括但不限于服务器、存储设备、网络设备、安全设备等硬件资产，以及软件、数据等无形资产的归属边界。在政法云机房建设和运营过程中，应建立资产管理制度，对资产进行登记、分类、评估、使用和处置，确保资产的安全、完整和有效利用。</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物理安全要求</w:t>
            </w:r>
          </w:p>
          <w:p>
            <w:pPr>
              <w:pStyle w:val="null3"/>
              <w:ind w:firstLine="420"/>
              <w:jc w:val="left"/>
            </w:pPr>
            <w:r>
              <w:rPr>
                <w:rFonts w:ascii="仿宋_GB2312" w:hAnsi="仿宋_GB2312" w:cs="仿宋_GB2312" w:eastAsia="仿宋_GB2312"/>
                <w:sz w:val="21"/>
              </w:rPr>
              <w:t>政法云机房的物理安全要求应满足国家标准和规定，确保机房设施和环境的安全稳定。具体要求包括：</w:t>
            </w:r>
          </w:p>
          <w:p>
            <w:pPr>
              <w:pStyle w:val="null3"/>
              <w:ind w:firstLine="420"/>
              <w:jc w:val="left"/>
            </w:pPr>
            <w:r>
              <w:rPr>
                <w:rFonts w:ascii="仿宋_GB2312" w:hAnsi="仿宋_GB2312" w:cs="仿宋_GB2312" w:eastAsia="仿宋_GB2312"/>
                <w:sz w:val="21"/>
              </w:rPr>
              <w:t>机房选址：机房应选择在具有防震、防风和防雨等能力的建筑内，避免设在建筑物的顶层或地下室，以减少自然灾害对机房的影响。</w:t>
            </w:r>
          </w:p>
          <w:p>
            <w:pPr>
              <w:pStyle w:val="null3"/>
              <w:ind w:firstLine="420"/>
              <w:jc w:val="left"/>
            </w:pPr>
            <w:r>
              <w:rPr>
                <w:rFonts w:ascii="仿宋_GB2312" w:hAnsi="仿宋_GB2312" w:cs="仿宋_GB2312" w:eastAsia="仿宋_GB2312"/>
                <w:sz w:val="21"/>
              </w:rPr>
              <w:t>机房出入管理：机房出入口应配置电子门禁系统，控制、鉴别和记录进入的人员。同时，机房内应设置监控摄像头，对机房内部进行实监控管理。</w:t>
            </w:r>
          </w:p>
          <w:p>
            <w:pPr>
              <w:pStyle w:val="null3"/>
              <w:ind w:firstLine="420"/>
              <w:jc w:val="left"/>
            </w:pPr>
            <w:r>
              <w:rPr>
                <w:rFonts w:ascii="仿宋_GB2312" w:hAnsi="仿宋_GB2312" w:cs="仿宋_GB2312" w:eastAsia="仿宋_GB2312"/>
                <w:sz w:val="21"/>
              </w:rPr>
              <w:t>机房环境控制：机房应配置温湿度检测、漏水检测以及告警功能，确保机房内环境稳定。此外，机房还应配置双路冗余电路、</w:t>
            </w:r>
            <w:r>
              <w:rPr>
                <w:rFonts w:ascii="仿宋_GB2312" w:hAnsi="仿宋_GB2312" w:cs="仿宋_GB2312" w:eastAsia="仿宋_GB2312"/>
                <w:sz w:val="21"/>
              </w:rPr>
              <w:t>UPS电源以及柴油发电机等备用电力输出系统，保证机房电力供应的持续性。</w:t>
            </w:r>
          </w:p>
          <w:p>
            <w:pPr>
              <w:pStyle w:val="null3"/>
              <w:ind w:firstLine="420"/>
              <w:jc w:val="left"/>
            </w:pPr>
            <w:r>
              <w:rPr>
                <w:rFonts w:ascii="仿宋_GB2312" w:hAnsi="仿宋_GB2312" w:cs="仿宋_GB2312" w:eastAsia="仿宋_GB2312"/>
                <w:sz w:val="21"/>
              </w:rPr>
              <w:t>防盗窃和防破坏：机房设备或主要部件应进行固定，并设置明显的不易除去的标志。同时，机房内应配置自动告警和灭火的消防系统，确保火情可以及时地被发现和消除。</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前置工作配合</w:t>
            </w:r>
          </w:p>
          <w:p>
            <w:pPr>
              <w:pStyle w:val="null3"/>
              <w:ind w:firstLine="420"/>
              <w:jc w:val="left"/>
            </w:pPr>
            <w:r>
              <w:rPr>
                <w:rFonts w:ascii="仿宋_GB2312" w:hAnsi="仿宋_GB2312" w:cs="仿宋_GB2312" w:eastAsia="仿宋_GB2312"/>
                <w:sz w:val="21"/>
              </w:rPr>
              <w:t>政法云机房的建设和运营需要配合完成一系列前置工作，以确保机房的顺利运行和安全管理。工作包括：</w:t>
            </w:r>
          </w:p>
          <w:p>
            <w:pPr>
              <w:pStyle w:val="null3"/>
              <w:ind w:firstLine="420"/>
              <w:jc w:val="left"/>
            </w:pPr>
            <w:r>
              <w:rPr>
                <w:rFonts w:ascii="仿宋_GB2312" w:hAnsi="仿宋_GB2312" w:cs="仿宋_GB2312" w:eastAsia="仿宋_GB2312"/>
                <w:sz w:val="21"/>
              </w:rPr>
              <w:t>规划设计：根据业务需求和技术要求，进行机房的规划设计，包括机房布局、设备选型、网络架构等。</w:t>
            </w:r>
          </w:p>
          <w:p>
            <w:pPr>
              <w:pStyle w:val="null3"/>
              <w:ind w:firstLine="420"/>
              <w:jc w:val="left"/>
            </w:pPr>
            <w:r>
              <w:rPr>
                <w:rFonts w:ascii="仿宋_GB2312" w:hAnsi="仿宋_GB2312" w:cs="仿宋_GB2312" w:eastAsia="仿宋_GB2312"/>
                <w:sz w:val="21"/>
              </w:rPr>
              <w:t>基础设施建设：按照规划设计要求，进行机房基础设施建设，包括电力、网络、空调、消防等系统的建设和调试。</w:t>
            </w:r>
          </w:p>
          <w:p>
            <w:pPr>
              <w:pStyle w:val="null3"/>
              <w:ind w:firstLine="420"/>
              <w:jc w:val="left"/>
            </w:pPr>
            <w:r>
              <w:rPr>
                <w:rFonts w:ascii="仿宋_GB2312" w:hAnsi="仿宋_GB2312" w:cs="仿宋_GB2312" w:eastAsia="仿宋_GB2312"/>
                <w:sz w:val="21"/>
              </w:rPr>
              <w:t>安全管理制度建设：建立健全的安全管理制度，包括机房出入管理、设备管理、环境监控管理、安全事件处理等方面的制度和流程。</w:t>
            </w:r>
          </w:p>
          <w:p>
            <w:pPr>
              <w:pStyle w:val="null3"/>
              <w:ind w:firstLine="420"/>
              <w:jc w:val="left"/>
            </w:pPr>
            <w:r>
              <w:rPr>
                <w:rFonts w:ascii="仿宋_GB2312" w:hAnsi="仿宋_GB2312" w:cs="仿宋_GB2312" w:eastAsia="仿宋_GB2312"/>
                <w:sz w:val="21"/>
              </w:rPr>
              <w:t>配合各部门完成应用迁移。工作涉及明确迁移需求、评估应用复杂性和数据容量、配合配置新环境、部署与测试应用，并在完成后进行性能调优和安全加固。确保迁移过程中各部门间的密切沟通与协作，确保迁移过程的顺利进行和应用的稳定运行。</w:t>
            </w:r>
          </w:p>
          <w:p>
            <w:pPr>
              <w:pStyle w:val="null3"/>
              <w:ind w:firstLine="420"/>
              <w:jc w:val="left"/>
            </w:pPr>
            <w:r>
              <w:rPr>
                <w:rFonts w:ascii="仿宋_GB2312" w:hAnsi="仿宋_GB2312" w:cs="仿宋_GB2312" w:eastAsia="仿宋_GB2312"/>
                <w:sz w:val="21"/>
              </w:rPr>
              <w:t>人员培训：对机房管理人员和技术人员进行培训，提高他们的安全意识和操作技能，确保机房的安全稳定运行。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异地备份机房</w:t>
            </w:r>
            <w:r>
              <w:rPr>
                <w:rFonts w:ascii="仿宋_GB2312" w:hAnsi="仿宋_GB2312" w:cs="仿宋_GB2312" w:eastAsia="仿宋_GB2312"/>
                <w:sz w:val="21"/>
              </w:rPr>
              <w:t>要求（提供承诺函）</w:t>
            </w:r>
          </w:p>
          <w:p>
            <w:pPr>
              <w:pStyle w:val="null3"/>
              <w:ind w:firstLine="420"/>
              <w:jc w:val="left"/>
            </w:pPr>
            <w:r>
              <w:rPr>
                <w:rFonts w:ascii="仿宋_GB2312" w:hAnsi="仿宋_GB2312" w:cs="仿宋_GB2312" w:eastAsia="仿宋_GB2312"/>
                <w:sz w:val="21"/>
              </w:rPr>
              <w:t>异地灾备设施必须设置安全专用的隔离区域，专门用于部署政法云备份及相关配套设备。隔离区域满足政法云建设的物理安全隔离要求，防止未授权访问、破坏、盗窃、篡改以及环境威胁，确保政法云异地备份设施的安全稳定运行。</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独立安全区域：</w:t>
            </w:r>
          </w:p>
          <w:p>
            <w:pPr>
              <w:pStyle w:val="null3"/>
              <w:ind w:firstLine="420"/>
              <w:jc w:val="left"/>
            </w:pPr>
            <w:r>
              <w:rPr>
                <w:rFonts w:ascii="仿宋_GB2312" w:hAnsi="仿宋_GB2312" w:cs="仿宋_GB2312" w:eastAsia="仿宋_GB2312"/>
                <w:sz w:val="21"/>
              </w:rPr>
              <w:t>政法云异地备份设立物理隔离的专属区域（如独立机房模块、封闭机笼），配备独立的门禁和监控设施；</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强化访问控制：</w:t>
            </w:r>
          </w:p>
          <w:p>
            <w:pPr>
              <w:pStyle w:val="null3"/>
              <w:ind w:firstLine="420"/>
              <w:jc w:val="left"/>
            </w:pPr>
            <w:r>
              <w:rPr>
                <w:rFonts w:ascii="仿宋_GB2312" w:hAnsi="仿宋_GB2312" w:cs="仿宋_GB2312" w:eastAsia="仿宋_GB2312"/>
                <w:sz w:val="21"/>
              </w:rPr>
              <w:t>多因素认证：进入政法云灾备区域必须使用至少两种认证方式（如刷卡</w:t>
            </w:r>
            <w:r>
              <w:rPr>
                <w:rFonts w:ascii="仿宋_GB2312" w:hAnsi="仿宋_GB2312" w:cs="仿宋_GB2312" w:eastAsia="仿宋_GB2312"/>
                <w:sz w:val="21"/>
              </w:rPr>
              <w:t>+指纹/密码）。</w:t>
            </w:r>
          </w:p>
          <w:p>
            <w:pPr>
              <w:pStyle w:val="null3"/>
              <w:ind w:firstLine="420"/>
              <w:jc w:val="left"/>
            </w:pPr>
            <w:r>
              <w:rPr>
                <w:rFonts w:ascii="仿宋_GB2312" w:hAnsi="仿宋_GB2312" w:cs="仿宋_GB2312" w:eastAsia="仿宋_GB2312"/>
                <w:sz w:val="21"/>
              </w:rPr>
              <w:t>权限最小化：严格控制访问权限，按需分配，及时撤销。</w:t>
            </w:r>
          </w:p>
          <w:p>
            <w:pPr>
              <w:pStyle w:val="null3"/>
              <w:ind w:firstLine="420"/>
              <w:jc w:val="left"/>
            </w:pPr>
            <w:r>
              <w:rPr>
                <w:rFonts w:ascii="仿宋_GB2312" w:hAnsi="仿宋_GB2312" w:cs="仿宋_GB2312" w:eastAsia="仿宋_GB2312"/>
                <w:sz w:val="21"/>
              </w:rPr>
              <w:t>操作维护必须事先审批、严格登记、身份核实、全程陪同、禁止携带未授权设备。</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全面监控与审计：</w:t>
            </w:r>
          </w:p>
          <w:p>
            <w:pPr>
              <w:pStyle w:val="null3"/>
              <w:ind w:firstLine="420"/>
              <w:jc w:val="left"/>
            </w:pPr>
            <w:r>
              <w:rPr>
                <w:rFonts w:ascii="仿宋_GB2312" w:hAnsi="仿宋_GB2312" w:cs="仿宋_GB2312" w:eastAsia="仿宋_GB2312"/>
                <w:sz w:val="21"/>
              </w:rPr>
              <w:t>确保视频监控覆盖所有关键区域，录像清晰、存储可靠、政府可审计。</w:t>
            </w:r>
          </w:p>
          <w:p>
            <w:pPr>
              <w:pStyle w:val="null3"/>
              <w:ind w:firstLine="420"/>
              <w:jc w:val="left"/>
            </w:pPr>
            <w:r>
              <w:rPr>
                <w:rFonts w:ascii="仿宋_GB2312" w:hAnsi="仿宋_GB2312" w:cs="仿宋_GB2312" w:eastAsia="仿宋_GB2312"/>
                <w:sz w:val="21"/>
              </w:rPr>
              <w:t>门禁、操作日志等电子记录必须完整、准确、防篡改，保留足够长时间。</w:t>
            </w:r>
          </w:p>
          <w:p>
            <w:pPr>
              <w:pStyle w:val="null3"/>
              <w:ind w:firstLine="420"/>
              <w:jc w:val="left"/>
            </w:pPr>
            <w:r>
              <w:rPr>
                <w:rFonts w:ascii="仿宋_GB2312" w:hAnsi="仿宋_GB2312" w:cs="仿宋_GB2312" w:eastAsia="仿宋_GB2312"/>
                <w:sz w:val="21"/>
              </w:rPr>
              <w:t>政法云异地灾备安全专用隔离区域是一个集物理屏障、严格门禁、独立机柜、环境保障、全方位监控管理、周密管理于一体，最大限度降低物理安全风险，为承载政法云敏感备份数据的设备提供最高级别的物理安全保障。</w:t>
            </w:r>
          </w:p>
          <w:p>
            <w:pPr>
              <w:pStyle w:val="null3"/>
              <w:jc w:val="left"/>
            </w:pPr>
            <w:r>
              <w:rPr>
                <w:rFonts w:ascii="仿宋_GB2312" w:hAnsi="仿宋_GB2312" w:cs="仿宋_GB2312" w:eastAsia="仿宋_GB2312"/>
                <w:sz w:val="21"/>
                <w:b/>
              </w:rPr>
              <w:t>1.1.2.2</w:t>
            </w:r>
            <w:r>
              <w:rPr>
                <w:rFonts w:ascii="仿宋_GB2312" w:hAnsi="仿宋_GB2312" w:cs="仿宋_GB2312" w:eastAsia="仿宋_GB2312"/>
                <w:sz w:val="21"/>
                <w:b/>
              </w:rPr>
              <w:t>基础设施要求</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.1.2.2.1</w:t>
            </w:r>
            <w:r>
              <w:rPr>
                <w:rFonts w:ascii="仿宋_GB2312" w:hAnsi="仿宋_GB2312" w:cs="仿宋_GB2312" w:eastAsia="仿宋_GB2312"/>
                <w:sz w:val="21"/>
                <w:b/>
              </w:rPr>
              <w:t>功能要求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计算资源要求</w:t>
            </w:r>
          </w:p>
          <w:p>
            <w:pPr>
              <w:pStyle w:val="null3"/>
              <w:ind w:firstLine="420"/>
              <w:jc w:val="left"/>
            </w:pPr>
            <w:r>
              <w:rPr>
                <w:rFonts w:ascii="仿宋_GB2312" w:hAnsi="仿宋_GB2312" w:cs="仿宋_GB2312" w:eastAsia="仿宋_GB2312"/>
                <w:sz w:val="21"/>
              </w:rPr>
              <w:t>计算资源提供的数据处理能力，要求如下：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云主机应实现物理机的全部功能，如具有</w:t>
            </w:r>
            <w:r>
              <w:rPr>
                <w:rFonts w:ascii="仿宋_GB2312" w:hAnsi="仿宋_GB2312" w:cs="仿宋_GB2312" w:eastAsia="仿宋_GB2312"/>
                <w:sz w:val="21"/>
              </w:rPr>
              <w:t>CPU、存储、内存、网卡等资源，可以指定单独的IP地址、MAC地址等；</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支持存储裸设备映射（</w:t>
            </w:r>
            <w:r>
              <w:rPr>
                <w:rFonts w:ascii="仿宋_GB2312" w:hAnsi="仿宋_GB2312" w:cs="仿宋_GB2312" w:eastAsia="仿宋_GB2312"/>
                <w:sz w:val="21"/>
              </w:rPr>
              <w:t>RDM），可以将存储设备上的LUN直接映射给虚拟机使用，并且支持SCSI指令使用透传模式或者非透传模式；</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云主机应支持多元计算服务，如</w:t>
            </w:r>
            <w:r>
              <w:rPr>
                <w:rFonts w:ascii="仿宋_GB2312" w:hAnsi="仿宋_GB2312" w:cs="仿宋_GB2312" w:eastAsia="仿宋_GB2312"/>
                <w:sz w:val="21"/>
              </w:rPr>
              <w:t>C86、ARM、MIPS、GPU、NPU等；</w:t>
            </w:r>
          </w:p>
          <w:p>
            <w:pPr>
              <w:pStyle w:val="null3"/>
              <w:ind w:firstLine="420"/>
              <w:jc w:val="left"/>
            </w:pPr>
            <w:r>
              <w:rPr>
                <w:rFonts w:ascii="仿宋_GB2312" w:hAnsi="仿宋_GB2312" w:cs="仿宋_GB2312" w:eastAsia="仿宋_GB2312"/>
                <w:sz w:val="21"/>
              </w:rPr>
              <w:t>④</w:t>
            </w:r>
            <w:r>
              <w:rPr>
                <w:rFonts w:ascii="仿宋_GB2312" w:hAnsi="仿宋_GB2312" w:cs="仿宋_GB2312" w:eastAsia="仿宋_GB2312"/>
                <w:sz w:val="21"/>
              </w:rPr>
              <w:t>满足云主机之间、</w:t>
            </w:r>
            <w:r>
              <w:rPr>
                <w:rFonts w:ascii="仿宋_GB2312" w:hAnsi="仿宋_GB2312" w:cs="仿宋_GB2312" w:eastAsia="仿宋_GB2312"/>
                <w:sz w:val="21"/>
              </w:rPr>
              <w:t>CPU之间隔离保护要求；</w:t>
            </w:r>
          </w:p>
          <w:p>
            <w:pPr>
              <w:pStyle w:val="null3"/>
              <w:ind w:firstLine="420"/>
              <w:jc w:val="left"/>
            </w:pPr>
            <w:r>
              <w:rPr>
                <w:rFonts w:ascii="仿宋_GB2312" w:hAnsi="仿宋_GB2312" w:cs="仿宋_GB2312" w:eastAsia="仿宋_GB2312"/>
                <w:sz w:val="21"/>
              </w:rPr>
              <w:t>⑤</w:t>
            </w:r>
            <w:r>
              <w:rPr>
                <w:rFonts w:ascii="仿宋_GB2312" w:hAnsi="仿宋_GB2312" w:cs="仿宋_GB2312" w:eastAsia="仿宋_GB2312"/>
                <w:sz w:val="21"/>
              </w:rPr>
              <w:t>支持资源的动态调整，根据业务的负载情况实现业务系统虚拟机的动态扩展和回收，支持手动和自动方式，自动方式可基于主机的</w:t>
            </w:r>
            <w:r>
              <w:rPr>
                <w:rFonts w:ascii="仿宋_GB2312" w:hAnsi="仿宋_GB2312" w:cs="仿宋_GB2312" w:eastAsia="仿宋_GB2312"/>
                <w:sz w:val="21"/>
              </w:rPr>
              <w:t>CPU、内存、磁盘IO、网络流量等性能参数阈值进行动态调度；</w:t>
            </w:r>
          </w:p>
          <w:p>
            <w:pPr>
              <w:pStyle w:val="null3"/>
              <w:ind w:firstLine="420"/>
              <w:jc w:val="left"/>
            </w:pPr>
            <w:r>
              <w:rPr>
                <w:rFonts w:ascii="仿宋_GB2312" w:hAnsi="仿宋_GB2312" w:cs="仿宋_GB2312" w:eastAsia="仿宋_GB2312"/>
                <w:sz w:val="21"/>
              </w:rPr>
              <w:t>⑥</w:t>
            </w:r>
            <w:r>
              <w:rPr>
                <w:rFonts w:ascii="仿宋_GB2312" w:hAnsi="仿宋_GB2312" w:cs="仿宋_GB2312" w:eastAsia="仿宋_GB2312"/>
                <w:sz w:val="21"/>
              </w:rPr>
              <w:t>支持在线进行虚拟化软件版本升级，不同版本之间可以相互兼容；</w:t>
            </w:r>
          </w:p>
          <w:p>
            <w:pPr>
              <w:pStyle w:val="null3"/>
              <w:ind w:firstLine="420"/>
              <w:jc w:val="left"/>
            </w:pPr>
            <w:r>
              <w:rPr>
                <w:rFonts w:ascii="仿宋_GB2312" w:hAnsi="仿宋_GB2312" w:cs="仿宋_GB2312" w:eastAsia="仿宋_GB2312"/>
                <w:sz w:val="21"/>
              </w:rPr>
              <w:t>⑦</w:t>
            </w:r>
            <w:r>
              <w:rPr>
                <w:rFonts w:ascii="仿宋_GB2312" w:hAnsi="仿宋_GB2312" w:cs="仿宋_GB2312" w:eastAsia="仿宋_GB2312"/>
                <w:sz w:val="21"/>
              </w:rPr>
              <w:t>支持异构虚拟化能力，如</w:t>
            </w:r>
            <w:r>
              <w:rPr>
                <w:rFonts w:ascii="仿宋_GB2312" w:hAnsi="仿宋_GB2312" w:cs="仿宋_GB2312" w:eastAsia="仿宋_GB2312"/>
                <w:sz w:val="21"/>
              </w:rPr>
              <w:t>KVM等多种虚拟化技术；</w:t>
            </w:r>
          </w:p>
          <w:p>
            <w:pPr>
              <w:pStyle w:val="null3"/>
              <w:ind w:firstLine="420"/>
              <w:jc w:val="left"/>
            </w:pPr>
            <w:r>
              <w:rPr>
                <w:rFonts w:ascii="仿宋_GB2312" w:hAnsi="仿宋_GB2312" w:cs="仿宋_GB2312" w:eastAsia="仿宋_GB2312"/>
                <w:sz w:val="21"/>
              </w:rPr>
              <w:t>⑧</w:t>
            </w:r>
            <w:r>
              <w:rPr>
                <w:rFonts w:ascii="仿宋_GB2312" w:hAnsi="仿宋_GB2312" w:cs="仿宋_GB2312" w:eastAsia="仿宋_GB2312"/>
                <w:sz w:val="21"/>
              </w:rPr>
              <w:t>云主机出现故障时，应支持自动重启或者迁移，保障业务连续性；</w:t>
            </w:r>
          </w:p>
          <w:p>
            <w:pPr>
              <w:pStyle w:val="null3"/>
              <w:ind w:firstLine="420"/>
              <w:jc w:val="left"/>
            </w:pPr>
            <w:r>
              <w:rPr>
                <w:rFonts w:ascii="仿宋_GB2312" w:hAnsi="仿宋_GB2312" w:cs="仿宋_GB2312" w:eastAsia="仿宋_GB2312"/>
                <w:sz w:val="21"/>
              </w:rPr>
              <w:t>⑨</w:t>
            </w:r>
            <w:r>
              <w:rPr>
                <w:rFonts w:ascii="仿宋_GB2312" w:hAnsi="仿宋_GB2312" w:cs="仿宋_GB2312" w:eastAsia="仿宋_GB2312"/>
                <w:sz w:val="21"/>
              </w:rPr>
              <w:t>支持虚拟机热迁移，可在不同代</w:t>
            </w:r>
            <w:r>
              <w:rPr>
                <w:rFonts w:ascii="仿宋_GB2312" w:hAnsi="仿宋_GB2312" w:cs="仿宋_GB2312" w:eastAsia="仿宋_GB2312"/>
                <w:sz w:val="21"/>
              </w:rPr>
              <w:t>CPU资源池中进行虚拟机热迁移。</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存储资源要求</w:t>
            </w:r>
          </w:p>
          <w:p>
            <w:pPr>
              <w:pStyle w:val="null3"/>
              <w:ind w:firstLine="420"/>
              <w:jc w:val="left"/>
            </w:pPr>
            <w:r>
              <w:rPr>
                <w:rFonts w:ascii="仿宋_GB2312" w:hAnsi="仿宋_GB2312" w:cs="仿宋_GB2312" w:eastAsia="仿宋_GB2312"/>
                <w:sz w:val="21"/>
              </w:rPr>
              <w:t>存储资源提供数据存储的能力，要求如下：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支持集中式存储或分布式存储；</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支持结构化数据、半结构化数据和非结构化数据等多种数据类型存储；</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支持块存储、对象存储、文件存储等多种存储方法，满足数据备份、视频存储等不同应用场景使用要求；</w:t>
            </w:r>
          </w:p>
          <w:p>
            <w:pPr>
              <w:pStyle w:val="null3"/>
              <w:ind w:firstLine="420"/>
              <w:jc w:val="left"/>
            </w:pPr>
            <w:r>
              <w:rPr>
                <w:rFonts w:ascii="仿宋_GB2312" w:hAnsi="仿宋_GB2312" w:cs="仿宋_GB2312" w:eastAsia="仿宋_GB2312"/>
                <w:sz w:val="21"/>
              </w:rPr>
              <w:t>④</w:t>
            </w:r>
            <w:r>
              <w:rPr>
                <w:rFonts w:ascii="仿宋_GB2312" w:hAnsi="仿宋_GB2312" w:cs="仿宋_GB2312" w:eastAsia="仿宋_GB2312"/>
                <w:sz w:val="21"/>
              </w:rPr>
              <w:t>支持存储资源扩展能力，例如：</w:t>
            </w:r>
            <w:r>
              <w:rPr>
                <w:rFonts w:ascii="仿宋_GB2312" w:hAnsi="仿宋_GB2312" w:cs="仿宋_GB2312" w:eastAsia="仿宋_GB2312"/>
                <w:sz w:val="21"/>
              </w:rPr>
              <w:t>PB级扩展；</w:t>
            </w:r>
          </w:p>
          <w:p>
            <w:pPr>
              <w:pStyle w:val="null3"/>
              <w:ind w:firstLine="420"/>
              <w:jc w:val="left"/>
            </w:pPr>
            <w:r>
              <w:rPr>
                <w:rFonts w:ascii="仿宋_GB2312" w:hAnsi="仿宋_GB2312" w:cs="仿宋_GB2312" w:eastAsia="仿宋_GB2312"/>
                <w:sz w:val="21"/>
              </w:rPr>
              <w:t>⑤</w:t>
            </w:r>
            <w:r>
              <w:rPr>
                <w:rFonts w:ascii="仿宋_GB2312" w:hAnsi="仿宋_GB2312" w:cs="仿宋_GB2312" w:eastAsia="仿宋_GB2312"/>
                <w:sz w:val="21"/>
              </w:rPr>
              <w:t>支持磁盘容错技术，如磁盘故障后节点的自动平衡和重构、硬盘故障检测和处理、集群节点；</w:t>
            </w:r>
          </w:p>
          <w:p>
            <w:pPr>
              <w:pStyle w:val="null3"/>
              <w:ind w:firstLine="420"/>
              <w:jc w:val="left"/>
            </w:pPr>
            <w:r>
              <w:rPr>
                <w:rFonts w:ascii="仿宋_GB2312" w:hAnsi="仿宋_GB2312" w:cs="仿宋_GB2312" w:eastAsia="仿宋_GB2312"/>
                <w:sz w:val="21"/>
              </w:rPr>
              <w:t>⑥</w:t>
            </w:r>
            <w:r>
              <w:rPr>
                <w:rFonts w:ascii="仿宋_GB2312" w:hAnsi="仿宋_GB2312" w:cs="仿宋_GB2312" w:eastAsia="仿宋_GB2312"/>
                <w:sz w:val="21"/>
              </w:rPr>
              <w:t>出现单盘故障时不影响业务运行等；</w:t>
            </w:r>
          </w:p>
          <w:p>
            <w:pPr>
              <w:pStyle w:val="null3"/>
              <w:ind w:firstLine="420"/>
              <w:jc w:val="left"/>
            </w:pPr>
            <w:r>
              <w:rPr>
                <w:rFonts w:ascii="仿宋_GB2312" w:hAnsi="仿宋_GB2312" w:cs="仿宋_GB2312" w:eastAsia="仿宋_GB2312"/>
                <w:sz w:val="21"/>
              </w:rPr>
              <w:t>⑦</w:t>
            </w:r>
            <w:r>
              <w:rPr>
                <w:rFonts w:ascii="仿宋_GB2312" w:hAnsi="仿宋_GB2312" w:cs="仿宋_GB2312" w:eastAsia="仿宋_GB2312"/>
                <w:sz w:val="21"/>
              </w:rPr>
              <w:t>应支持加密存储。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网络系统要求</w:t>
            </w:r>
          </w:p>
          <w:p>
            <w:pPr>
              <w:pStyle w:val="null3"/>
              <w:ind w:firstLine="420"/>
              <w:jc w:val="left"/>
            </w:pPr>
            <w:r>
              <w:rPr>
                <w:rFonts w:ascii="仿宋_GB2312" w:hAnsi="仿宋_GB2312" w:cs="仿宋_GB2312" w:eastAsia="仿宋_GB2312"/>
                <w:sz w:val="21"/>
              </w:rPr>
              <w:t>网络系统提供数据传输能力，要求如下：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具备多运营商网络接入服务的能力；</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数据中心组网架构设计可采用大二层网络架构，应支持云主机无障碍动态迁移；</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应采用集群部署网络控制，以保障升级时业务不中断；</w:t>
            </w:r>
          </w:p>
          <w:p>
            <w:pPr>
              <w:pStyle w:val="null3"/>
              <w:ind w:firstLine="420"/>
              <w:jc w:val="left"/>
            </w:pPr>
            <w:r>
              <w:rPr>
                <w:rFonts w:ascii="仿宋_GB2312" w:hAnsi="仿宋_GB2312" w:cs="仿宋_GB2312" w:eastAsia="仿宋_GB2312"/>
                <w:sz w:val="21"/>
              </w:rPr>
              <w:t>④</w:t>
            </w:r>
            <w:r>
              <w:rPr>
                <w:rFonts w:ascii="仿宋_GB2312" w:hAnsi="仿宋_GB2312" w:cs="仿宋_GB2312" w:eastAsia="仿宋_GB2312"/>
                <w:sz w:val="21"/>
              </w:rPr>
              <w:t>能实现自动化动态网络资源调配和隔离，保持与互联网、电子政务外网及行业部门专网的连接；</w:t>
            </w:r>
          </w:p>
          <w:p>
            <w:pPr>
              <w:pStyle w:val="null3"/>
              <w:ind w:firstLine="420"/>
              <w:jc w:val="left"/>
            </w:pPr>
            <w:r>
              <w:rPr>
                <w:rFonts w:ascii="仿宋_GB2312" w:hAnsi="仿宋_GB2312" w:cs="仿宋_GB2312" w:eastAsia="仿宋_GB2312"/>
                <w:sz w:val="21"/>
              </w:rPr>
              <w:t>⑤</w:t>
            </w:r>
            <w:r>
              <w:rPr>
                <w:rFonts w:ascii="仿宋_GB2312" w:hAnsi="仿宋_GB2312" w:cs="仿宋_GB2312" w:eastAsia="仿宋_GB2312"/>
                <w:sz w:val="21"/>
              </w:rPr>
              <w:t>支持</w:t>
            </w:r>
            <w:r>
              <w:rPr>
                <w:rFonts w:ascii="仿宋_GB2312" w:hAnsi="仿宋_GB2312" w:cs="仿宋_GB2312" w:eastAsia="仿宋_GB2312"/>
                <w:sz w:val="21"/>
              </w:rPr>
              <w:t>IPv6地址分配，满足业务系统IPv6要求；</w:t>
            </w:r>
          </w:p>
          <w:p>
            <w:pPr>
              <w:pStyle w:val="null3"/>
              <w:ind w:firstLine="420"/>
              <w:jc w:val="left"/>
            </w:pPr>
            <w:r>
              <w:rPr>
                <w:rFonts w:ascii="仿宋_GB2312" w:hAnsi="仿宋_GB2312" w:cs="仿宋_GB2312" w:eastAsia="仿宋_GB2312"/>
                <w:sz w:val="21"/>
              </w:rPr>
              <w:t>⑥</w:t>
            </w:r>
            <w:r>
              <w:rPr>
                <w:rFonts w:ascii="仿宋_GB2312" w:hAnsi="仿宋_GB2312" w:cs="仿宋_GB2312" w:eastAsia="仿宋_GB2312"/>
                <w:sz w:val="21"/>
              </w:rPr>
              <w:t>具备边界防火墙和</w:t>
            </w:r>
            <w:r>
              <w:rPr>
                <w:rFonts w:ascii="仿宋_GB2312" w:hAnsi="仿宋_GB2312" w:cs="仿宋_GB2312" w:eastAsia="仿宋_GB2312"/>
                <w:sz w:val="21"/>
              </w:rPr>
              <w:t>VPC防火墙隔离能力，分别针对不同的流量进行安全策略防护与配置；</w:t>
            </w:r>
          </w:p>
          <w:p>
            <w:pPr>
              <w:pStyle w:val="null3"/>
              <w:ind w:firstLine="420"/>
              <w:jc w:val="left"/>
            </w:pPr>
            <w:r>
              <w:rPr>
                <w:rFonts w:ascii="仿宋_GB2312" w:hAnsi="仿宋_GB2312" w:cs="仿宋_GB2312" w:eastAsia="仿宋_GB2312"/>
                <w:sz w:val="21"/>
              </w:rPr>
              <w:t>⑦</w:t>
            </w:r>
            <w:r>
              <w:rPr>
                <w:rFonts w:ascii="仿宋_GB2312" w:hAnsi="仿宋_GB2312" w:cs="仿宋_GB2312" w:eastAsia="仿宋_GB2312"/>
                <w:sz w:val="21"/>
              </w:rPr>
              <w:t>具备高可用虚拟</w:t>
            </w:r>
            <w:r>
              <w:rPr>
                <w:rFonts w:ascii="仿宋_GB2312" w:hAnsi="仿宋_GB2312" w:cs="仿宋_GB2312" w:eastAsia="仿宋_GB2312"/>
                <w:sz w:val="21"/>
              </w:rPr>
              <w:t>IP能力，在集群或主备场景下，云主机可绑定高可用虚拟IP，达到高可用访问效果；</w:t>
            </w:r>
          </w:p>
          <w:p>
            <w:pPr>
              <w:pStyle w:val="null3"/>
              <w:ind w:firstLine="420"/>
              <w:jc w:val="left"/>
            </w:pPr>
            <w:r>
              <w:rPr>
                <w:rFonts w:ascii="仿宋_GB2312" w:hAnsi="仿宋_GB2312" w:cs="仿宋_GB2312" w:eastAsia="仿宋_GB2312"/>
                <w:sz w:val="21"/>
              </w:rPr>
              <w:t>⑧</w:t>
            </w:r>
            <w:r>
              <w:rPr>
                <w:rFonts w:ascii="仿宋_GB2312" w:hAnsi="仿宋_GB2312" w:cs="仿宋_GB2312" w:eastAsia="仿宋_GB2312"/>
                <w:sz w:val="21"/>
              </w:rPr>
              <w:t>采用双活网络架构，降低单点故障带来的稳定风险；</w:t>
            </w:r>
          </w:p>
          <w:p>
            <w:pPr>
              <w:pStyle w:val="null3"/>
              <w:ind w:firstLine="420"/>
              <w:jc w:val="left"/>
            </w:pPr>
            <w:r>
              <w:rPr>
                <w:rFonts w:ascii="仿宋_GB2312" w:hAnsi="仿宋_GB2312" w:cs="仿宋_GB2312" w:eastAsia="仿宋_GB2312"/>
                <w:sz w:val="21"/>
              </w:rPr>
              <w:t>⑨</w:t>
            </w:r>
            <w:r>
              <w:rPr>
                <w:rFonts w:ascii="仿宋_GB2312" w:hAnsi="仿宋_GB2312" w:cs="仿宋_GB2312" w:eastAsia="仿宋_GB2312"/>
                <w:sz w:val="21"/>
              </w:rPr>
              <w:t>为入云系统划分安全区域，合理制定访问规则。</w:t>
            </w:r>
          </w:p>
          <w:p>
            <w:pPr>
              <w:pStyle w:val="null3"/>
              <w:ind w:firstLine="420"/>
              <w:jc w:val="left"/>
            </w:pPr>
            <w:r>
              <w:rPr>
                <w:rFonts w:ascii="仿宋_GB2312" w:hAnsi="仿宋_GB2312" w:cs="仿宋_GB2312" w:eastAsia="仿宋_GB2312"/>
                <w:sz w:val="21"/>
              </w:rPr>
              <w:t>⑩</w:t>
            </w:r>
            <w:r>
              <w:rPr>
                <w:rFonts w:ascii="仿宋_GB2312" w:hAnsi="仿宋_GB2312" w:cs="仿宋_GB2312" w:eastAsia="仿宋_GB2312"/>
                <w:sz w:val="21"/>
              </w:rPr>
              <w:t>检测和阻断外部发起的网络攻击行为。</w:t>
            </w:r>
          </w:p>
          <w:p>
            <w:pPr>
              <w:pStyle w:val="null3"/>
              <w:ind w:firstLine="420"/>
              <w:jc w:val="left"/>
            </w:pPr>
            <w:r>
              <w:rPr>
                <w:rFonts w:ascii="仿宋_GB2312" w:hAnsi="仿宋_GB2312" w:cs="仿宋_GB2312" w:eastAsia="仿宋_GB2312"/>
                <w:sz w:val="21"/>
              </w:rPr>
              <w:t>⑪</w:t>
            </w:r>
            <w:r>
              <w:rPr>
                <w:rFonts w:ascii="仿宋_GB2312" w:hAnsi="仿宋_GB2312" w:cs="仿宋_GB2312" w:eastAsia="仿宋_GB2312"/>
                <w:sz w:val="21"/>
              </w:rPr>
              <w:t>检测和阻断内部发起的网络攻击行为。</w:t>
            </w:r>
          </w:p>
          <w:p>
            <w:pPr>
              <w:pStyle w:val="null3"/>
              <w:ind w:firstLine="420"/>
              <w:jc w:val="left"/>
            </w:pPr>
            <w:r>
              <w:rPr>
                <w:rFonts w:ascii="仿宋_GB2312" w:hAnsi="仿宋_GB2312" w:cs="仿宋_GB2312" w:eastAsia="仿宋_GB2312"/>
                <w:sz w:val="21"/>
              </w:rPr>
              <w:t>⑫</w:t>
            </w:r>
            <w:r>
              <w:rPr>
                <w:rFonts w:ascii="仿宋_GB2312" w:hAnsi="仿宋_GB2312" w:cs="仿宋_GB2312" w:eastAsia="仿宋_GB2312"/>
                <w:sz w:val="21"/>
              </w:rPr>
              <w:t>对恶意代码进行检测和清除。</w:t>
            </w:r>
          </w:p>
          <w:p>
            <w:pPr>
              <w:pStyle w:val="null3"/>
              <w:ind w:firstLine="420"/>
              <w:jc w:val="left"/>
            </w:pPr>
            <w:r>
              <w:rPr>
                <w:rFonts w:ascii="仿宋_GB2312" w:hAnsi="仿宋_GB2312" w:cs="仿宋_GB2312" w:eastAsia="仿宋_GB2312"/>
                <w:sz w:val="21"/>
              </w:rPr>
              <w:t>⑬</w:t>
            </w:r>
            <w:r>
              <w:rPr>
                <w:rFonts w:ascii="仿宋_GB2312" w:hAnsi="仿宋_GB2312" w:cs="仿宋_GB2312" w:eastAsia="仿宋_GB2312"/>
                <w:sz w:val="21"/>
              </w:rPr>
              <w:t>进行安全策略统一管理，实现权限分离。</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备份资源要求</w:t>
            </w:r>
          </w:p>
          <w:p>
            <w:pPr>
              <w:pStyle w:val="null3"/>
              <w:ind w:firstLine="420"/>
              <w:jc w:val="left"/>
            </w:pPr>
            <w:r>
              <w:rPr>
                <w:rFonts w:ascii="仿宋_GB2312" w:hAnsi="仿宋_GB2312" w:cs="仿宋_GB2312" w:eastAsia="仿宋_GB2312"/>
                <w:sz w:val="21"/>
              </w:rPr>
              <w:t>应当提供数据及应用的备份能力，包括：</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文件系统备份：支持对各种文件类型和目录结构进行备份；</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应用程序一致性备份：确保在备份过程中应用程序数据的一致性，例如数据库备份时应支持事务一致性备份；</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虚拟机备份：能够完整备份虚拟化环境中的虚拟机实例及其状态；</w:t>
            </w:r>
          </w:p>
          <w:p>
            <w:pPr>
              <w:pStyle w:val="null3"/>
              <w:ind w:firstLine="420"/>
              <w:jc w:val="left"/>
            </w:pPr>
            <w:r>
              <w:rPr>
                <w:rFonts w:ascii="仿宋_GB2312" w:hAnsi="仿宋_GB2312" w:cs="仿宋_GB2312" w:eastAsia="仿宋_GB2312"/>
                <w:sz w:val="21"/>
              </w:rPr>
              <w:t>④</w:t>
            </w:r>
            <w:r>
              <w:rPr>
                <w:rFonts w:ascii="仿宋_GB2312" w:hAnsi="仿宋_GB2312" w:cs="仿宋_GB2312" w:eastAsia="仿宋_GB2312"/>
                <w:sz w:val="21"/>
              </w:rPr>
              <w:t>支持多种备份方式，包括完全备份、差异备份、增量备份、连续数据保护等；</w:t>
            </w:r>
          </w:p>
          <w:p>
            <w:pPr>
              <w:pStyle w:val="null3"/>
              <w:ind w:firstLine="420"/>
              <w:jc w:val="left"/>
            </w:pPr>
            <w:r>
              <w:rPr>
                <w:rFonts w:ascii="仿宋_GB2312" w:hAnsi="仿宋_GB2312" w:cs="仿宋_GB2312" w:eastAsia="仿宋_GB2312"/>
                <w:sz w:val="21"/>
              </w:rPr>
              <w:t>⑤</w:t>
            </w:r>
            <w:r>
              <w:rPr>
                <w:rFonts w:ascii="仿宋_GB2312" w:hAnsi="仿宋_GB2312" w:cs="仿宋_GB2312" w:eastAsia="仿宋_GB2312"/>
                <w:sz w:val="21"/>
              </w:rPr>
              <w:t>支持高效率备份机制：数据压缩率、数据去重技术（重复数据删除）、并行备份能力支持多种存储设备和协议，如</w:t>
            </w:r>
            <w:r>
              <w:rPr>
                <w:rFonts w:ascii="仿宋_GB2312" w:hAnsi="仿宋_GB2312" w:cs="仿宋_GB2312" w:eastAsia="仿宋_GB2312"/>
                <w:sz w:val="21"/>
              </w:rPr>
              <w:t>NAS、SAN、磁带库等；</w:t>
            </w:r>
          </w:p>
          <w:p>
            <w:pPr>
              <w:pStyle w:val="null3"/>
              <w:ind w:firstLine="420"/>
              <w:jc w:val="left"/>
            </w:pPr>
            <w:r>
              <w:rPr>
                <w:rFonts w:ascii="仿宋_GB2312" w:hAnsi="仿宋_GB2312" w:cs="仿宋_GB2312" w:eastAsia="仿宋_GB2312"/>
                <w:sz w:val="21"/>
              </w:rPr>
              <w:t>⑥</w:t>
            </w:r>
            <w:r>
              <w:rPr>
                <w:rFonts w:ascii="仿宋_GB2312" w:hAnsi="仿宋_GB2312" w:cs="仿宋_GB2312" w:eastAsia="仿宋_GB2312"/>
                <w:sz w:val="21"/>
              </w:rPr>
              <w:t>自动存储分层，将冷热数据分别存储在不同成本的存储介质上；</w:t>
            </w:r>
          </w:p>
          <w:p>
            <w:pPr>
              <w:pStyle w:val="null3"/>
              <w:ind w:firstLine="420"/>
              <w:jc w:val="left"/>
            </w:pPr>
            <w:r>
              <w:rPr>
                <w:rFonts w:ascii="仿宋_GB2312" w:hAnsi="仿宋_GB2312" w:cs="仿宋_GB2312" w:eastAsia="仿宋_GB2312"/>
                <w:sz w:val="21"/>
              </w:rPr>
              <w:t>⑦</w:t>
            </w:r>
            <w:r>
              <w:rPr>
                <w:rFonts w:ascii="仿宋_GB2312" w:hAnsi="仿宋_GB2312" w:cs="仿宋_GB2312" w:eastAsia="仿宋_GB2312"/>
                <w:sz w:val="21"/>
              </w:rPr>
              <w:t>备份数据需要支持数据加密、访问控制并记录备日志。</w:t>
            </w:r>
          </w:p>
          <w:p>
            <w:pPr>
              <w:pStyle w:val="null3"/>
              <w:ind w:firstLine="420"/>
              <w:jc w:val="left"/>
            </w:pPr>
            <w:r>
              <w:rPr>
                <w:rFonts w:ascii="仿宋_GB2312" w:hAnsi="仿宋_GB2312" w:cs="仿宋_GB2312" w:eastAsia="仿宋_GB2312"/>
                <w:sz w:val="21"/>
              </w:rPr>
              <w:t>⑧</w:t>
            </w:r>
            <w:r>
              <w:rPr>
                <w:rFonts w:ascii="仿宋_GB2312" w:hAnsi="仿宋_GB2312" w:cs="仿宋_GB2312" w:eastAsia="仿宋_GB2312"/>
                <w:sz w:val="21"/>
              </w:rPr>
              <w:t>备份与恢复应满足政法云使用单位</w:t>
            </w:r>
            <w:r>
              <w:rPr>
                <w:rFonts w:ascii="仿宋_GB2312" w:hAnsi="仿宋_GB2312" w:cs="仿宋_GB2312" w:eastAsia="仿宋_GB2312"/>
                <w:sz w:val="21"/>
              </w:rPr>
              <w:t>RPO/RTO要求，对数据备份、备用网络、备用基础设施、专业技术支撑能力、运维管理能力和恢复预案进行相应要求。</w:t>
            </w:r>
          </w:p>
          <w:p>
            <w:pPr>
              <w:pStyle w:val="null3"/>
              <w:ind w:firstLine="420"/>
              <w:jc w:val="left"/>
            </w:pPr>
            <w:r>
              <w:rPr>
                <w:rFonts w:ascii="仿宋_GB2312" w:hAnsi="仿宋_GB2312" w:cs="仿宋_GB2312" w:eastAsia="仿宋_GB2312"/>
                <w:sz w:val="21"/>
              </w:rPr>
              <w:t>⑨</w:t>
            </w:r>
            <w:r>
              <w:rPr>
                <w:rFonts w:ascii="仿宋_GB2312" w:hAnsi="仿宋_GB2312" w:cs="仿宋_GB2312" w:eastAsia="仿宋_GB2312"/>
                <w:sz w:val="21"/>
              </w:rPr>
              <w:t>应具备数据备份、业务备份所需相关功能，支持对异构云进行数据级实时同步复制，备份系统内置数据防篡改和防误删。支持</w:t>
            </w:r>
            <w:r>
              <w:rPr>
                <w:rFonts w:ascii="仿宋_GB2312" w:hAnsi="仿宋_GB2312" w:cs="仿宋_GB2312" w:eastAsia="仿宋_GB2312"/>
                <w:sz w:val="21"/>
              </w:rPr>
              <w:t>Web管理方式和图形化管理统计。</w:t>
            </w:r>
          </w:p>
          <w:p>
            <w:pPr>
              <w:pStyle w:val="null3"/>
              <w:ind w:firstLine="420"/>
              <w:jc w:val="left"/>
            </w:pPr>
            <w:r>
              <w:rPr>
                <w:rFonts w:ascii="仿宋_GB2312" w:hAnsi="仿宋_GB2312" w:cs="仿宋_GB2312" w:eastAsia="仿宋_GB2312"/>
                <w:sz w:val="21"/>
              </w:rPr>
              <w:t>⑩</w:t>
            </w:r>
            <w:r>
              <w:rPr>
                <w:rFonts w:ascii="仿宋_GB2312" w:hAnsi="仿宋_GB2312" w:cs="仿宋_GB2312" w:eastAsia="仿宋_GB2312"/>
                <w:sz w:val="21"/>
              </w:rPr>
              <w:t>备份物理环境要求：保持独立环境，由专线链接，不与其他云网融合或共同使用。</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.1.2.2.2</w:t>
            </w:r>
            <w:r>
              <w:rPr>
                <w:rFonts w:ascii="仿宋_GB2312" w:hAnsi="仿宋_GB2312" w:cs="仿宋_GB2312" w:eastAsia="仿宋_GB2312"/>
                <w:sz w:val="21"/>
                <w:b/>
              </w:rPr>
              <w:t>性能要求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计算资源性能要求</w:t>
            </w:r>
          </w:p>
          <w:p>
            <w:pPr>
              <w:pStyle w:val="null3"/>
              <w:ind w:firstLine="420"/>
              <w:jc w:val="left"/>
            </w:pPr>
            <w:r>
              <w:rPr>
                <w:rFonts w:ascii="仿宋_GB2312" w:hAnsi="仿宋_GB2312" w:cs="仿宋_GB2312" w:eastAsia="仿宋_GB2312"/>
                <w:sz w:val="21"/>
              </w:rPr>
              <w:t>计算资源性能要求包括但不限于如下：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物理服务器</w:t>
            </w:r>
            <w:r>
              <w:rPr>
                <w:rFonts w:ascii="仿宋_GB2312" w:hAnsi="仿宋_GB2312" w:cs="仿宋_GB2312" w:eastAsia="仿宋_GB2312"/>
                <w:sz w:val="21"/>
              </w:rPr>
              <w:t>CPU主频应不低于2.4GHz；</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可用性不低于</w:t>
            </w:r>
            <w:r>
              <w:rPr>
                <w:rFonts w:ascii="仿宋_GB2312" w:hAnsi="仿宋_GB2312" w:cs="仿宋_GB2312" w:eastAsia="仿宋_GB2312"/>
                <w:sz w:val="21"/>
              </w:rPr>
              <w:t>99.99%。</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存储资源性能要求</w:t>
            </w:r>
          </w:p>
          <w:p>
            <w:pPr>
              <w:pStyle w:val="null3"/>
              <w:ind w:firstLine="420"/>
              <w:jc w:val="left"/>
            </w:pPr>
            <w:r>
              <w:rPr>
                <w:rFonts w:ascii="仿宋_GB2312" w:hAnsi="仿宋_GB2312" w:cs="仿宋_GB2312" w:eastAsia="仿宋_GB2312"/>
                <w:sz w:val="21"/>
              </w:rPr>
              <w:t>存储资源性能要求包括但不限于如下：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存储系统的读写带宽应不低于</w:t>
            </w:r>
            <w:r>
              <w:rPr>
                <w:rFonts w:ascii="仿宋_GB2312" w:hAnsi="仿宋_GB2312" w:cs="仿宋_GB2312" w:eastAsia="仿宋_GB2312"/>
                <w:sz w:val="21"/>
              </w:rPr>
              <w:t>10Gb/s；</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应支持高可靠性，可靠性不低于</w:t>
            </w:r>
            <w:r>
              <w:rPr>
                <w:rFonts w:ascii="仿宋_GB2312" w:hAnsi="仿宋_GB2312" w:cs="仿宋_GB2312" w:eastAsia="仿宋_GB2312"/>
                <w:sz w:val="21"/>
              </w:rPr>
              <w:t>99.9999%；</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对于块存储服务，应支持普通性能、高性能两类，普通存储单盘技术指标：</w:t>
            </w:r>
            <w:r>
              <w:rPr>
                <w:rFonts w:ascii="仿宋_GB2312" w:hAnsi="仿宋_GB2312" w:cs="仿宋_GB2312" w:eastAsia="仿宋_GB2312"/>
                <w:sz w:val="21"/>
              </w:rPr>
              <w:t>IOPS大于等于2000次/秒，</w:t>
            </w:r>
          </w:p>
          <w:p>
            <w:pPr>
              <w:pStyle w:val="null3"/>
              <w:ind w:firstLine="420"/>
              <w:jc w:val="left"/>
            </w:pPr>
            <w:r>
              <w:rPr>
                <w:rFonts w:ascii="仿宋_GB2312" w:hAnsi="仿宋_GB2312" w:cs="仿宋_GB2312" w:eastAsia="仿宋_GB2312"/>
                <w:sz w:val="21"/>
              </w:rPr>
              <w:t>④</w:t>
            </w:r>
            <w:r>
              <w:rPr>
                <w:rFonts w:ascii="仿宋_GB2312" w:hAnsi="仿宋_GB2312" w:cs="仿宋_GB2312" w:eastAsia="仿宋_GB2312"/>
                <w:sz w:val="21"/>
              </w:rPr>
              <w:t>高性能存储单盘技术指标：</w:t>
            </w:r>
            <w:r>
              <w:rPr>
                <w:rFonts w:ascii="仿宋_GB2312" w:hAnsi="仿宋_GB2312" w:cs="仿宋_GB2312" w:eastAsia="仿宋_GB2312"/>
                <w:sz w:val="21"/>
              </w:rPr>
              <w:t>IOPS大于等于10000次/秒。</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网络系统性能要求</w:t>
            </w:r>
          </w:p>
          <w:p>
            <w:pPr>
              <w:pStyle w:val="null3"/>
              <w:ind w:firstLine="420"/>
              <w:jc w:val="left"/>
            </w:pPr>
            <w:r>
              <w:rPr>
                <w:rFonts w:ascii="仿宋_GB2312" w:hAnsi="仿宋_GB2312" w:cs="仿宋_GB2312" w:eastAsia="仿宋_GB2312"/>
                <w:sz w:val="21"/>
              </w:rPr>
              <w:t>网络系统性能要求包括但不限于如下：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云内骨干线路带宽不低于</w:t>
            </w:r>
            <w:r>
              <w:rPr>
                <w:rFonts w:ascii="仿宋_GB2312" w:hAnsi="仿宋_GB2312" w:cs="仿宋_GB2312" w:eastAsia="仿宋_GB2312"/>
                <w:sz w:val="21"/>
              </w:rPr>
              <w:t>40Gb/s；</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服务器业务带宽不低于</w:t>
            </w:r>
            <w:r>
              <w:rPr>
                <w:rFonts w:ascii="仿宋_GB2312" w:hAnsi="仿宋_GB2312" w:cs="仿宋_GB2312" w:eastAsia="仿宋_GB2312"/>
                <w:sz w:val="21"/>
              </w:rPr>
              <w:t>10Gb/s；</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平均可用性不低于</w:t>
            </w:r>
            <w:r>
              <w:rPr>
                <w:rFonts w:ascii="仿宋_GB2312" w:hAnsi="仿宋_GB2312" w:cs="仿宋_GB2312" w:eastAsia="仿宋_GB2312"/>
                <w:sz w:val="21"/>
              </w:rPr>
              <w:t>99.99%。</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计算资源总体要求</w:t>
            </w:r>
          </w:p>
          <w:p>
            <w:pPr>
              <w:pStyle w:val="null3"/>
              <w:ind w:firstLine="420"/>
              <w:jc w:val="left"/>
            </w:pPr>
            <w:r>
              <w:rPr>
                <w:rFonts w:ascii="仿宋_GB2312" w:hAnsi="仿宋_GB2312" w:cs="仿宋_GB2312" w:eastAsia="仿宋_GB2312"/>
                <w:sz w:val="21"/>
              </w:rPr>
              <w:t>计算资源总体要求包括但不限于以下内容：</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ARM架构下内存总量与物理机CPU总核数比例不低于6；</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C86架构下内存总量与物理机CPU总核数比例不低于12。</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备份性能要求</w:t>
            </w:r>
          </w:p>
          <w:p>
            <w:pPr>
              <w:pStyle w:val="null3"/>
              <w:ind w:firstLine="420"/>
              <w:jc w:val="left"/>
            </w:pPr>
            <w:r>
              <w:rPr>
                <w:rFonts w:ascii="仿宋_GB2312" w:hAnsi="仿宋_GB2312" w:cs="仿宋_GB2312" w:eastAsia="仿宋_GB2312"/>
                <w:sz w:val="21"/>
              </w:rPr>
              <w:t>本期项目备份性能将随政法业务系统的部署进行调整，一般性能要求如下：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备份时效性要求</w:t>
            </w:r>
          </w:p>
          <w:p>
            <w:pPr>
              <w:pStyle w:val="null3"/>
              <w:ind w:firstLine="420"/>
              <w:jc w:val="left"/>
            </w:pPr>
            <w:r>
              <w:rPr>
                <w:rFonts w:ascii="仿宋_GB2312" w:hAnsi="仿宋_GB2312" w:cs="仿宋_GB2312" w:eastAsia="仿宋_GB2312"/>
                <w:sz w:val="21"/>
              </w:rPr>
              <w:t>RPO（恢复点目标）</w:t>
            </w:r>
          </w:p>
          <w:p>
            <w:pPr>
              <w:pStyle w:val="null3"/>
              <w:ind w:firstLine="420"/>
              <w:jc w:val="left"/>
            </w:pPr>
            <w:r>
              <w:rPr>
                <w:rFonts w:ascii="仿宋_GB2312" w:hAnsi="仿宋_GB2312" w:cs="仿宋_GB2312" w:eastAsia="仿宋_GB2312"/>
                <w:sz w:val="21"/>
              </w:rPr>
              <w:t>参照</w:t>
            </w:r>
            <w:r>
              <w:rPr>
                <w:rFonts w:ascii="仿宋_GB2312" w:hAnsi="仿宋_GB2312" w:cs="仿宋_GB2312" w:eastAsia="仿宋_GB2312"/>
                <w:sz w:val="20"/>
              </w:rPr>
              <w:t>《陕西省政务云应用与数据灾备指南（试行）》，</w:t>
            </w:r>
            <w:r>
              <w:rPr>
                <w:rFonts w:ascii="仿宋_GB2312" w:hAnsi="仿宋_GB2312" w:cs="仿宋_GB2312" w:eastAsia="仿宋_GB2312"/>
                <w:sz w:val="21"/>
              </w:rPr>
              <w:t>依据实际业务需求与行业安全标准，</w:t>
            </w:r>
            <w:r>
              <w:rPr>
                <w:rFonts w:ascii="仿宋_GB2312" w:hAnsi="仿宋_GB2312" w:cs="仿宋_GB2312" w:eastAsia="仿宋_GB2312"/>
                <w:sz w:val="21"/>
              </w:rPr>
              <w:t>备份性能需满足</w:t>
            </w:r>
            <w:r>
              <w:rPr>
                <w:rFonts w:ascii="仿宋_GB2312" w:hAnsi="仿宋_GB2312" w:cs="仿宋_GB2312" w:eastAsia="仿宋_GB2312"/>
                <w:sz w:val="21"/>
              </w:rPr>
              <w:t>不同</w:t>
            </w:r>
            <w:r>
              <w:rPr>
                <w:rFonts w:ascii="仿宋_GB2312" w:hAnsi="仿宋_GB2312" w:cs="仿宋_GB2312" w:eastAsia="仿宋_GB2312"/>
                <w:sz w:val="21"/>
              </w:rPr>
              <w:t>系统等级</w:t>
            </w:r>
            <w:r>
              <w:rPr>
                <w:rFonts w:ascii="仿宋_GB2312" w:hAnsi="仿宋_GB2312" w:cs="仿宋_GB2312" w:eastAsia="仿宋_GB2312"/>
                <w:sz w:val="21"/>
              </w:rPr>
              <w:t>的备份</w:t>
            </w:r>
            <w:r>
              <w:rPr>
                <w:rFonts w:ascii="仿宋_GB2312" w:hAnsi="仿宋_GB2312" w:cs="仿宋_GB2312" w:eastAsia="仿宋_GB2312"/>
                <w:sz w:val="21"/>
              </w:rPr>
              <w:t>时效性</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备份吞吐量要求</w:t>
            </w:r>
          </w:p>
          <w:p>
            <w:pPr>
              <w:pStyle w:val="null3"/>
              <w:ind w:firstLine="420"/>
              <w:jc w:val="left"/>
            </w:pPr>
            <w:r>
              <w:rPr>
                <w:rFonts w:ascii="仿宋_GB2312" w:hAnsi="仿宋_GB2312" w:cs="仿宋_GB2312" w:eastAsia="仿宋_GB2312"/>
                <w:sz w:val="21"/>
              </w:rPr>
              <w:t>数据传输速率</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异地容灾备份</w:t>
            </w:r>
            <w:r>
              <w:rPr>
                <w:rFonts w:ascii="仿宋_GB2312" w:hAnsi="仿宋_GB2312" w:cs="仿宋_GB2312" w:eastAsia="仿宋_GB2312"/>
                <w:sz w:val="21"/>
              </w:rPr>
              <w:t>，</w:t>
            </w:r>
            <w:r>
              <w:rPr>
                <w:rFonts w:ascii="仿宋_GB2312" w:hAnsi="仿宋_GB2312" w:cs="仿宋_GB2312" w:eastAsia="仿宋_GB2312"/>
                <w:sz w:val="21"/>
              </w:rPr>
              <w:t>确保关键数据定时同步。</w:t>
            </w:r>
          </w:p>
          <w:p>
            <w:pPr>
              <w:pStyle w:val="null3"/>
              <w:ind w:firstLine="420"/>
              <w:jc w:val="left"/>
            </w:pPr>
            <w:r>
              <w:rPr>
                <w:rFonts w:ascii="仿宋_GB2312" w:hAnsi="仿宋_GB2312" w:cs="仿宋_GB2312" w:eastAsia="仿宋_GB2312"/>
                <w:sz w:val="21"/>
              </w:rPr>
              <w:t>并发处理能力</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支持至少</w:t>
            </w:r>
            <w:r>
              <w:rPr>
                <w:rFonts w:ascii="仿宋_GB2312" w:hAnsi="仿宋_GB2312" w:cs="仿宋_GB2312" w:eastAsia="仿宋_GB2312"/>
                <w:sz w:val="21"/>
              </w:rPr>
              <w:t>100个并发备份任务。</w:t>
            </w:r>
          </w:p>
          <w:p>
            <w:pPr>
              <w:pStyle w:val="null3"/>
              <w:ind w:firstLine="420"/>
              <w:jc w:val="left"/>
            </w:pPr>
            <w:r>
              <w:rPr>
                <w:rFonts w:ascii="仿宋_GB2312" w:hAnsi="仿宋_GB2312" w:cs="仿宋_GB2312" w:eastAsia="仿宋_GB2312"/>
                <w:sz w:val="21"/>
              </w:rPr>
              <w:t>单节点备份吞吐量</w:t>
            </w:r>
            <w:r>
              <w:rPr>
                <w:rFonts w:ascii="仿宋_GB2312" w:hAnsi="仿宋_GB2312" w:cs="仿宋_GB2312" w:eastAsia="仿宋_GB2312"/>
                <w:sz w:val="21"/>
              </w:rPr>
              <w:t>≥500MB/s。</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恢复性能要求</w:t>
            </w:r>
          </w:p>
          <w:p>
            <w:pPr>
              <w:pStyle w:val="null3"/>
              <w:ind w:firstLine="420"/>
              <w:jc w:val="left"/>
            </w:pPr>
            <w:r>
              <w:rPr>
                <w:rFonts w:ascii="仿宋_GB2312" w:hAnsi="仿宋_GB2312" w:cs="仿宋_GB2312" w:eastAsia="仿宋_GB2312"/>
                <w:sz w:val="21"/>
              </w:rPr>
              <w:t>RTO（恢复时间目标）</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参照</w:t>
            </w:r>
            <w:r>
              <w:rPr>
                <w:rFonts w:ascii="仿宋_GB2312" w:hAnsi="仿宋_GB2312" w:cs="仿宋_GB2312" w:eastAsia="仿宋_GB2312"/>
                <w:sz w:val="20"/>
              </w:rPr>
              <w:t>《陕西省政务云应用与数据灾备指南（试行）》，</w:t>
            </w:r>
            <w:r>
              <w:rPr>
                <w:rFonts w:ascii="仿宋_GB2312" w:hAnsi="仿宋_GB2312" w:cs="仿宋_GB2312" w:eastAsia="仿宋_GB2312"/>
                <w:sz w:val="21"/>
              </w:rPr>
              <w:t>依据实际业务需求与行业安全标准，</w:t>
            </w:r>
            <w:r>
              <w:rPr>
                <w:rFonts w:ascii="仿宋_GB2312" w:hAnsi="仿宋_GB2312" w:cs="仿宋_GB2312" w:eastAsia="仿宋_GB2312"/>
                <w:sz w:val="21"/>
              </w:rPr>
              <w:t>备份性能需满足</w:t>
            </w:r>
            <w:r>
              <w:rPr>
                <w:rFonts w:ascii="仿宋_GB2312" w:hAnsi="仿宋_GB2312" w:cs="仿宋_GB2312" w:eastAsia="仿宋_GB2312"/>
                <w:sz w:val="21"/>
              </w:rPr>
              <w:t>不同</w:t>
            </w:r>
            <w:r>
              <w:rPr>
                <w:rFonts w:ascii="仿宋_GB2312" w:hAnsi="仿宋_GB2312" w:cs="仿宋_GB2312" w:eastAsia="仿宋_GB2312"/>
                <w:sz w:val="21"/>
              </w:rPr>
              <w:t>系统等级</w:t>
            </w:r>
            <w:r>
              <w:rPr>
                <w:rFonts w:ascii="仿宋_GB2312" w:hAnsi="仿宋_GB2312" w:cs="仿宋_GB2312" w:eastAsia="仿宋_GB2312"/>
                <w:sz w:val="21"/>
              </w:rPr>
              <w:t>的</w:t>
            </w:r>
            <w:r>
              <w:rPr>
                <w:rFonts w:ascii="仿宋_GB2312" w:hAnsi="仿宋_GB2312" w:cs="仿宋_GB2312" w:eastAsia="仿宋_GB2312"/>
                <w:sz w:val="21"/>
              </w:rPr>
              <w:t>恢复性能要求</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恢复验证频率</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核心数据：每月至少一次恢复演练，确保备份数据可用</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其他数据：每季度至少一次恢复演练。</w:t>
            </w:r>
          </w:p>
          <w:p>
            <w:pPr>
              <w:pStyle w:val="null3"/>
              <w:ind w:firstLine="420"/>
              <w:jc w:val="left"/>
            </w:pPr>
            <w:r>
              <w:rPr>
                <w:rFonts w:ascii="仿宋_GB2312" w:hAnsi="仿宋_GB2312" w:cs="仿宋_GB2312" w:eastAsia="仿宋_GB2312"/>
                <w:sz w:val="21"/>
              </w:rPr>
              <w:t>④</w:t>
            </w:r>
            <w:r>
              <w:rPr>
                <w:rFonts w:ascii="仿宋_GB2312" w:hAnsi="仿宋_GB2312" w:cs="仿宋_GB2312" w:eastAsia="仿宋_GB2312"/>
                <w:sz w:val="21"/>
              </w:rPr>
              <w:t>扩展性要求</w:t>
            </w:r>
          </w:p>
          <w:p>
            <w:pPr>
              <w:pStyle w:val="null3"/>
              <w:ind w:firstLine="420"/>
              <w:jc w:val="left"/>
            </w:pPr>
            <w:r>
              <w:rPr>
                <w:rFonts w:ascii="仿宋_GB2312" w:hAnsi="仿宋_GB2312" w:cs="仿宋_GB2312" w:eastAsia="仿宋_GB2312"/>
                <w:sz w:val="21"/>
              </w:rPr>
              <w:t>横向扩展能力</w:t>
            </w:r>
            <w:r>
              <w:rPr>
                <w:rFonts w:ascii="仿宋_GB2312" w:hAnsi="仿宋_GB2312" w:cs="仿宋_GB2312" w:eastAsia="仿宋_GB2312"/>
                <w:sz w:val="21"/>
              </w:rPr>
              <w:t>：</w:t>
            </w:r>
            <w:r>
              <w:rPr>
                <w:rFonts w:ascii="仿宋_GB2312" w:hAnsi="仿宋_GB2312" w:cs="仿宋_GB2312" w:eastAsia="仿宋_GB2312"/>
                <w:sz w:val="21"/>
              </w:rPr>
              <w:t>支持无缝增加备份节点，满足政务数据量年均</w:t>
            </w:r>
            <w:r>
              <w:rPr>
                <w:rFonts w:ascii="仿宋_GB2312" w:hAnsi="仿宋_GB2312" w:cs="仿宋_GB2312" w:eastAsia="仿宋_GB2312"/>
                <w:sz w:val="21"/>
              </w:rPr>
              <w:t>30%-50%的增长需求。备份系统吞吐量应支持线性扩展。</w:t>
            </w:r>
          </w:p>
          <w:p>
            <w:pPr>
              <w:pStyle w:val="null3"/>
              <w:ind w:firstLine="420"/>
              <w:jc w:val="left"/>
            </w:pPr>
            <w:r>
              <w:rPr>
                <w:rFonts w:ascii="仿宋_GB2312" w:hAnsi="仿宋_GB2312" w:cs="仿宋_GB2312" w:eastAsia="仿宋_GB2312"/>
                <w:sz w:val="21"/>
              </w:rPr>
              <w:t>兼容性</w:t>
            </w:r>
            <w:r>
              <w:rPr>
                <w:rFonts w:ascii="仿宋_GB2312" w:hAnsi="仿宋_GB2312" w:cs="仿宋_GB2312" w:eastAsia="仿宋_GB2312"/>
                <w:sz w:val="21"/>
              </w:rPr>
              <w:t>：</w:t>
            </w:r>
            <w:r>
              <w:rPr>
                <w:rFonts w:ascii="仿宋_GB2312" w:hAnsi="仿宋_GB2312" w:cs="仿宋_GB2312" w:eastAsia="仿宋_GB2312"/>
                <w:sz w:val="21"/>
              </w:rPr>
              <w:t>支持异构环境的统一备份管理。</w:t>
            </w:r>
          </w:p>
          <w:p>
            <w:pPr>
              <w:pStyle w:val="null3"/>
              <w:jc w:val="left"/>
            </w:pPr>
            <w:r>
              <w:rPr>
                <w:rFonts w:ascii="仿宋_GB2312" w:hAnsi="仿宋_GB2312" w:cs="仿宋_GB2312" w:eastAsia="仿宋_GB2312"/>
                <w:sz w:val="21"/>
                <w:b/>
              </w:rPr>
              <w:t>1.1.2.3</w:t>
            </w:r>
            <w:r>
              <w:rPr>
                <w:rFonts w:ascii="仿宋_GB2312" w:hAnsi="仿宋_GB2312" w:cs="仿宋_GB2312" w:eastAsia="仿宋_GB2312"/>
                <w:sz w:val="21"/>
                <w:b/>
              </w:rPr>
              <w:t>支撑软件要求</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.1.2.3.1</w:t>
            </w:r>
            <w:r>
              <w:rPr>
                <w:rFonts w:ascii="仿宋_GB2312" w:hAnsi="仿宋_GB2312" w:cs="仿宋_GB2312" w:eastAsia="仿宋_GB2312"/>
                <w:sz w:val="21"/>
                <w:b/>
              </w:rPr>
              <w:t>操作系统要求</w:t>
            </w:r>
          </w:p>
          <w:p>
            <w:pPr>
              <w:pStyle w:val="null3"/>
              <w:ind w:firstLine="420"/>
              <w:jc w:val="left"/>
            </w:pPr>
            <w:r>
              <w:rPr>
                <w:rFonts w:ascii="仿宋_GB2312" w:hAnsi="仿宋_GB2312" w:cs="仿宋_GB2312" w:eastAsia="仿宋_GB2312"/>
                <w:sz w:val="21"/>
              </w:rPr>
              <w:t>操作系统是支撑政务业务应用的服务之一，应为云主机、裸金属等云服务提供操作系统镜像服务，要求如下：</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提供主流国产操作系统，并确保操作系统使用的合法性、安全性；</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提供基于</w:t>
            </w:r>
            <w:r>
              <w:rPr>
                <w:rFonts w:ascii="仿宋_GB2312" w:hAnsi="仿宋_GB2312" w:cs="仿宋_GB2312" w:eastAsia="仿宋_GB2312"/>
                <w:sz w:val="21"/>
              </w:rPr>
              <w:t>C86和ARM等国产化CPU架构的操作系统，以适应不同业务应用需要；</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具备适配新型操作系统的能力。</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.1.2.3.2</w:t>
            </w:r>
            <w:r>
              <w:rPr>
                <w:rFonts w:ascii="仿宋_GB2312" w:hAnsi="仿宋_GB2312" w:cs="仿宋_GB2312" w:eastAsia="仿宋_GB2312"/>
                <w:sz w:val="21"/>
              </w:rPr>
              <w:t>数据库要求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一般要求</w:t>
            </w:r>
          </w:p>
          <w:p>
            <w:pPr>
              <w:pStyle w:val="null3"/>
              <w:ind w:firstLine="420"/>
              <w:jc w:val="left"/>
            </w:pPr>
            <w:r>
              <w:rPr>
                <w:rFonts w:ascii="仿宋_GB2312" w:hAnsi="仿宋_GB2312" w:cs="仿宋_GB2312" w:eastAsia="仿宋_GB2312"/>
                <w:sz w:val="21"/>
              </w:rPr>
              <w:t>数据库为政务业务应用等提供数据存储能力，要求如下：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支持主流国产数据库，包括集中式数据库与分布式数据库两种架构；</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支持数据库服务化管理，提供数据库全生命周期的管理能力；</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支持对数据库监控管理、告警等。</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数据库要求</w:t>
            </w:r>
          </w:p>
          <w:p>
            <w:pPr>
              <w:pStyle w:val="null3"/>
              <w:ind w:firstLine="420"/>
              <w:jc w:val="left"/>
            </w:pPr>
            <w:r>
              <w:rPr>
                <w:rFonts w:ascii="仿宋_GB2312" w:hAnsi="仿宋_GB2312" w:cs="仿宋_GB2312" w:eastAsia="仿宋_GB2312"/>
                <w:sz w:val="21"/>
              </w:rPr>
              <w:t>集中式数据库要求如下：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具备基于集群及负载均衡等技术的能力；</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支持多种资源部署模式，如裸金属、云主机等；</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具备数据库的备份能力与集群的容灾能力。</w:t>
            </w:r>
          </w:p>
          <w:p>
            <w:pPr>
              <w:pStyle w:val="null3"/>
              <w:ind w:firstLine="420"/>
              <w:jc w:val="left"/>
            </w:pPr>
            <w:r>
              <w:rPr>
                <w:rFonts w:ascii="仿宋_GB2312" w:hAnsi="仿宋_GB2312" w:cs="仿宋_GB2312" w:eastAsia="仿宋_GB2312"/>
                <w:sz w:val="21"/>
              </w:rPr>
              <w:t>分布式数据库要求如下：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事务型数据库应能抵御网络问题导致分布式数据库服务崩裂风险；应支持跨库死锁检测；应支持数据分片在线拆分；</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分析型数据库应支持对地理信息（</w:t>
            </w:r>
            <w:r>
              <w:rPr>
                <w:rFonts w:ascii="仿宋_GB2312" w:hAnsi="仿宋_GB2312" w:cs="仿宋_GB2312" w:eastAsia="仿宋_GB2312"/>
                <w:sz w:val="21"/>
              </w:rPr>
              <w:t>GIS）与时序数据进行存储和分析；应支持标准云原生存算分离架构。</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.1.2.3.3</w:t>
            </w:r>
            <w:r>
              <w:rPr>
                <w:rFonts w:ascii="仿宋_GB2312" w:hAnsi="仿宋_GB2312" w:cs="仿宋_GB2312" w:eastAsia="仿宋_GB2312"/>
                <w:sz w:val="21"/>
                <w:b/>
              </w:rPr>
              <w:t>日志服务</w:t>
            </w:r>
          </w:p>
          <w:p>
            <w:pPr>
              <w:pStyle w:val="null3"/>
              <w:ind w:firstLine="420"/>
              <w:jc w:val="left"/>
            </w:pPr>
            <w:r>
              <w:rPr>
                <w:rFonts w:ascii="仿宋_GB2312" w:hAnsi="仿宋_GB2312" w:cs="仿宋_GB2312" w:eastAsia="仿宋_GB2312"/>
                <w:sz w:val="21"/>
              </w:rPr>
              <w:t>日志服务，具体功能要求如下：</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1）提供统一收集平台日志的服务；</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2）提供收集面向应用的日志服务，如应用定向写到文件中的日志；</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3）提供对日志的可视化管理、组合过滤查询的能力；</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4）支持用户自定义解析规则和解析规则组，并预置多种解析规则实现日志数据解析；</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日志数据冷热数据分离存储，支持分别配置冷数据和热数据保存时间，也可支持永久保存；支持自定义日志分片数和副本数；为了提高存储资源利用率，支持日志投递功能，按JSON、CSV等转存格式转储日志数据到共享存储。</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.1.2.3.4</w:t>
            </w:r>
            <w:r>
              <w:rPr>
                <w:rFonts w:ascii="仿宋_GB2312" w:hAnsi="仿宋_GB2312" w:cs="仿宋_GB2312" w:eastAsia="仿宋_GB2312"/>
                <w:sz w:val="21"/>
                <w:b/>
              </w:rPr>
              <w:t xml:space="preserve"> </w:t>
            </w:r>
            <w:r>
              <w:rPr>
                <w:rFonts w:ascii="仿宋_GB2312" w:hAnsi="仿宋_GB2312" w:cs="仿宋_GB2312" w:eastAsia="仿宋_GB2312"/>
                <w:sz w:val="21"/>
                <w:b/>
              </w:rPr>
              <w:t>API网关</w:t>
            </w:r>
          </w:p>
          <w:p>
            <w:pPr>
              <w:pStyle w:val="null3"/>
              <w:ind w:firstLine="420"/>
              <w:jc w:val="left"/>
            </w:pPr>
            <w:r>
              <w:rPr>
                <w:rFonts w:ascii="仿宋_GB2312" w:hAnsi="仿宋_GB2312" w:cs="仿宋_GB2312" w:eastAsia="仿宋_GB2312"/>
                <w:sz w:val="21"/>
              </w:rPr>
              <w:t>API网关，具体功能要求如下：</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1）支持创建、发布、上线、监控管理、下线等API的全生命周期管理能力；</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2）支持可视化的API编排，以无代码可视化的方式编排API接口；</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3）支持HTTPS接入访问；</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4）支持配置接口缓存策略，对于匹配的接口请求，可直接由缓存数据响应，以减轻后端业务服务的访问压力；</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5）提供应通过熔断降级的方式保护后端服务的能力；</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6）支持按接口、按组织、按应用和按源IP的多种灵活限流策略，从不同维度对接口的访问进行秒、分钟、小时、天的多种时间单位的流量控制。</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.1.2.3.5</w:t>
            </w:r>
            <w:r>
              <w:rPr>
                <w:rFonts w:ascii="仿宋_GB2312" w:hAnsi="仿宋_GB2312" w:cs="仿宋_GB2312" w:eastAsia="仿宋_GB2312"/>
                <w:sz w:val="21"/>
                <w:b/>
              </w:rPr>
              <w:t>安全服务要求</w:t>
            </w:r>
          </w:p>
          <w:p>
            <w:pPr>
              <w:pStyle w:val="null3"/>
              <w:ind w:firstLine="420"/>
              <w:jc w:val="left"/>
            </w:pPr>
            <w:r>
              <w:rPr>
                <w:rFonts w:ascii="仿宋_GB2312" w:hAnsi="仿宋_GB2312" w:cs="仿宋_GB2312" w:eastAsia="仿宋_GB2312"/>
                <w:sz w:val="21"/>
              </w:rPr>
              <w:t>安全服务应当包括云防火墙服务、主机安全服务、</w:t>
            </w:r>
            <w:r>
              <w:rPr>
                <w:rFonts w:ascii="仿宋_GB2312" w:hAnsi="仿宋_GB2312" w:cs="仿宋_GB2312" w:eastAsia="仿宋_GB2312"/>
                <w:sz w:val="21"/>
              </w:rPr>
              <w:t>Web应用防火墙、堡垒机服务、数据库审计服务、日志审计服务等用于业务安全防护的服务。</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云防火墙</w:t>
            </w:r>
          </w:p>
          <w:p>
            <w:pPr>
              <w:pStyle w:val="null3"/>
              <w:ind w:firstLine="420"/>
              <w:jc w:val="left"/>
            </w:pPr>
            <w:r>
              <w:rPr>
                <w:rFonts w:ascii="仿宋_GB2312" w:hAnsi="仿宋_GB2312" w:cs="仿宋_GB2312" w:eastAsia="仿宋_GB2312"/>
                <w:sz w:val="21"/>
              </w:rPr>
              <w:t>云防火墙，具体功能要求如下：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具备安全访问控制策略、入侵防御、病毒防护、安全会话管理功能；</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具备入侵防御功能，在应对蠕虫、后门、木马、间谍软件、</w:t>
            </w:r>
            <w:r>
              <w:rPr>
                <w:rFonts w:ascii="仿宋_GB2312" w:hAnsi="仿宋_GB2312" w:cs="仿宋_GB2312" w:eastAsia="仿宋_GB2312"/>
                <w:sz w:val="21"/>
              </w:rPr>
              <w:t>Web攻击、拒绝服务等攻击方面具备完善的检测、阻断、限流、审计报警等防护功能；</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能够精准识别并清除流行木马和顽固病毒支持对当前设备的会话进行监控管理；</w:t>
            </w:r>
          </w:p>
          <w:p>
            <w:pPr>
              <w:pStyle w:val="null3"/>
              <w:ind w:firstLine="420"/>
              <w:jc w:val="left"/>
            </w:pPr>
            <w:r>
              <w:rPr>
                <w:rFonts w:ascii="仿宋_GB2312" w:hAnsi="仿宋_GB2312" w:cs="仿宋_GB2312" w:eastAsia="仿宋_GB2312"/>
                <w:sz w:val="21"/>
              </w:rPr>
              <w:t>④</w:t>
            </w:r>
            <w:r>
              <w:rPr>
                <w:rFonts w:ascii="仿宋_GB2312" w:hAnsi="仿宋_GB2312" w:cs="仿宋_GB2312" w:eastAsia="仿宋_GB2312"/>
                <w:sz w:val="21"/>
              </w:rPr>
              <w:t>可查看会话的发起用户、源目地址、端口、协议、策略、存在时间和超时时间等，具有完备的状态检测表追踪连接会话状态。</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主机安全</w:t>
            </w:r>
          </w:p>
          <w:p>
            <w:pPr>
              <w:pStyle w:val="null3"/>
              <w:ind w:firstLine="420"/>
              <w:jc w:val="left"/>
            </w:pPr>
            <w:r>
              <w:rPr>
                <w:rFonts w:ascii="仿宋_GB2312" w:hAnsi="仿宋_GB2312" w:cs="仿宋_GB2312" w:eastAsia="仿宋_GB2312"/>
                <w:sz w:val="21"/>
              </w:rPr>
              <w:t>主机安全，具体功能要求如下：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具备病毒查杀能力，支持强力查杀功能，对于无法普通隔离的病毒文件强制停止进程并隔离或动态移除到删除队列；</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具备攻击防护能力，支持主机层面的基础攻击防护能力，具备暴力破解防护、横向攻击防护、挖矿防护、勒索防护、可疑攻击行为防护等能力；</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支持获取进程路径等一系列上下文信息后，根据用户设置的白名单直接拒绝或放行。</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Web应用防火墙</w:t>
            </w:r>
          </w:p>
          <w:p>
            <w:pPr>
              <w:pStyle w:val="null3"/>
              <w:ind w:firstLine="420"/>
              <w:jc w:val="left"/>
            </w:pPr>
            <w:r>
              <w:rPr>
                <w:rFonts w:ascii="仿宋_GB2312" w:hAnsi="仿宋_GB2312" w:cs="仿宋_GB2312" w:eastAsia="仿宋_GB2312"/>
                <w:sz w:val="21"/>
              </w:rPr>
              <w:t>Web应用防火墙，具体要求如下：</w:t>
            </w:r>
          </w:p>
          <w:p>
            <w:pPr>
              <w:pStyle w:val="null3"/>
              <w:ind w:firstLine="420"/>
              <w:jc w:val="left"/>
            </w:pPr>
            <w:r>
              <w:rPr>
                <w:rFonts w:ascii="仿宋_GB2312" w:hAnsi="仿宋_GB2312" w:cs="仿宋_GB2312" w:eastAsia="仿宋_GB2312"/>
                <w:sz w:val="21"/>
              </w:rPr>
              <w:t>提供登录防护服务，</w:t>
            </w:r>
            <w:r>
              <w:rPr>
                <w:rFonts w:ascii="仿宋_GB2312" w:hAnsi="仿宋_GB2312" w:cs="仿宋_GB2312" w:eastAsia="仿宋_GB2312"/>
                <w:sz w:val="21"/>
              </w:rPr>
              <w:t>Web攻击防护能力、参数防护服务、弱口令防护服务、权限控制服务、CC攻击防护服务、网站扫描防护服务、应用隐藏服务等功能。</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堡垒机</w:t>
            </w:r>
          </w:p>
          <w:p>
            <w:pPr>
              <w:pStyle w:val="null3"/>
              <w:ind w:firstLine="420"/>
              <w:jc w:val="left"/>
            </w:pPr>
            <w:r>
              <w:rPr>
                <w:rFonts w:ascii="仿宋_GB2312" w:hAnsi="仿宋_GB2312" w:cs="仿宋_GB2312" w:eastAsia="仿宋_GB2312"/>
                <w:sz w:val="21"/>
              </w:rPr>
              <w:t>堡垒机服务，具体功能要求如下：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集中管理所有服务器、网络设备账号，对账号整个生命周期进行监控和管理；</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提供多种认证方式的统一认证接口，支持与第三方认证服务器结合；</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提供统一的界面对用户、角色及行为和资源进行授权，达到对权限的细粒度控制；</w:t>
            </w:r>
          </w:p>
          <w:p>
            <w:pPr>
              <w:pStyle w:val="null3"/>
              <w:ind w:firstLine="420"/>
              <w:jc w:val="left"/>
            </w:pPr>
            <w:r>
              <w:rPr>
                <w:rFonts w:ascii="仿宋_GB2312" w:hAnsi="仿宋_GB2312" w:cs="仿宋_GB2312" w:eastAsia="仿宋_GB2312"/>
                <w:sz w:val="21"/>
              </w:rPr>
              <w:t>④</w:t>
            </w:r>
            <w:r>
              <w:rPr>
                <w:rFonts w:ascii="仿宋_GB2312" w:hAnsi="仿宋_GB2312" w:cs="仿宋_GB2312" w:eastAsia="仿宋_GB2312"/>
                <w:sz w:val="21"/>
              </w:rPr>
              <w:t>提供自定义控制策略配置，实现细粒度的访问控制；</w:t>
            </w:r>
          </w:p>
          <w:p>
            <w:pPr>
              <w:pStyle w:val="null3"/>
              <w:ind w:firstLine="420"/>
              <w:jc w:val="left"/>
            </w:pPr>
            <w:r>
              <w:rPr>
                <w:rFonts w:ascii="仿宋_GB2312" w:hAnsi="仿宋_GB2312" w:cs="仿宋_GB2312" w:eastAsia="仿宋_GB2312"/>
                <w:sz w:val="21"/>
              </w:rPr>
              <w:t>⑤</w:t>
            </w:r>
            <w:r>
              <w:rPr>
                <w:rFonts w:ascii="仿宋_GB2312" w:hAnsi="仿宋_GB2312" w:cs="仿宋_GB2312" w:eastAsia="仿宋_GB2312"/>
                <w:sz w:val="21"/>
              </w:rPr>
              <w:t>审计账号使用（登录、资源访问）情况、资源使用情况等，并提供全方位的运维审计报表。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数据库审计</w:t>
            </w:r>
          </w:p>
          <w:p>
            <w:pPr>
              <w:pStyle w:val="null3"/>
              <w:ind w:firstLine="420"/>
              <w:jc w:val="left"/>
            </w:pPr>
            <w:r>
              <w:rPr>
                <w:rFonts w:ascii="仿宋_GB2312" w:hAnsi="仿宋_GB2312" w:cs="仿宋_GB2312" w:eastAsia="仿宋_GB2312"/>
                <w:sz w:val="21"/>
              </w:rPr>
              <w:t>数据库审计，具体功能要求如下：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能够实现实时记录网络上的数据库活动，对数据库操作进行细粒度审计的合规性管理，对数据库遭受的风险行为进行告警，对违规操作进行阻断；</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安全事故的权责追查，可通过审计到的客户端</w:t>
            </w:r>
            <w:r>
              <w:rPr>
                <w:rFonts w:ascii="仿宋_GB2312" w:hAnsi="仿宋_GB2312" w:cs="仿宋_GB2312" w:eastAsia="仿宋_GB2312"/>
                <w:sz w:val="21"/>
              </w:rPr>
              <w:t>IP、数据库用户、会话、sql语句、业务用户等多个维度去捕获事件信息，快速定位发生来源；</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数据库性能诊断，实时观察数据库的运行状况、访问流量、并发吞吐量、</w:t>
            </w:r>
            <w:r>
              <w:rPr>
                <w:rFonts w:ascii="仿宋_GB2312" w:hAnsi="仿宋_GB2312" w:cs="仿宋_GB2312" w:eastAsia="仿宋_GB2312"/>
                <w:sz w:val="21"/>
              </w:rPr>
              <w:t>sql的响应速度等；</w:t>
            </w:r>
          </w:p>
          <w:p>
            <w:pPr>
              <w:pStyle w:val="null3"/>
              <w:ind w:firstLine="420"/>
              <w:jc w:val="left"/>
            </w:pPr>
            <w:r>
              <w:rPr>
                <w:rFonts w:ascii="仿宋_GB2312" w:hAnsi="仿宋_GB2312" w:cs="仿宋_GB2312" w:eastAsia="仿宋_GB2312"/>
                <w:sz w:val="21"/>
              </w:rPr>
              <w:t>④</w:t>
            </w:r>
            <w:r>
              <w:rPr>
                <w:rFonts w:ascii="仿宋_GB2312" w:hAnsi="仿宋_GB2312" w:cs="仿宋_GB2312" w:eastAsia="仿宋_GB2312"/>
                <w:sz w:val="21"/>
              </w:rPr>
              <w:t>数据库漏洞攻击的响应，可实现对数据库漏洞攻击的</w:t>
            </w:r>
            <w:r>
              <w:rPr>
                <w:rFonts w:ascii="仿宋_GB2312" w:hAnsi="仿宋_GB2312" w:cs="仿宋_GB2312" w:eastAsia="仿宋_GB2312"/>
                <w:sz w:val="21"/>
              </w:rPr>
              <w:t>sql注入、危险sql语句指定防护策略，提供实时告警功能；</w:t>
            </w:r>
          </w:p>
          <w:p>
            <w:pPr>
              <w:pStyle w:val="null3"/>
              <w:ind w:firstLine="420"/>
              <w:jc w:val="left"/>
            </w:pPr>
            <w:r>
              <w:rPr>
                <w:rFonts w:ascii="仿宋_GB2312" w:hAnsi="仿宋_GB2312" w:cs="仿宋_GB2312" w:eastAsia="仿宋_GB2312"/>
                <w:sz w:val="21"/>
              </w:rPr>
              <w:t>⑤</w:t>
            </w:r>
            <w:r>
              <w:rPr>
                <w:rFonts w:ascii="仿宋_GB2312" w:hAnsi="仿宋_GB2312" w:cs="仿宋_GB2312" w:eastAsia="仿宋_GB2312"/>
                <w:sz w:val="21"/>
              </w:rPr>
              <w:t>制定数据库的防护措施，通过对数据库操作行为发现，有效观察出行为基准，制定出相关的基准策略。</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日志审计</w:t>
            </w:r>
          </w:p>
          <w:p>
            <w:pPr>
              <w:pStyle w:val="null3"/>
              <w:ind w:firstLine="420"/>
              <w:jc w:val="left"/>
            </w:pPr>
            <w:r>
              <w:rPr>
                <w:rFonts w:ascii="仿宋_GB2312" w:hAnsi="仿宋_GB2312" w:cs="仿宋_GB2312" w:eastAsia="仿宋_GB2312"/>
                <w:sz w:val="21"/>
              </w:rPr>
              <w:t>日志审计服务，具体功能要求如下：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收集系统中不同产品、不同应用的所有日志，对不同日志格式的统一、关联和查询，且不改变原有日志格式。</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日志存储时长不少于半年。通过预置的解析规则实现日志的解析、过滤及聚合，对采集上来的信息进行分析、审计，对于采集到原始信息，以及审计后的信息都要进行保存，备查，并可以作为取证的依据。</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.1.2.3.6</w:t>
            </w:r>
            <w:r>
              <w:rPr>
                <w:rFonts w:ascii="仿宋_GB2312" w:hAnsi="仿宋_GB2312" w:cs="仿宋_GB2312" w:eastAsia="仿宋_GB2312"/>
                <w:sz w:val="21"/>
                <w:b/>
              </w:rPr>
              <w:t>公用软件</w:t>
            </w:r>
            <w:r>
              <w:rPr>
                <w:rFonts w:ascii="仿宋_GB2312" w:hAnsi="仿宋_GB2312" w:cs="仿宋_GB2312" w:eastAsia="仿宋_GB2312"/>
                <w:sz w:val="21"/>
                <w:b/>
              </w:rPr>
              <w:t>要求</w:t>
            </w:r>
          </w:p>
          <w:p>
            <w:pPr>
              <w:pStyle w:val="null3"/>
              <w:ind w:firstLine="420"/>
              <w:jc w:val="left"/>
            </w:pPr>
            <w:r>
              <w:rPr>
                <w:rFonts w:ascii="仿宋_GB2312" w:hAnsi="仿宋_GB2312" w:cs="仿宋_GB2312" w:eastAsia="仿宋_GB2312"/>
                <w:sz w:val="21"/>
              </w:rPr>
              <w:t>根据与政法委、公、检、法、司进行，确定现阶段公共支撑软件仅</w:t>
            </w:r>
            <w:r>
              <w:rPr>
                <w:rFonts w:ascii="仿宋_GB2312" w:hAnsi="仿宋_GB2312" w:cs="仿宋_GB2312" w:eastAsia="仿宋_GB2312"/>
                <w:sz w:val="21"/>
              </w:rPr>
              <w:t>OCR应用。</w:t>
            </w:r>
          </w:p>
          <w:p>
            <w:pPr>
              <w:pStyle w:val="null3"/>
              <w:ind w:firstLine="420"/>
              <w:jc w:val="left"/>
            </w:pPr>
            <w:r>
              <w:rPr>
                <w:rFonts w:ascii="仿宋_GB2312" w:hAnsi="仿宋_GB2312" w:cs="仿宋_GB2312" w:eastAsia="仿宋_GB2312"/>
                <w:sz w:val="21"/>
              </w:rPr>
              <w:t>OCR应用要求：利用图像分析，字符识别等技术，对材料文件实现推理分析，提供材料文字识别能力。</w:t>
            </w:r>
          </w:p>
          <w:p>
            <w:pPr>
              <w:pStyle w:val="null3"/>
              <w:ind w:firstLine="420"/>
              <w:jc w:val="left"/>
            </w:pPr>
            <w:r>
              <w:rPr>
                <w:rFonts w:ascii="仿宋_GB2312" w:hAnsi="仿宋_GB2312" w:cs="仿宋_GB2312" w:eastAsia="仿宋_GB2312"/>
                <w:sz w:val="21"/>
              </w:rPr>
              <w:t>利用图像处理、字符识别等技术，对卷宗材料进行处理并提供文字识别能力，系统支持中文简体，繁体，英文，数字，手写字体的混合识别。可将卷宗材料转化为可以复制引用的电子文本数据，文本数据可满足法官在阅卷、编写文书等场景中便捷的检索、复制引用。同时支撑上层应用发挥材料的深度应用价值。</w:t>
            </w:r>
          </w:p>
          <w:p>
            <w:pPr>
              <w:pStyle w:val="null3"/>
              <w:ind w:firstLine="420"/>
              <w:jc w:val="left"/>
            </w:pPr>
            <w:r>
              <w:rPr>
                <w:rFonts w:ascii="仿宋_GB2312" w:hAnsi="仿宋_GB2312" w:cs="仿宋_GB2312" w:eastAsia="仿宋_GB2312"/>
                <w:sz w:val="21"/>
              </w:rPr>
              <w:t>输入格式支持识别</w:t>
            </w:r>
            <w:r>
              <w:rPr>
                <w:rFonts w:ascii="仿宋_GB2312" w:hAnsi="仿宋_GB2312" w:cs="仿宋_GB2312" w:eastAsia="仿宋_GB2312"/>
                <w:sz w:val="21"/>
              </w:rPr>
              <w:t>JPG、PNG、TIFF、BMP、PDF多种格式的图片文件；</w:t>
            </w:r>
          </w:p>
          <w:p>
            <w:pPr>
              <w:pStyle w:val="null3"/>
              <w:ind w:firstLine="420"/>
              <w:jc w:val="left"/>
            </w:pPr>
            <w:r>
              <w:rPr>
                <w:rFonts w:ascii="仿宋_GB2312" w:hAnsi="仿宋_GB2312" w:cs="仿宋_GB2312" w:eastAsia="仿宋_GB2312"/>
                <w:sz w:val="21"/>
              </w:rPr>
              <w:t>输出格式支持输出</w:t>
            </w:r>
            <w:r>
              <w:rPr>
                <w:rFonts w:ascii="仿宋_GB2312" w:hAnsi="仿宋_GB2312" w:cs="仿宋_GB2312" w:eastAsia="仿宋_GB2312"/>
                <w:sz w:val="21"/>
              </w:rPr>
              <w:t>TXT、PDF、OFD等多种格式文件，PDF和OFD支持对原始图片进行格式还原。</w:t>
            </w:r>
          </w:p>
          <w:p>
            <w:pPr>
              <w:pStyle w:val="null3"/>
              <w:jc w:val="left"/>
            </w:pPr>
            <w:r>
              <w:rPr>
                <w:rFonts w:ascii="仿宋_GB2312" w:hAnsi="仿宋_GB2312" w:cs="仿宋_GB2312" w:eastAsia="仿宋_GB2312"/>
                <w:sz w:val="21"/>
                <w:b/>
              </w:rPr>
              <w:t>1.1.2.4</w:t>
            </w:r>
            <w:r>
              <w:rPr>
                <w:rFonts w:ascii="仿宋_GB2312" w:hAnsi="仿宋_GB2312" w:cs="仿宋_GB2312" w:eastAsia="仿宋_GB2312"/>
                <w:sz w:val="21"/>
                <w:b/>
              </w:rPr>
              <w:t>运维能力要求</w:t>
            </w:r>
          </w:p>
          <w:p>
            <w:pPr>
              <w:pStyle w:val="null3"/>
              <w:ind w:firstLine="420"/>
              <w:jc w:val="left"/>
            </w:pPr>
            <w:r>
              <w:rPr>
                <w:rFonts w:ascii="仿宋_GB2312" w:hAnsi="仿宋_GB2312" w:cs="仿宋_GB2312" w:eastAsia="仿宋_GB2312"/>
                <w:sz w:val="21"/>
              </w:rPr>
              <w:t>运行维护管理应符合</w:t>
            </w:r>
            <w:r>
              <w:rPr>
                <w:rFonts w:ascii="仿宋_GB2312" w:hAnsi="仿宋_GB2312" w:cs="仿宋_GB2312" w:eastAsia="仿宋_GB2312"/>
                <w:sz w:val="21"/>
              </w:rPr>
              <w:t>GB/T34077.3以及IT服务管理等，主要包括以下内容：</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监控管理：提供监控场所和监控终端，应对机房、网络、主机、存储、软件等资源的运行状况进行监测、记录和趋势分析，对监控记录进行保存，保存周期至少半年；</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告警管理：支持对业务系统相关的告警进行趋势分析、时序分析，可分层次查看告警详情，告警可与业务拓扑联动。应支持通过多种方式进行告警提醒，并支持告警转流程工单，在工单中查看告警对象的实时运行状态；</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故障管理：支持分析故障的根本原因，找出解决方案，将故障进行汇总，并纳入问题库，预防故障的再次发生；</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配置管理：支持对云资源进行统一的配置管理，包括集中调度、分级分域管理、按需弹性分配资源等，支持多级审批配置，支持审批人员变更；</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权限管理：提供用户的权限管理功能，支持管理员角色的调整查询，支持管理员分权分域管理，支持政法云操作系统的单点登录功能，登录密码满足政法云使用单位业务的安全需求。</w:t>
            </w:r>
          </w:p>
          <w:p>
            <w:pPr>
              <w:pStyle w:val="null3"/>
              <w:jc w:val="left"/>
            </w:pPr>
            <w:r>
              <w:rPr>
                <w:rFonts w:ascii="仿宋_GB2312" w:hAnsi="仿宋_GB2312" w:cs="仿宋_GB2312" w:eastAsia="仿宋_GB2312"/>
                <w:sz w:val="21"/>
                <w:b/>
              </w:rPr>
              <w:t>1.1.2.5</w:t>
            </w:r>
            <w:r>
              <w:rPr>
                <w:rFonts w:ascii="仿宋_GB2312" w:hAnsi="仿宋_GB2312" w:cs="仿宋_GB2312" w:eastAsia="仿宋_GB2312"/>
                <w:sz w:val="21"/>
                <w:b/>
              </w:rPr>
              <w:t>运营能力要求</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.1.2.5.1</w:t>
            </w:r>
            <w:r>
              <w:rPr>
                <w:rFonts w:ascii="仿宋_GB2312" w:hAnsi="仿宋_GB2312" w:cs="仿宋_GB2312" w:eastAsia="仿宋_GB2312"/>
                <w:sz w:val="21"/>
                <w:b/>
              </w:rPr>
              <w:t>总体要求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政法云服务商使用云管理平台对所运营的政法云资源、政法云使用单位和服务进行统一管理，预留与政务云网一体化资源监测和管理平台对接的接口。云管理平台满足政法云平台的以下基本技术要求：</w:t>
            </w:r>
          </w:p>
          <w:p>
            <w:pPr>
              <w:pStyle w:val="null3"/>
              <w:ind w:firstLine="420"/>
              <w:jc w:val="left"/>
            </w:pPr>
            <w:r>
              <w:rPr>
                <w:rFonts w:ascii="仿宋_GB2312" w:hAnsi="仿宋_GB2312" w:cs="仿宋_GB2312" w:eastAsia="仿宋_GB2312"/>
                <w:sz w:val="21"/>
              </w:rPr>
              <w:t>支持平台管理节点集群部署，并可平滑升级扩展；</w:t>
            </w:r>
          </w:p>
          <w:p>
            <w:pPr>
              <w:pStyle w:val="null3"/>
              <w:ind w:firstLine="420"/>
              <w:jc w:val="left"/>
            </w:pPr>
            <w:r>
              <w:rPr>
                <w:rFonts w:ascii="仿宋_GB2312" w:hAnsi="仿宋_GB2312" w:cs="仿宋_GB2312" w:eastAsia="仿宋_GB2312"/>
                <w:sz w:val="21"/>
              </w:rPr>
              <w:t>支持同构资源池的多节点管理；</w:t>
            </w:r>
          </w:p>
          <w:p>
            <w:pPr>
              <w:pStyle w:val="null3"/>
              <w:ind w:firstLine="420"/>
              <w:jc w:val="left"/>
            </w:pPr>
            <w:r>
              <w:rPr>
                <w:rFonts w:ascii="仿宋_GB2312" w:hAnsi="仿宋_GB2312" w:cs="仿宋_GB2312" w:eastAsia="仿宋_GB2312"/>
                <w:sz w:val="21"/>
              </w:rPr>
              <w:t>用于政法云管理单位和政法云使用单位管理所用云资源，提供资源监控管理、资源操作等基本能力；</w:t>
            </w:r>
          </w:p>
          <w:p>
            <w:pPr>
              <w:pStyle w:val="null3"/>
              <w:ind w:firstLine="420"/>
              <w:jc w:val="left"/>
            </w:pPr>
            <w:r>
              <w:rPr>
                <w:rFonts w:ascii="仿宋_GB2312" w:hAnsi="仿宋_GB2312" w:cs="仿宋_GB2312" w:eastAsia="仿宋_GB2312"/>
                <w:sz w:val="21"/>
              </w:rPr>
              <w:t>用于政法云服务商和政法云监管服务商运营管理云资源，提供组织管理、权限管理、计量计费、统计分析及服务管理等基本能力。</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网管平台满足政法云平台的以下基本技术要求：</w:t>
            </w:r>
          </w:p>
          <w:p>
            <w:pPr>
              <w:pStyle w:val="null3"/>
              <w:ind w:firstLine="420"/>
              <w:jc w:val="left"/>
            </w:pPr>
            <w:r>
              <w:rPr>
                <w:rFonts w:ascii="仿宋_GB2312" w:hAnsi="仿宋_GB2312" w:cs="仿宋_GB2312" w:eastAsia="仿宋_GB2312"/>
                <w:sz w:val="21"/>
              </w:rPr>
              <w:t>支持对政法云平台中使用的各种网络设备进行集中管理，包括路由器、交换机、防火墙等。提供统一的界面，方便管理员查看设备的状态、性能指标和运行日志。确保网络设备的稳定运行。</w:t>
            </w:r>
          </w:p>
          <w:p>
            <w:pPr>
              <w:pStyle w:val="null3"/>
              <w:ind w:firstLine="420"/>
              <w:jc w:val="left"/>
            </w:pPr>
            <w:r>
              <w:rPr>
                <w:rFonts w:ascii="仿宋_GB2312" w:hAnsi="仿宋_GB2312" w:cs="仿宋_GB2312" w:eastAsia="仿宋_GB2312"/>
                <w:sz w:val="21"/>
              </w:rPr>
              <w:t>能够自动监测网络设备和链路的运行状况，及时发现故障并提供详细的诊断报告。</w:t>
            </w:r>
          </w:p>
          <w:p>
            <w:pPr>
              <w:pStyle w:val="null3"/>
              <w:ind w:firstLine="420"/>
              <w:jc w:val="left"/>
            </w:pPr>
            <w:r>
              <w:rPr>
                <w:rFonts w:ascii="仿宋_GB2312" w:hAnsi="仿宋_GB2312" w:cs="仿宋_GB2312" w:eastAsia="仿宋_GB2312"/>
                <w:sz w:val="21"/>
              </w:rPr>
              <w:t>实时监测网络设备的性能指标，如带宽利用率、连接数、延迟等。</w:t>
            </w:r>
          </w:p>
          <w:p>
            <w:pPr>
              <w:pStyle w:val="null3"/>
              <w:ind w:firstLine="420"/>
              <w:jc w:val="left"/>
            </w:pPr>
            <w:r>
              <w:rPr>
                <w:rFonts w:ascii="仿宋_GB2312" w:hAnsi="仿宋_GB2312" w:cs="仿宋_GB2312" w:eastAsia="仿宋_GB2312"/>
                <w:sz w:val="21"/>
              </w:rPr>
              <w:t>实施安全策略和访问控制，保护政法云平台上的网络资源和敏感数据。</w:t>
            </w:r>
          </w:p>
          <w:p>
            <w:pPr>
              <w:pStyle w:val="null3"/>
              <w:ind w:firstLine="420"/>
              <w:jc w:val="left"/>
            </w:pPr>
            <w:r>
              <w:rPr>
                <w:rFonts w:ascii="仿宋_GB2312" w:hAnsi="仿宋_GB2312" w:cs="仿宋_GB2312" w:eastAsia="仿宋_GB2312"/>
                <w:sz w:val="21"/>
              </w:rPr>
              <w:t>管理员可以配置防火墙、虚拟专用网络（</w:t>
            </w:r>
            <w:r>
              <w:rPr>
                <w:rFonts w:ascii="仿宋_GB2312" w:hAnsi="仿宋_GB2312" w:cs="仿宋_GB2312" w:eastAsia="仿宋_GB2312"/>
                <w:sz w:val="21"/>
              </w:rPr>
              <w:t>VPN）等安全设备，设置访问权限和流量限制。</w:t>
            </w:r>
          </w:p>
          <w:p>
            <w:pPr>
              <w:pStyle w:val="null3"/>
              <w:ind w:firstLine="420"/>
              <w:jc w:val="left"/>
            </w:pPr>
            <w:r>
              <w:rPr>
                <w:rFonts w:ascii="仿宋_GB2312" w:hAnsi="仿宋_GB2312" w:cs="仿宋_GB2312" w:eastAsia="仿宋_GB2312"/>
                <w:sz w:val="21"/>
              </w:rPr>
              <w:t>进行统一的用户管理，包括用户身份验证、权限控制和账号管理等。</w:t>
            </w:r>
          </w:p>
          <w:p>
            <w:pPr>
              <w:pStyle w:val="null3"/>
              <w:ind w:firstLine="420"/>
              <w:jc w:val="left"/>
            </w:pPr>
            <w:r>
              <w:rPr>
                <w:rFonts w:ascii="仿宋_GB2312" w:hAnsi="仿宋_GB2312" w:cs="仿宋_GB2312" w:eastAsia="仿宋_GB2312"/>
                <w:sz w:val="21"/>
              </w:rPr>
              <w:t>生成各种报告和分析结果，帮助管理员了解政法云平台的运行情况和问题状况。</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.1.2.5.2</w:t>
            </w:r>
            <w:r>
              <w:rPr>
                <w:rFonts w:ascii="仿宋_GB2312" w:hAnsi="仿宋_GB2312" w:cs="仿宋_GB2312" w:eastAsia="仿宋_GB2312"/>
                <w:sz w:val="21"/>
                <w:b/>
              </w:rPr>
              <w:t>接口要求</w:t>
            </w:r>
          </w:p>
          <w:p>
            <w:pPr>
              <w:pStyle w:val="null3"/>
              <w:ind w:firstLine="420"/>
              <w:jc w:val="left"/>
            </w:pPr>
            <w:r>
              <w:rPr>
                <w:rFonts w:ascii="仿宋_GB2312" w:hAnsi="仿宋_GB2312" w:cs="仿宋_GB2312" w:eastAsia="仿宋_GB2312"/>
                <w:sz w:val="21"/>
              </w:rPr>
              <w:t>政法云平台应提供标准的接口，包含但不限于管理平台、虚拟化平台、网络、安全、存储系统等接口，具备管理相关物理设备及系统的能力，提供标准的北向接口功能及标准文档规范。云管理平台的开放接口，以实现云管理平台和运维管理平台能够被第三方应用开发、部署和安全监管，包含但不限于：</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硬件接入应提供物理设备的接口，包括服务器设备、网络设备、存储设备等。</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软件接入要求：</w:t>
            </w:r>
          </w:p>
          <w:p>
            <w:pPr>
              <w:pStyle w:val="null3"/>
              <w:ind w:firstLine="420"/>
              <w:jc w:val="left"/>
            </w:pPr>
            <w:r>
              <w:rPr>
                <w:rFonts w:ascii="仿宋_GB2312" w:hAnsi="仿宋_GB2312" w:cs="仿宋_GB2312" w:eastAsia="仿宋_GB2312"/>
                <w:sz w:val="21"/>
              </w:rPr>
              <w:t>可以查询政法云平台服务状态信息、云平台物理资源使用情况等；</w:t>
            </w:r>
          </w:p>
          <w:p>
            <w:pPr>
              <w:pStyle w:val="null3"/>
              <w:ind w:firstLine="420"/>
              <w:jc w:val="left"/>
            </w:pPr>
            <w:r>
              <w:rPr>
                <w:rFonts w:ascii="仿宋_GB2312" w:hAnsi="仿宋_GB2312" w:cs="仿宋_GB2312" w:eastAsia="仿宋_GB2312"/>
                <w:sz w:val="21"/>
              </w:rPr>
              <w:t>提供云主机的相关接口，包括虚拟机云主机详细信息、列表、快照、硬盘规格、镜像等；</w:t>
            </w:r>
          </w:p>
          <w:p>
            <w:pPr>
              <w:pStyle w:val="null3"/>
              <w:ind w:firstLine="420"/>
              <w:jc w:val="left"/>
            </w:pPr>
            <w:r>
              <w:rPr>
                <w:rFonts w:ascii="仿宋_GB2312" w:hAnsi="仿宋_GB2312" w:cs="仿宋_GB2312" w:eastAsia="仿宋_GB2312"/>
                <w:sz w:val="21"/>
              </w:rPr>
              <w:t>提供存储资源相关的接口，包括云硬盘、硬盘快照、访问鉴权等；</w:t>
            </w:r>
          </w:p>
          <w:p>
            <w:pPr>
              <w:pStyle w:val="null3"/>
              <w:ind w:firstLine="420"/>
              <w:jc w:val="left"/>
            </w:pPr>
            <w:r>
              <w:rPr>
                <w:rFonts w:ascii="仿宋_GB2312" w:hAnsi="仿宋_GB2312" w:cs="仿宋_GB2312" w:eastAsia="仿宋_GB2312"/>
                <w:sz w:val="21"/>
              </w:rPr>
              <w:t>提供虚拟网络资源相关的接口，包括网络、子网、网卡、虚拟路由、安全组、公网</w:t>
            </w:r>
            <w:r>
              <w:rPr>
                <w:rFonts w:ascii="仿宋_GB2312" w:hAnsi="仿宋_GB2312" w:cs="仿宋_GB2312" w:eastAsia="仿宋_GB2312"/>
                <w:sz w:val="21"/>
              </w:rPr>
              <w:t>IP、VFW、VPN、VLB等。</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提供丰富的</w:t>
            </w:r>
            <w:r>
              <w:rPr>
                <w:rFonts w:ascii="仿宋_GB2312" w:hAnsi="仿宋_GB2312" w:cs="仿宋_GB2312" w:eastAsia="仿宋_GB2312"/>
                <w:sz w:val="21"/>
              </w:rPr>
              <w:t>RESTAPI接口供第三方在云操作系统上进行业务应用开发部署，提供的接口涵盖基础设施、支撑软件和业务应用各个层面，实现一个开放的云服务平台；</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提供多种安全监管接口，以提供相关安全监管数据。安全监管接口类型包括网络流量接口、网络协议接口、云主机接口和</w:t>
            </w:r>
            <w:r>
              <w:rPr>
                <w:rFonts w:ascii="仿宋_GB2312" w:hAnsi="仿宋_GB2312" w:cs="仿宋_GB2312" w:eastAsia="仿宋_GB2312"/>
                <w:sz w:val="21"/>
              </w:rPr>
              <w:t>API等。</w:t>
            </w:r>
          </w:p>
          <w:p>
            <w:pPr>
              <w:pStyle w:val="null3"/>
              <w:jc w:val="left"/>
            </w:pPr>
            <w:r>
              <w:rPr>
                <w:rFonts w:ascii="仿宋_GB2312" w:hAnsi="仿宋_GB2312" w:cs="仿宋_GB2312" w:eastAsia="仿宋_GB2312"/>
                <w:sz w:val="21"/>
                <w:b/>
              </w:rPr>
              <w:t>1.1.2.6</w:t>
            </w:r>
            <w:r>
              <w:rPr>
                <w:rFonts w:ascii="仿宋_GB2312" w:hAnsi="仿宋_GB2312" w:cs="仿宋_GB2312" w:eastAsia="仿宋_GB2312"/>
                <w:sz w:val="21"/>
                <w:b/>
              </w:rPr>
              <w:t>安全保障要求</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.1.2.6.1</w:t>
            </w:r>
            <w:r>
              <w:rPr>
                <w:rFonts w:ascii="仿宋_GB2312" w:hAnsi="仿宋_GB2312" w:cs="仿宋_GB2312" w:eastAsia="仿宋_GB2312"/>
                <w:sz w:val="21"/>
                <w:b/>
              </w:rPr>
              <w:t>总体安全技术要求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1"/>
              </w:rPr>
              <w:t>政法云平台总体安全技术要求</w:t>
            </w:r>
            <w:r>
              <w:rPr>
                <w:rFonts w:ascii="仿宋_GB2312" w:hAnsi="仿宋_GB2312" w:cs="仿宋_GB2312" w:eastAsia="仿宋_GB2312"/>
                <w:sz w:val="21"/>
              </w:rPr>
              <w:t>（提供承诺函）</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保证安全技术服务能力不低于所承载的信息系统的最高级别，并通过</w:t>
            </w:r>
            <w:r>
              <w:rPr>
                <w:rFonts w:ascii="仿宋_GB2312" w:hAnsi="仿宋_GB2312" w:cs="仿宋_GB2312" w:eastAsia="仿宋_GB2312"/>
                <w:sz w:val="21"/>
              </w:rPr>
              <w:t>GB/T22239相应等级的测评；</w:t>
            </w:r>
          </w:p>
          <w:p>
            <w:pPr>
              <w:pStyle w:val="null3"/>
              <w:ind w:firstLine="420"/>
              <w:jc w:val="left"/>
            </w:pPr>
            <w:r>
              <w:rPr>
                <w:rFonts w:ascii="仿宋_GB2312" w:hAnsi="仿宋_GB2312" w:cs="仿宋_GB2312" w:eastAsia="仿宋_GB2312"/>
                <w:sz w:val="21"/>
              </w:rPr>
              <w:t>符合</w:t>
            </w:r>
            <w:r>
              <w:rPr>
                <w:rFonts w:ascii="仿宋_GB2312" w:hAnsi="仿宋_GB2312" w:cs="仿宋_GB2312" w:eastAsia="仿宋_GB2312"/>
                <w:sz w:val="21"/>
              </w:rPr>
              <w:t>GB/T34080.1，GB/T34080.2，GB/T34080.3，GB/T34080.4中的规定；</w:t>
            </w:r>
          </w:p>
          <w:p>
            <w:pPr>
              <w:pStyle w:val="null3"/>
              <w:ind w:firstLine="420"/>
              <w:jc w:val="left"/>
            </w:pPr>
            <w:r>
              <w:rPr>
                <w:rFonts w:ascii="仿宋_GB2312" w:hAnsi="仿宋_GB2312" w:cs="仿宋_GB2312" w:eastAsia="仿宋_GB2312"/>
                <w:sz w:val="21"/>
              </w:rPr>
              <w:t>符合国家互联网信息办公室、国家发展和改革委员会、工业和信息化部、财政部制定的《云计算服务安全评估办法》；</w:t>
            </w:r>
          </w:p>
          <w:p>
            <w:pPr>
              <w:pStyle w:val="null3"/>
              <w:ind w:firstLine="420"/>
              <w:jc w:val="left"/>
            </w:pPr>
            <w:r>
              <w:rPr>
                <w:rFonts w:ascii="仿宋_GB2312" w:hAnsi="仿宋_GB2312" w:cs="仿宋_GB2312" w:eastAsia="仿宋_GB2312"/>
                <w:sz w:val="21"/>
              </w:rPr>
              <w:t>通过商用密码应用安全性评估，商用密码应用安全性评估参考</w:t>
            </w:r>
            <w:r>
              <w:rPr>
                <w:rFonts w:ascii="仿宋_GB2312" w:hAnsi="仿宋_GB2312" w:cs="仿宋_GB2312" w:eastAsia="仿宋_GB2312"/>
                <w:sz w:val="21"/>
              </w:rPr>
              <w:t>GB/T39786中相应等级规定；</w:t>
            </w:r>
          </w:p>
          <w:p>
            <w:pPr>
              <w:pStyle w:val="null3"/>
              <w:ind w:firstLine="420"/>
              <w:jc w:val="left"/>
            </w:pPr>
            <w:r>
              <w:rPr>
                <w:rFonts w:ascii="仿宋_GB2312" w:hAnsi="仿宋_GB2312" w:cs="仿宋_GB2312" w:eastAsia="仿宋_GB2312"/>
                <w:sz w:val="21"/>
              </w:rPr>
              <w:t>保障其上的租户安全、云主机安全、业务安全和数据安全；</w:t>
            </w:r>
          </w:p>
          <w:p>
            <w:pPr>
              <w:pStyle w:val="null3"/>
              <w:ind w:firstLine="420"/>
              <w:jc w:val="left"/>
            </w:pPr>
            <w:r>
              <w:rPr>
                <w:rFonts w:ascii="仿宋_GB2312" w:hAnsi="仿宋_GB2312" w:cs="仿宋_GB2312" w:eastAsia="仿宋_GB2312"/>
                <w:sz w:val="21"/>
              </w:rPr>
              <w:t>在服务期内，承载政法云平台的软硬件应在原厂维保期限内。</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.1.2.6.2</w:t>
            </w:r>
            <w:r>
              <w:rPr>
                <w:rFonts w:ascii="仿宋_GB2312" w:hAnsi="仿宋_GB2312" w:cs="仿宋_GB2312" w:eastAsia="仿宋_GB2312"/>
                <w:sz w:val="21"/>
                <w:b/>
              </w:rPr>
              <w:t>基础设施安全</w:t>
            </w:r>
          </w:p>
          <w:p>
            <w:pPr>
              <w:pStyle w:val="null3"/>
              <w:ind w:firstLine="420"/>
              <w:jc w:val="left"/>
            </w:pPr>
            <w:r>
              <w:rPr>
                <w:rFonts w:ascii="仿宋_GB2312" w:hAnsi="仿宋_GB2312" w:cs="仿宋_GB2312" w:eastAsia="仿宋_GB2312"/>
                <w:sz w:val="21"/>
              </w:rPr>
              <w:t>政法云平台的基础设施安全具体要求如下：</w:t>
            </w:r>
          </w:p>
          <w:p>
            <w:pPr>
              <w:pStyle w:val="null3"/>
              <w:ind w:firstLine="420"/>
              <w:jc w:val="left"/>
            </w:pPr>
            <w:r>
              <w:rPr>
                <w:rFonts w:ascii="仿宋_GB2312" w:hAnsi="仿宋_GB2312" w:cs="仿宋_GB2312" w:eastAsia="仿宋_GB2312"/>
                <w:sz w:val="21"/>
              </w:rPr>
              <w:t>基础设施安全要求应符合</w:t>
            </w:r>
            <w:r>
              <w:rPr>
                <w:rFonts w:ascii="仿宋_GB2312" w:hAnsi="仿宋_GB2312" w:cs="仿宋_GB2312" w:eastAsia="仿宋_GB2312"/>
                <w:sz w:val="21"/>
              </w:rPr>
              <w:t>GB50174，GB50462和GB/T34080.1的规定，并按照GB/T39786，GB/T22239中不低于等保三级的基础设施安全要求执行；</w:t>
            </w:r>
          </w:p>
          <w:p>
            <w:pPr>
              <w:pStyle w:val="null3"/>
              <w:ind w:firstLine="420"/>
              <w:jc w:val="left"/>
            </w:pPr>
            <w:r>
              <w:rPr>
                <w:rFonts w:ascii="仿宋_GB2312" w:hAnsi="仿宋_GB2312" w:cs="仿宋_GB2312" w:eastAsia="仿宋_GB2312"/>
                <w:sz w:val="21"/>
              </w:rPr>
              <w:t>确保政法云所有设备及承载的业务和数据均位于陕西省内运行。</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1.2.6.3</w:t>
            </w:r>
            <w:r>
              <w:rPr>
                <w:rFonts w:ascii="仿宋_GB2312" w:hAnsi="仿宋_GB2312" w:cs="仿宋_GB2312" w:eastAsia="仿宋_GB2312"/>
                <w:sz w:val="21"/>
                <w:b/>
              </w:rPr>
              <w:t>通信和网络安全</w:t>
            </w:r>
          </w:p>
          <w:p>
            <w:pPr>
              <w:pStyle w:val="null3"/>
              <w:ind w:firstLine="420"/>
              <w:jc w:val="left"/>
            </w:pPr>
            <w:r>
              <w:rPr>
                <w:rFonts w:ascii="仿宋_GB2312" w:hAnsi="仿宋_GB2312" w:cs="仿宋_GB2312" w:eastAsia="仿宋_GB2312"/>
                <w:sz w:val="21"/>
              </w:rPr>
              <w:t>政法云平台的通信和网络安全具体要求如下：</w:t>
            </w:r>
          </w:p>
          <w:p>
            <w:pPr>
              <w:pStyle w:val="null3"/>
              <w:ind w:firstLine="420"/>
              <w:jc w:val="left"/>
            </w:pPr>
            <w:r>
              <w:rPr>
                <w:rFonts w:ascii="仿宋_GB2312" w:hAnsi="仿宋_GB2312" w:cs="仿宋_GB2312" w:eastAsia="仿宋_GB2312"/>
                <w:sz w:val="21"/>
              </w:rPr>
              <w:t>通信和网络安全要求应符合</w:t>
            </w:r>
            <w:r>
              <w:rPr>
                <w:rFonts w:ascii="仿宋_GB2312" w:hAnsi="仿宋_GB2312" w:cs="仿宋_GB2312" w:eastAsia="仿宋_GB2312"/>
                <w:sz w:val="21"/>
              </w:rPr>
              <w:t>GB/T22239中的不低于等保三级的关于安全通信网络和安全区域边界的规定，并按照GB/T39786中不低于等保三级的通信和网络安全要求执行；</w:t>
            </w:r>
          </w:p>
          <w:p>
            <w:pPr>
              <w:pStyle w:val="null3"/>
              <w:ind w:firstLine="420"/>
              <w:jc w:val="left"/>
            </w:pPr>
            <w:r>
              <w:rPr>
                <w:rFonts w:ascii="仿宋_GB2312" w:hAnsi="仿宋_GB2312" w:cs="仿宋_GB2312" w:eastAsia="仿宋_GB2312"/>
                <w:sz w:val="21"/>
              </w:rPr>
              <w:t>能够绘制与当前运行情况相符的虚拟化网络拓扑结构图，并应能对虚拟化网络资源、网络拓扑进行实时更新和集中监控和管理。</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.1.2.6.4</w:t>
            </w:r>
            <w:r>
              <w:rPr>
                <w:rFonts w:ascii="仿宋_GB2312" w:hAnsi="仿宋_GB2312" w:cs="仿宋_GB2312" w:eastAsia="仿宋_GB2312"/>
                <w:sz w:val="21"/>
                <w:b/>
              </w:rPr>
              <w:t>计算环境安全</w:t>
            </w:r>
          </w:p>
          <w:p>
            <w:pPr>
              <w:pStyle w:val="null3"/>
              <w:ind w:firstLine="420"/>
              <w:jc w:val="left"/>
            </w:pPr>
            <w:r>
              <w:rPr>
                <w:rFonts w:ascii="仿宋_GB2312" w:hAnsi="仿宋_GB2312" w:cs="仿宋_GB2312" w:eastAsia="仿宋_GB2312"/>
                <w:sz w:val="21"/>
              </w:rPr>
              <w:t>政法云平台的计算环境安全具体要求如下：</w:t>
            </w:r>
          </w:p>
          <w:p>
            <w:pPr>
              <w:pStyle w:val="null3"/>
              <w:ind w:firstLine="420"/>
              <w:jc w:val="left"/>
            </w:pPr>
            <w:r>
              <w:rPr>
                <w:rFonts w:ascii="仿宋_GB2312" w:hAnsi="仿宋_GB2312" w:cs="仿宋_GB2312" w:eastAsia="仿宋_GB2312"/>
                <w:sz w:val="21"/>
              </w:rPr>
              <w:t>计算环境安全要求应符合</w:t>
            </w:r>
            <w:r>
              <w:rPr>
                <w:rFonts w:ascii="仿宋_GB2312" w:hAnsi="仿宋_GB2312" w:cs="仿宋_GB2312" w:eastAsia="仿宋_GB2312"/>
                <w:sz w:val="21"/>
              </w:rPr>
              <w:t>GB/T22239中不低于等保三级的关于安全计算环境的规定，并按照GB/T39786中不低于等保三级的通信和网络安全要求执行；</w:t>
            </w:r>
          </w:p>
          <w:p>
            <w:pPr>
              <w:pStyle w:val="null3"/>
              <w:ind w:firstLine="420"/>
              <w:jc w:val="left"/>
            </w:pPr>
            <w:r>
              <w:rPr>
                <w:rFonts w:ascii="仿宋_GB2312" w:hAnsi="仿宋_GB2312" w:cs="仿宋_GB2312" w:eastAsia="仿宋_GB2312"/>
                <w:sz w:val="21"/>
              </w:rPr>
              <w:t>支持屏蔽虚拟资源故障，如：某个云主机崩溃后不影响云主机监视器及其他云主机；</w:t>
            </w:r>
          </w:p>
          <w:p>
            <w:pPr>
              <w:pStyle w:val="null3"/>
              <w:ind w:firstLine="420"/>
              <w:jc w:val="left"/>
            </w:pPr>
            <w:r>
              <w:rPr>
                <w:rFonts w:ascii="仿宋_GB2312" w:hAnsi="仿宋_GB2312" w:cs="仿宋_GB2312" w:eastAsia="仿宋_GB2312"/>
                <w:sz w:val="21"/>
              </w:rPr>
              <w:t>云主机仅能使用为其分配的计算资源；</w:t>
            </w:r>
          </w:p>
          <w:p>
            <w:pPr>
              <w:pStyle w:val="null3"/>
              <w:ind w:firstLine="420"/>
              <w:jc w:val="left"/>
            </w:pPr>
            <w:r>
              <w:rPr>
                <w:rFonts w:ascii="仿宋_GB2312" w:hAnsi="仿宋_GB2312" w:cs="仿宋_GB2312" w:eastAsia="仿宋_GB2312"/>
                <w:sz w:val="21"/>
              </w:rPr>
              <w:t>确保云租户业务应用系统的虚拟机内存空间安全；</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.1.2.6.5</w:t>
            </w:r>
            <w:r>
              <w:rPr>
                <w:rFonts w:ascii="仿宋_GB2312" w:hAnsi="仿宋_GB2312" w:cs="仿宋_GB2312" w:eastAsia="仿宋_GB2312"/>
                <w:sz w:val="21"/>
                <w:b/>
              </w:rPr>
              <w:t>数据安全</w:t>
            </w:r>
          </w:p>
          <w:p>
            <w:pPr>
              <w:pStyle w:val="null3"/>
              <w:ind w:firstLine="420"/>
              <w:jc w:val="left"/>
            </w:pPr>
            <w:r>
              <w:rPr>
                <w:rFonts w:ascii="仿宋_GB2312" w:hAnsi="仿宋_GB2312" w:cs="仿宋_GB2312" w:eastAsia="仿宋_GB2312"/>
                <w:sz w:val="21"/>
              </w:rPr>
              <w:t>政法云平台的数据安全具体要求如下：</w:t>
            </w:r>
          </w:p>
          <w:p>
            <w:pPr>
              <w:pStyle w:val="null3"/>
              <w:ind w:firstLine="420"/>
              <w:jc w:val="left"/>
            </w:pPr>
            <w:r>
              <w:rPr>
                <w:rFonts w:ascii="仿宋_GB2312" w:hAnsi="仿宋_GB2312" w:cs="仿宋_GB2312" w:eastAsia="仿宋_GB2312"/>
                <w:sz w:val="21"/>
              </w:rPr>
              <w:t>数据安全要求应符合</w:t>
            </w:r>
            <w:r>
              <w:rPr>
                <w:rFonts w:ascii="仿宋_GB2312" w:hAnsi="仿宋_GB2312" w:cs="仿宋_GB2312" w:eastAsia="仿宋_GB2312"/>
                <w:sz w:val="21"/>
              </w:rPr>
              <w:t>GB/T22239中不低于等保三级的关于安全审计、可信验证、数据完整性、数据机密性、数据备份恢复、剩余信息保护、个人信息保护的规定，并按照GB/T39786中不低于等保三级的数据安全要求执行；</w:t>
            </w:r>
          </w:p>
          <w:p>
            <w:pPr>
              <w:pStyle w:val="null3"/>
              <w:ind w:firstLine="420"/>
              <w:jc w:val="left"/>
            </w:pPr>
            <w:r>
              <w:rPr>
                <w:rFonts w:ascii="仿宋_GB2312" w:hAnsi="仿宋_GB2312" w:cs="仿宋_GB2312" w:eastAsia="仿宋_GB2312"/>
                <w:sz w:val="21"/>
              </w:rPr>
              <w:t>不同云租户的应用系统及开发平台之间的隔离；</w:t>
            </w:r>
          </w:p>
          <w:p>
            <w:pPr>
              <w:pStyle w:val="null3"/>
              <w:ind w:firstLine="420"/>
              <w:jc w:val="left"/>
            </w:pPr>
            <w:r>
              <w:rPr>
                <w:rFonts w:ascii="仿宋_GB2312" w:hAnsi="仿宋_GB2312" w:cs="仿宋_GB2312" w:eastAsia="仿宋_GB2312"/>
                <w:sz w:val="21"/>
              </w:rPr>
              <w:t>不同云租户的审计数据隔离存放</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.1.2.6.6</w:t>
            </w:r>
            <w:r>
              <w:rPr>
                <w:rFonts w:ascii="仿宋_GB2312" w:hAnsi="仿宋_GB2312" w:cs="仿宋_GB2312" w:eastAsia="仿宋_GB2312"/>
                <w:sz w:val="21"/>
                <w:b/>
              </w:rPr>
              <w:t>应用（租户）安全服务</w:t>
            </w:r>
          </w:p>
          <w:p>
            <w:pPr>
              <w:pStyle w:val="null3"/>
              <w:ind w:firstLine="420"/>
              <w:jc w:val="left"/>
            </w:pPr>
            <w:r>
              <w:rPr>
                <w:rFonts w:ascii="仿宋_GB2312" w:hAnsi="仿宋_GB2312" w:cs="仿宋_GB2312" w:eastAsia="仿宋_GB2312"/>
                <w:sz w:val="21"/>
              </w:rPr>
              <w:t>以云服务目录的方式为应用（租户）提供云安全服务，具体要求如下：</w:t>
            </w:r>
          </w:p>
          <w:p>
            <w:pPr>
              <w:pStyle w:val="null3"/>
              <w:ind w:firstLine="420"/>
              <w:jc w:val="left"/>
            </w:pPr>
            <w:r>
              <w:rPr>
                <w:rFonts w:ascii="仿宋_GB2312" w:hAnsi="仿宋_GB2312" w:cs="仿宋_GB2312" w:eastAsia="仿宋_GB2312"/>
                <w:sz w:val="21"/>
              </w:rPr>
              <w:t>政法云应具备为应用（租户）提供自有和第三方云安全服务的能力；</w:t>
            </w:r>
          </w:p>
          <w:p>
            <w:pPr>
              <w:pStyle w:val="null3"/>
              <w:ind w:firstLine="420"/>
              <w:jc w:val="left"/>
            </w:pPr>
            <w:r>
              <w:rPr>
                <w:rFonts w:ascii="仿宋_GB2312" w:hAnsi="仿宋_GB2312" w:cs="仿宋_GB2312" w:eastAsia="仿宋_GB2312"/>
                <w:sz w:val="21"/>
              </w:rPr>
              <w:t>支持为应用（租户）提供云安全服务，如</w:t>
            </w:r>
            <w:r>
              <w:rPr>
                <w:rFonts w:ascii="仿宋_GB2312" w:hAnsi="仿宋_GB2312" w:cs="仿宋_GB2312" w:eastAsia="仿宋_GB2312"/>
                <w:sz w:val="21"/>
              </w:rPr>
              <w:t>Web应用防护、网页防篡改、抗DDOS服务、漏洞扫描、运维审计、态势感知、病毒防护等安全服务；</w:t>
            </w:r>
          </w:p>
          <w:p>
            <w:pPr>
              <w:pStyle w:val="null3"/>
              <w:ind w:firstLine="420"/>
              <w:jc w:val="left"/>
            </w:pPr>
            <w:r>
              <w:rPr>
                <w:rFonts w:ascii="仿宋_GB2312" w:hAnsi="仿宋_GB2312" w:cs="仿宋_GB2312" w:eastAsia="仿宋_GB2312"/>
                <w:sz w:val="21"/>
              </w:rPr>
              <w:t>支持软件安全设备、硬件安全设备混合构建安全资源池，混合后的安全资源池作为一个整体资源池可分配给不同租户使用；</w:t>
            </w:r>
          </w:p>
          <w:p>
            <w:pPr>
              <w:pStyle w:val="null3"/>
              <w:ind w:firstLine="420"/>
              <w:jc w:val="left"/>
            </w:pPr>
            <w:r>
              <w:rPr>
                <w:rFonts w:ascii="仿宋_GB2312" w:hAnsi="仿宋_GB2312" w:cs="仿宋_GB2312" w:eastAsia="仿宋_GB2312"/>
                <w:sz w:val="21"/>
              </w:rPr>
              <w:t>具备安全服务弹性扩展能力，能够通过服务器数量的增加提高承载安全组件的规模和性能；</w:t>
            </w:r>
          </w:p>
          <w:p>
            <w:pPr>
              <w:pStyle w:val="null3"/>
              <w:ind w:firstLine="420"/>
              <w:jc w:val="left"/>
            </w:pPr>
            <w:r>
              <w:rPr>
                <w:rFonts w:ascii="仿宋_GB2312" w:hAnsi="仿宋_GB2312" w:cs="仿宋_GB2312" w:eastAsia="仿宋_GB2312"/>
                <w:sz w:val="21"/>
              </w:rPr>
              <w:t>支持云主机配置迁移策略，避免因物理主机故障导致资源不可用。</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.1.2.6.7</w:t>
            </w:r>
            <w:r>
              <w:rPr>
                <w:rFonts w:ascii="仿宋_GB2312" w:hAnsi="仿宋_GB2312" w:cs="仿宋_GB2312" w:eastAsia="仿宋_GB2312"/>
                <w:sz w:val="21"/>
                <w:b/>
              </w:rPr>
              <w:t>安全管理和安全监管</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）政法云平台的安全管理和安全监管具体要求如下：</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政法云平台资源审计监测应符合</w:t>
            </w:r>
            <w:r>
              <w:rPr>
                <w:rFonts w:ascii="仿宋_GB2312" w:hAnsi="仿宋_GB2312" w:cs="仿宋_GB2312" w:eastAsia="仿宋_GB2312"/>
                <w:sz w:val="21"/>
              </w:rPr>
              <w:t>GB/T34080.2-2017中第7章的规定；</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政法云安全管理中心建设、安全管理制度建设、安全管理机构设置、安全管理人员管理以及政法云的建设管理、运维管理和应急管理等安全管理要求应符合国家标准</w:t>
            </w:r>
            <w:r>
              <w:rPr>
                <w:rFonts w:ascii="仿宋_GB2312" w:hAnsi="仿宋_GB2312" w:cs="仿宋_GB2312" w:eastAsia="仿宋_GB2312"/>
                <w:sz w:val="21"/>
              </w:rPr>
              <w:t>GB/T22239不低于等保三级的安全要求规定，并按照GB/T39786中不低于等保三级的关于管理制度、人员管理、建设运行和应急处置相关要求执行；</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政法云平台能够提供云内各项运维和安全数据，政法云服务商应配合部署必要资源，满足协调指挥与运营防控的监控要求。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安全部署隔离要求</w:t>
            </w:r>
            <w:r>
              <w:rPr>
                <w:rFonts w:ascii="仿宋_GB2312" w:hAnsi="仿宋_GB2312" w:cs="仿宋_GB2312" w:eastAsia="仿宋_GB2312"/>
                <w:sz w:val="21"/>
              </w:rPr>
              <w:t>（</w:t>
            </w:r>
            <w:r>
              <w:rPr>
                <w:rFonts w:ascii="仿宋_GB2312" w:hAnsi="仿宋_GB2312" w:cs="仿宋_GB2312" w:eastAsia="仿宋_GB2312"/>
                <w:sz w:val="21"/>
              </w:rPr>
              <w:t>提供独立</w:t>
            </w:r>
            <w:r>
              <w:rPr>
                <w:rFonts w:ascii="仿宋_GB2312" w:hAnsi="仿宋_GB2312" w:cs="仿宋_GB2312" w:eastAsia="仿宋_GB2312"/>
                <w:sz w:val="21"/>
              </w:rPr>
              <w:t>技术</w:t>
            </w:r>
            <w:r>
              <w:rPr>
                <w:rFonts w:ascii="仿宋_GB2312" w:hAnsi="仿宋_GB2312" w:cs="仿宋_GB2312" w:eastAsia="仿宋_GB2312"/>
                <w:sz w:val="21"/>
              </w:rPr>
              <w:t>方案</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政法云服务于省委政法委、省公安厅、省检察院、省法院、省司法厅五家单位，政法云设置四个专区。检察院专区和法院专区为单独</w:t>
            </w:r>
            <w:r>
              <w:rPr>
                <w:rFonts w:ascii="仿宋_GB2312" w:hAnsi="仿宋_GB2312" w:cs="仿宋_GB2312" w:eastAsia="仿宋_GB2312"/>
                <w:sz w:val="21"/>
              </w:rPr>
              <w:t>AZ，司法专区与总平台专区共用AZ。</w:t>
            </w:r>
          </w:p>
          <w:p>
            <w:pPr>
              <w:pStyle w:val="null3"/>
              <w:ind w:firstLine="420"/>
              <w:jc w:val="left"/>
            </w:pPr>
            <w:r>
              <w:rPr>
                <w:rFonts w:ascii="仿宋_GB2312" w:hAnsi="仿宋_GB2312" w:cs="仿宋_GB2312" w:eastAsia="仿宋_GB2312"/>
                <w:sz w:val="21"/>
              </w:rPr>
              <w:t>同时考虑在政策符合的情况实现数据的流转和数据的互通，总平台侧和司法侧由防火墙等设备进行保护；由于省检察院和省法院有特殊要求，需部署网闸和防火墙等设备实现与总平台之间的数据交换，政法云部署架构示意图如下：</w:t>
            </w:r>
          </w:p>
          <w:p>
            <w:pPr>
              <w:pStyle w:val="null3"/>
              <w:jc w:val="both"/>
            </w:pPr>
            <w:r>
              <w:drawing>
                <wp:inline distT="0" distR="0" distB="0" distL="0">
                  <wp:extent cx="1621155" cy="121351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213519"/>
                          </a:xfrm>
                          <a:prstGeom prst="rect">
                            <a:avLst/>
                          </a:prstGeom>
                        </pic:spPr>
                      </pic:pic>
                    </a:graphicData>
                  </a:graphic>
                </wp:inline>
              </w:drawing>
            </w:r>
          </w:p>
          <w:p>
            <w:pPr>
              <w:pStyle w:val="null3"/>
              <w:jc w:val="left"/>
            </w:pPr>
            <w:r>
              <w:rPr>
                <w:rFonts w:ascii="仿宋_GB2312" w:hAnsi="仿宋_GB2312" w:cs="仿宋_GB2312" w:eastAsia="仿宋_GB2312"/>
                <w:sz w:val="21"/>
                <w:b/>
              </w:rPr>
              <w:t>1.1.2.7</w:t>
            </w:r>
            <w:r>
              <w:rPr>
                <w:rFonts w:ascii="仿宋_GB2312" w:hAnsi="仿宋_GB2312" w:cs="仿宋_GB2312" w:eastAsia="仿宋_GB2312"/>
                <w:sz w:val="21"/>
                <w:b/>
              </w:rPr>
              <w:t>网络等级保护测评要求</w:t>
            </w:r>
          </w:p>
          <w:p>
            <w:pPr>
              <w:pStyle w:val="null3"/>
              <w:ind w:firstLine="420"/>
              <w:jc w:val="left"/>
            </w:pPr>
            <w:r>
              <w:rPr>
                <w:rFonts w:ascii="仿宋_GB2312" w:hAnsi="仿宋_GB2312" w:cs="仿宋_GB2312" w:eastAsia="仿宋_GB2312"/>
                <w:sz w:val="21"/>
              </w:rPr>
              <w:t>依据《中华人民共和国网络安全法》《国家政务信息化项目建设管理办法》等相关规定，要强化政务信息系统与数据资源的安全保密设施建设，定时展开网络安全检测以及风险评估，项目验收申请必须涵盖非涉密信息系统网络安全等级保护测评报告、密码应用安全性评估报告之类的内容。因此，本项目依照要求需进行网络安全等级保护测评，全方位配合客户和第三方机构进行网络等级保护测评工作，包括但不限于客户进行项目实施网络安全等级保护测试、项目验收阶段安全等级评测等工作。</w:t>
            </w:r>
            <w:r>
              <w:rPr>
                <w:rFonts w:ascii="仿宋_GB2312" w:hAnsi="仿宋_GB2312" w:cs="仿宋_GB2312" w:eastAsia="仿宋_GB2312"/>
                <w:sz w:val="21"/>
              </w:rPr>
              <w:t>测评费用无需中标人承担。</w:t>
            </w:r>
          </w:p>
          <w:p>
            <w:pPr>
              <w:pStyle w:val="null3"/>
              <w:jc w:val="left"/>
            </w:pPr>
            <w:r>
              <w:rPr>
                <w:rFonts w:ascii="仿宋_GB2312" w:hAnsi="仿宋_GB2312" w:cs="仿宋_GB2312" w:eastAsia="仿宋_GB2312"/>
                <w:sz w:val="21"/>
                <w:b/>
              </w:rPr>
              <w:t>1.1.2.8</w:t>
            </w:r>
            <w:r>
              <w:rPr>
                <w:rFonts w:ascii="仿宋_GB2312" w:hAnsi="仿宋_GB2312" w:cs="仿宋_GB2312" w:eastAsia="仿宋_GB2312"/>
                <w:sz w:val="21"/>
                <w:b/>
              </w:rPr>
              <w:t>密码应用安全测评要求</w:t>
            </w:r>
          </w:p>
          <w:p>
            <w:pPr>
              <w:pStyle w:val="null3"/>
              <w:ind w:firstLine="420"/>
              <w:jc w:val="left"/>
            </w:pPr>
            <w:r>
              <w:rPr>
                <w:rFonts w:ascii="仿宋_GB2312" w:hAnsi="仿宋_GB2312" w:cs="仿宋_GB2312" w:eastAsia="仿宋_GB2312"/>
                <w:sz w:val="21"/>
              </w:rPr>
              <w:t>本项目按照</w:t>
            </w:r>
            <w:r>
              <w:rPr>
                <w:rFonts w:ascii="仿宋_GB2312" w:hAnsi="仿宋_GB2312" w:cs="仿宋_GB2312" w:eastAsia="仿宋_GB2312"/>
                <w:sz w:val="21"/>
              </w:rPr>
              <w:t>GB/T 43206-2023《信息安全技术 信息系统密码应用测评要求》的规定，需全方位配合客户和第三方评测机构针对项目展开商用密码应用安全测评工作。</w:t>
            </w:r>
            <w:r>
              <w:rPr>
                <w:rFonts w:ascii="仿宋_GB2312" w:hAnsi="仿宋_GB2312" w:cs="仿宋_GB2312" w:eastAsia="仿宋_GB2312"/>
                <w:sz w:val="21"/>
              </w:rPr>
              <w:t>测评费用无需中标人承担。</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）密码存储安全：密码应用应使用安全的密码存储机制，如采用加密算法来保护用户密码。标准要求密码存储应使用强大的加密算法，以及适当的密钥管理和存储密码散列值等措施。</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）认证与授权安全：密码应用应采用强大的认证和授权机制，确保只有合法的用户可以访问用户密码。标准要求密码应用应使用双因素认证、密码策略管理和访问控制等安全手段。</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）密码传输安全：在密码应用传输用户密码时，必须保证传输过程中的安全性。标准要求密码应用应使用安全的传输协议，以加密传输过程中的数据。</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）密码管理安全：密码应用应提供友好的密码管理功能，如密码生成、密码重置和密码更改等功能。标准要求密码应用应提供密码强度检测、密码策略设置和密码过期提醒等功能，以确保密码的复杂性和安全性。</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）密码恢复与备份安全：密码应用应提供合理的密码恢复和备份机制，以确保用户密码不会因为用户疏忽或设备故障而永久丢失。标准要求密码应用应提供备份和恢复功能，并以安全的方式存储和传输备份数据。</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合规性、正确性和有效性评估：密码应用安全测评还包括对商用密码应用的合规性、正确性和有效性进行评估。并判定信息系统使用的密码算法、密码协议、密钥管理是否符合法律法规的规定和密码相关国家标准、行业标准的有关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）信息机密性风险服务：系统重要数据明文传输存储，未用密码技术加密保护，未部署设备对文件服务器和数据库加密，有数据被窃取和泄密风险。</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）信息完整性风险服务：采用数字签名、消息认证及数据加密技术防范数据传输和存储时被篡改，保证数据完整。</w:t>
            </w:r>
          </w:p>
          <w:p>
            <w:pPr>
              <w:pStyle w:val="null3"/>
              <w:jc w:val="center"/>
            </w:pPr>
            <w:r>
              <w:rPr>
                <w:rFonts w:ascii="仿宋_GB2312" w:hAnsi="仿宋_GB2312" w:cs="仿宋_GB2312" w:eastAsia="仿宋_GB2312"/>
                <w:sz w:val="21"/>
              </w:rPr>
              <w:t>密码服务安全能力</w:t>
            </w:r>
          </w:p>
          <w:tbl>
            <w:tblPr>
              <w:tblBorders>
                <w:top w:val="none" w:color="000000" w:sz="4"/>
                <w:left w:val="none" w:color="000000" w:sz="4"/>
                <w:bottom w:val="none" w:color="000000" w:sz="4"/>
                <w:right w:val="none" w:color="000000" w:sz="4"/>
                <w:insideH w:val="none"/>
                <w:insideV w:val="none"/>
              </w:tblBorders>
            </w:tblPr>
            <w:tblGrid>
              <w:gridCol w:w="434"/>
              <w:gridCol w:w="1371"/>
              <w:gridCol w:w="747"/>
            </w:tblGrid>
            <w:tr>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名称</w:t>
                  </w:r>
                </w:p>
              </w:tc>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功能说明</w:t>
                  </w:r>
                </w:p>
              </w:tc>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算法配用</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签名验签服务器</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应用于云上用户信息系统，提供数据签名验签和数字信封等功能。</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SM2、SM3、SM4</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时间戳服务器</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应用于云上用户信息系统，提供行为信息的时间不可否认功能</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SM2、SM3、SM4</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电子签章系统</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应用于云上用户信息系统，为用户信息系统提供电子签章服务</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SM2、SM3、SM4</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云服务器密码机</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为云上用户提供专属数据加解密服务</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SM2、SM3、SM4</w:t>
                  </w:r>
                </w:p>
              </w:tc>
            </w:tr>
          </w:tbl>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数据库加密服务：为业务系统提供大批结构化数据的加解密服务。</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密码服务能力结合目前政法云已部署</w:t>
            </w:r>
            <w:r>
              <w:rPr>
                <w:rFonts w:ascii="仿宋_GB2312" w:hAnsi="仿宋_GB2312" w:cs="仿宋_GB2312" w:eastAsia="仿宋_GB2312"/>
                <w:sz w:val="21"/>
              </w:rPr>
              <w:t>9个系统，并预留冗余能力(30%)，密码服务能力应具备为不少于11个业务系统提供密码保障的能力；技术能力方面系统可用性实现7×24小时连续运行，可用性≥99.9%；</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其他安全性要求：密码应用安全测评还可能包括其他安全性要求，如身份验证日志记录、异常行为检测和应急响应机制等，以确保密码应用在面对各种安全威胁时能够及时响应并有效应对。</w:t>
            </w:r>
          </w:p>
          <w:p>
            <w:pPr>
              <w:pStyle w:val="null3"/>
              <w:jc w:val="left"/>
            </w:pPr>
            <w:r>
              <w:rPr>
                <w:rFonts w:ascii="仿宋_GB2312" w:hAnsi="仿宋_GB2312" w:cs="仿宋_GB2312" w:eastAsia="仿宋_GB2312"/>
                <w:sz w:val="21"/>
                <w:b/>
              </w:rPr>
              <w:t>1.1.3</w:t>
            </w:r>
            <w:r>
              <w:rPr>
                <w:rFonts w:ascii="仿宋_GB2312" w:hAnsi="仿宋_GB2312" w:cs="仿宋_GB2312" w:eastAsia="仿宋_GB2312"/>
                <w:sz w:val="21"/>
                <w:b/>
              </w:rPr>
              <w:t>网络</w:t>
            </w:r>
            <w:r>
              <w:rPr>
                <w:rFonts w:ascii="仿宋_GB2312" w:hAnsi="仿宋_GB2312" w:cs="仿宋_GB2312" w:eastAsia="仿宋_GB2312"/>
                <w:sz w:val="21"/>
                <w:b/>
              </w:rPr>
              <w:t>服务</w:t>
            </w:r>
            <w:r>
              <w:rPr>
                <w:rFonts w:ascii="仿宋_GB2312" w:hAnsi="仿宋_GB2312" w:cs="仿宋_GB2312" w:eastAsia="仿宋_GB2312"/>
                <w:sz w:val="21"/>
                <w:b/>
              </w:rPr>
              <w:t>需求</w:t>
            </w:r>
          </w:p>
          <w:p>
            <w:pPr>
              <w:pStyle w:val="null3"/>
              <w:ind w:firstLine="420"/>
              <w:jc w:val="left"/>
            </w:pPr>
            <w:r>
              <w:rPr>
                <w:rFonts w:ascii="仿宋_GB2312" w:hAnsi="仿宋_GB2312" w:cs="仿宋_GB2312" w:eastAsia="仿宋_GB2312"/>
                <w:sz w:val="21"/>
              </w:rPr>
              <w:t>数据完整性保护与灾备优化，对电子卷宗、执法记录等核心数据，采用</w:t>
            </w:r>
            <w:r>
              <w:rPr>
                <w:rFonts w:ascii="仿宋_GB2312" w:hAnsi="仿宋_GB2312" w:cs="仿宋_GB2312" w:eastAsia="仿宋_GB2312"/>
                <w:sz w:val="21"/>
              </w:rPr>
              <w:t>SM3哈希校验或数字签名技术保障存储完整性；构建实时异地备份通道，通过专线将重要数据备份至异地灾备中心的独立物理机房。</w:t>
            </w:r>
          </w:p>
          <w:p>
            <w:pPr>
              <w:pStyle w:val="null3"/>
              <w:ind w:firstLine="420"/>
              <w:jc w:val="left"/>
            </w:pPr>
            <w:r>
              <w:rPr>
                <w:rFonts w:ascii="仿宋_GB2312" w:hAnsi="仿宋_GB2312" w:cs="仿宋_GB2312" w:eastAsia="仿宋_GB2312"/>
                <w:sz w:val="21"/>
              </w:rPr>
              <w:t>政法云各专区通过专线与客户端互通，为保障对数据进行访问控制，在专线两端进行部署</w:t>
            </w:r>
            <w:r>
              <w:rPr>
                <w:rFonts w:ascii="仿宋_GB2312" w:hAnsi="仿宋_GB2312" w:cs="仿宋_GB2312" w:eastAsia="仿宋_GB2312"/>
                <w:sz w:val="21"/>
              </w:rPr>
              <w:t>VPN设备，以实现源IP联动封锁，入侵防护和资产风险识别，可进行病毒查杀，对应用流量实行带宽限制、带宽保证等策略。满足全部客户端的安全接入，</w:t>
            </w:r>
            <w:r>
              <w:rPr>
                <w:rFonts w:ascii="仿宋_GB2312" w:hAnsi="仿宋_GB2312" w:cs="仿宋_GB2312" w:eastAsia="仿宋_GB2312"/>
                <w:sz w:val="21"/>
              </w:rPr>
              <w:t>按需</w:t>
            </w:r>
            <w:r>
              <w:rPr>
                <w:rFonts w:ascii="仿宋_GB2312" w:hAnsi="仿宋_GB2312" w:cs="仿宋_GB2312" w:eastAsia="仿宋_GB2312"/>
                <w:sz w:val="21"/>
              </w:rPr>
              <w:t>新增汇聚交换机，进行端口汇聚。</w:t>
            </w:r>
          </w:p>
          <w:p>
            <w:pPr>
              <w:pStyle w:val="null3"/>
              <w:ind w:firstLine="420"/>
              <w:jc w:val="left"/>
            </w:pPr>
            <w:r>
              <w:rPr>
                <w:rFonts w:ascii="仿宋_GB2312" w:hAnsi="仿宋_GB2312" w:cs="仿宋_GB2312" w:eastAsia="仿宋_GB2312"/>
                <w:sz w:val="21"/>
              </w:rPr>
              <w:t>为实现</w:t>
            </w:r>
            <w:r>
              <w:rPr>
                <w:rFonts w:ascii="仿宋_GB2312" w:hAnsi="仿宋_GB2312" w:cs="仿宋_GB2312" w:eastAsia="仿宋_GB2312"/>
                <w:sz w:val="21"/>
              </w:rPr>
              <w:t>政法云</w:t>
            </w:r>
            <w:r>
              <w:rPr>
                <w:rFonts w:ascii="仿宋_GB2312" w:hAnsi="仿宋_GB2312" w:cs="仿宋_GB2312" w:eastAsia="仿宋_GB2312"/>
                <w:sz w:val="21"/>
              </w:rPr>
              <w:t>与电子政务外网的互通，需要新增政务外网对接区，新增</w:t>
            </w:r>
            <w:r>
              <w:rPr>
                <w:rFonts w:ascii="仿宋_GB2312" w:hAnsi="仿宋_GB2312" w:cs="仿宋_GB2312" w:eastAsia="仿宋_GB2312"/>
                <w:sz w:val="21"/>
              </w:rPr>
              <w:t>VPN设备、光闸设备、边界防火墙设备。</w:t>
            </w:r>
          </w:p>
          <w:p>
            <w:pPr>
              <w:pStyle w:val="null3"/>
              <w:jc w:val="left"/>
            </w:pPr>
            <w:r>
              <w:rPr>
                <w:rFonts w:ascii="仿宋_GB2312" w:hAnsi="仿宋_GB2312" w:cs="仿宋_GB2312" w:eastAsia="仿宋_GB2312"/>
                <w:sz w:val="21"/>
                <w:b/>
              </w:rPr>
              <w:t>1.1.4</w:t>
            </w:r>
            <w:r>
              <w:rPr>
                <w:rFonts w:ascii="仿宋_GB2312" w:hAnsi="仿宋_GB2312" w:cs="仿宋_GB2312" w:eastAsia="仿宋_GB2312"/>
                <w:sz w:val="21"/>
                <w:b/>
              </w:rPr>
              <w:t>数据备份需求</w:t>
            </w:r>
          </w:p>
          <w:p>
            <w:pPr>
              <w:pStyle w:val="null3"/>
              <w:ind w:firstLine="420"/>
              <w:jc w:val="left"/>
            </w:pPr>
            <w:r>
              <w:rPr>
                <w:rFonts w:ascii="仿宋_GB2312" w:hAnsi="仿宋_GB2312" w:cs="仿宋_GB2312" w:eastAsia="仿宋_GB2312"/>
                <w:sz w:val="21"/>
              </w:rPr>
              <w:t>本期政法云服务项目需要承载公、检、法、司各部门之间的数据应用及相关新业务系统，需要确保应用系统及数据可靠。政法云按需提供对应的数据备份能力，含总平台、司法平台、检察院平台、法院平台等数据的本地备份、异地备份，以及备份平台与业务平台的数据访问传输网络。本期需新增本地数据备份</w:t>
            </w:r>
            <w:r>
              <w:rPr>
                <w:rFonts w:ascii="仿宋_GB2312" w:hAnsi="仿宋_GB2312" w:cs="仿宋_GB2312" w:eastAsia="仿宋_GB2312"/>
                <w:sz w:val="21"/>
              </w:rPr>
              <w:t>1PB服务能力，以及在延安灾备中心提供异地备份1PB服务。</w:t>
            </w:r>
          </w:p>
          <w:p>
            <w:pPr>
              <w:pStyle w:val="null3"/>
              <w:ind w:firstLine="420"/>
              <w:jc w:val="left"/>
            </w:pPr>
            <w:r>
              <w:rPr>
                <w:rFonts w:ascii="仿宋_GB2312" w:hAnsi="仿宋_GB2312" w:cs="仿宋_GB2312" w:eastAsia="仿宋_GB2312"/>
                <w:sz w:val="21"/>
              </w:rPr>
              <w:t>考虑到政法业务系统的复杂性和跨部门协同性，数据备份需满足跨区域、跨部门的数据共享与恢复需求。按照数据完整性保护与灾备优化要求，对电子卷宗、执法记录等核心数据，采用</w:t>
            </w:r>
            <w:r>
              <w:rPr>
                <w:rFonts w:ascii="仿宋_GB2312" w:hAnsi="仿宋_GB2312" w:cs="仿宋_GB2312" w:eastAsia="仿宋_GB2312"/>
                <w:sz w:val="21"/>
              </w:rPr>
              <w:t>SM3哈希校验或数字签名技术保障存储完整性。本地备份按需承载政法业务平台日常产生的海量案件数据、文书资料等，实现当前数据的全量备份，并具备灵活的扩容能力，以应对数据的持续增长。此外，异地备份作为容灾备份的重要环节，需与本地备份形成协同，在本地数据中心遭遇重大故障时，能够通过异地备份快速恢复数据，保障政法业务的连续性，这就要求异地备份资源具备与本地数据中心相匹配的存储和传输能力，实现数据的无缝同步和恢复。</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b/>
              </w:rPr>
              <w:t>1.1.5</w:t>
            </w:r>
            <w:r>
              <w:rPr>
                <w:rFonts w:ascii="仿宋_GB2312" w:hAnsi="仿宋_GB2312" w:cs="仿宋_GB2312" w:eastAsia="仿宋_GB2312"/>
                <w:sz w:val="21"/>
                <w:b/>
              </w:rPr>
              <w:t>政法云迁移</w:t>
            </w:r>
            <w:r>
              <w:rPr>
                <w:rFonts w:ascii="仿宋_GB2312" w:hAnsi="仿宋_GB2312" w:cs="仿宋_GB2312" w:eastAsia="仿宋_GB2312"/>
                <w:sz w:val="21"/>
                <w:b/>
              </w:rPr>
              <w:t>需求（提供实施方案）</w:t>
            </w:r>
          </w:p>
          <w:p>
            <w:pPr>
              <w:pStyle w:val="null3"/>
              <w:ind w:firstLine="420"/>
              <w:jc w:val="left"/>
            </w:pPr>
            <w:r>
              <w:rPr>
                <w:rFonts w:ascii="仿宋_GB2312" w:hAnsi="仿宋_GB2312" w:cs="仿宋_GB2312" w:eastAsia="仿宋_GB2312"/>
                <w:sz w:val="21"/>
              </w:rPr>
              <w:t>中标人</w:t>
            </w:r>
            <w:r>
              <w:rPr>
                <w:rFonts w:ascii="仿宋_GB2312" w:hAnsi="仿宋_GB2312" w:cs="仿宋_GB2312" w:eastAsia="仿宋_GB2312"/>
                <w:sz w:val="21"/>
              </w:rPr>
              <w:t>应</w:t>
            </w:r>
            <w:r>
              <w:rPr>
                <w:rFonts w:ascii="仿宋_GB2312" w:hAnsi="仿宋_GB2312" w:cs="仿宋_GB2312" w:eastAsia="仿宋_GB2312"/>
                <w:sz w:val="21"/>
              </w:rPr>
              <w:t>按照采购人需求</w:t>
            </w:r>
            <w:r>
              <w:rPr>
                <w:rFonts w:ascii="仿宋_GB2312" w:hAnsi="仿宋_GB2312" w:cs="仿宋_GB2312" w:eastAsia="仿宋_GB2312"/>
                <w:sz w:val="21"/>
              </w:rPr>
              <w:t>协助政法云各单位进行政法云迁移，包括以下工作内容：</w:t>
            </w:r>
          </w:p>
          <w:p>
            <w:pPr>
              <w:pStyle w:val="null3"/>
              <w:ind w:firstLine="420"/>
              <w:jc w:val="left"/>
            </w:pPr>
            <w:r>
              <w:rPr>
                <w:rFonts w:ascii="仿宋_GB2312" w:hAnsi="仿宋_GB2312" w:cs="仿宋_GB2312" w:eastAsia="仿宋_GB2312"/>
                <w:sz w:val="21"/>
              </w:rPr>
              <w:t>1.搬迁前云服务商应对业务系统进行完整的备份，并抽取部分样例进行恢复测试，保证备份的有效性和完整性。</w:t>
            </w:r>
          </w:p>
          <w:p>
            <w:pPr>
              <w:pStyle w:val="null3"/>
              <w:ind w:firstLine="420"/>
              <w:jc w:val="left"/>
            </w:pPr>
            <w:r>
              <w:rPr>
                <w:rFonts w:ascii="仿宋_GB2312" w:hAnsi="仿宋_GB2312" w:cs="仿宋_GB2312" w:eastAsia="仿宋_GB2312"/>
                <w:sz w:val="21"/>
              </w:rPr>
              <w:t>2.协助各使用单位对系统虚机以及裸金属进行下电关机操作；</w:t>
            </w:r>
          </w:p>
          <w:p>
            <w:pPr>
              <w:pStyle w:val="null3"/>
              <w:ind w:firstLine="420"/>
              <w:jc w:val="left"/>
            </w:pPr>
            <w:r>
              <w:rPr>
                <w:rFonts w:ascii="仿宋_GB2312" w:hAnsi="仿宋_GB2312" w:cs="仿宋_GB2312" w:eastAsia="仿宋_GB2312"/>
                <w:sz w:val="21"/>
              </w:rPr>
              <w:t>3.对整体云平台包括管理区、计算和存储节点、安全资源区、密码服务区、备份一体机及网络和安全设备等进行下电关机操作；</w:t>
            </w:r>
          </w:p>
          <w:p>
            <w:pPr>
              <w:pStyle w:val="null3"/>
              <w:ind w:firstLine="420"/>
              <w:jc w:val="left"/>
            </w:pPr>
            <w:r>
              <w:rPr>
                <w:rFonts w:ascii="仿宋_GB2312" w:hAnsi="仿宋_GB2312" w:cs="仿宋_GB2312" w:eastAsia="仿宋_GB2312"/>
                <w:sz w:val="21"/>
              </w:rPr>
              <w:t>4.在新数据中心指导政法云平台所有设备进行加电操作，加电后对政法云平台所有功能进行验证，确保云平台功能正常；</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协助指导各使用单位对系统虚机以及裸金属进行开机操作；</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系统虚机开机后，配合协助各使用单位进行应用恢复支持。</w:t>
            </w:r>
          </w:p>
          <w:p>
            <w:pPr>
              <w:pStyle w:val="null3"/>
              <w:ind w:firstLine="422"/>
              <w:jc w:val="left"/>
            </w:pPr>
            <w:r>
              <w:rPr>
                <w:rFonts w:ascii="仿宋_GB2312" w:hAnsi="仿宋_GB2312" w:cs="仿宋_GB2312" w:eastAsia="仿宋_GB2312"/>
                <w:sz w:val="21"/>
                <w:b/>
              </w:rPr>
              <w:t>政法云迁移需求考核将结合实际工作情况开展：若存在相关迁移需求，将纳入考核范畴；若无迁移需求，则不与考核挂钩</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b/>
              </w:rPr>
              <w:t>1.2</w:t>
            </w:r>
            <w:r>
              <w:rPr>
                <w:rFonts w:ascii="仿宋_GB2312" w:hAnsi="仿宋_GB2312" w:cs="仿宋_GB2312" w:eastAsia="仿宋_GB2312"/>
                <w:sz w:val="21"/>
                <w:b/>
              </w:rPr>
              <w:t>服务交付成果</w:t>
            </w:r>
          </w:p>
          <w:p>
            <w:pPr>
              <w:pStyle w:val="null3"/>
              <w:jc w:val="left"/>
            </w:pPr>
            <w:r>
              <w:rPr>
                <w:rFonts w:ascii="仿宋_GB2312" w:hAnsi="仿宋_GB2312" w:cs="仿宋_GB2312" w:eastAsia="仿宋_GB2312"/>
                <w:sz w:val="21"/>
                <w:b/>
              </w:rPr>
              <w:t>1.2.1</w:t>
            </w:r>
            <w:r>
              <w:rPr>
                <w:rFonts w:ascii="仿宋_GB2312" w:hAnsi="仿宋_GB2312" w:cs="仿宋_GB2312" w:eastAsia="仿宋_GB2312"/>
                <w:sz w:val="21"/>
                <w:b/>
              </w:rPr>
              <w:t>政法云服务交付成果</w:t>
            </w:r>
          </w:p>
          <w:p>
            <w:pPr>
              <w:pStyle w:val="null3"/>
              <w:ind w:firstLine="420"/>
              <w:jc w:val="left"/>
            </w:pPr>
            <w:r>
              <w:rPr>
                <w:rFonts w:ascii="仿宋_GB2312" w:hAnsi="仿宋_GB2312" w:cs="仿宋_GB2312" w:eastAsia="仿宋_GB2312"/>
                <w:sz w:val="21"/>
              </w:rPr>
              <w:t>政法云服务提供服务政法委、公、检、法、司要求的一朵政法云，应符合服务要求内容，并提供包含但不限于以下服务交付成果：</w:t>
            </w:r>
          </w:p>
          <w:p>
            <w:pPr>
              <w:pStyle w:val="null3"/>
              <w:jc w:val="center"/>
            </w:pPr>
            <w:r>
              <w:rPr>
                <w:rFonts w:ascii="仿宋_GB2312" w:hAnsi="仿宋_GB2312" w:cs="仿宋_GB2312" w:eastAsia="仿宋_GB2312"/>
                <w:sz w:val="21"/>
              </w:rPr>
              <w:t>政法云服务交付成果清单</w:t>
            </w:r>
          </w:p>
          <w:tbl>
            <w:tblPr>
              <w:tblBorders>
                <w:top w:val="none" w:color="000000" w:sz="4"/>
                <w:left w:val="none" w:color="000000" w:sz="4"/>
                <w:bottom w:val="none" w:color="000000" w:sz="4"/>
                <w:right w:val="none" w:color="000000" w:sz="4"/>
                <w:insideH w:val="none"/>
                <w:insideV w:val="none"/>
              </w:tblBorders>
            </w:tblPr>
            <w:tblGrid>
              <w:gridCol w:w="227"/>
              <w:gridCol w:w="443"/>
              <w:gridCol w:w="1882"/>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序号</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交付内容</w:t>
                  </w:r>
                </w:p>
              </w:tc>
              <w:tc>
                <w:tcPr>
                  <w:tcW w:type="dxa" w:w="18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交付成果</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政法云云计算基础设施服务</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交付一朵符合政法委、公、检、法、司要求的政法云包括服务器、存储设备、网络设备等的安装与配置，并符合国产化要求。（参考部署架构图）</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政法云平台服务</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w:t>
                  </w:r>
                  <w:r>
                    <w:rPr>
                      <w:rFonts w:ascii="仿宋_GB2312" w:hAnsi="仿宋_GB2312" w:cs="仿宋_GB2312" w:eastAsia="仿宋_GB2312"/>
                      <w:sz w:val="21"/>
                    </w:rPr>
                    <w:t>化平台</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灾备服务</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在延安灾备中心提供异地数据备份、容灾恢复</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网络安全服务</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需满足政法委、公、检、法、司隔离要求的安全防护体系，包括光闸、防火墙、入侵检测、数据加密等安全设备的部署与配置</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运维服务</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系统监控管理、故障排查、性能优化</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运营服务</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云管理平台对政法云进行监管和运营</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应用部署迁移服务</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需配合政法委、公、检、法、司用户完成应用系统的部署和迁移工作</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培训服务</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为用户提供云平台使用、管理、运维等方面的培训</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交付文档服务</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包括网络架构图、服务目录清单、项目总结报告、使用手册、维护手册等</w:t>
                  </w:r>
                </w:p>
              </w:tc>
            </w:tr>
          </w:tbl>
          <w:p>
            <w:pPr>
              <w:pStyle w:val="null3"/>
              <w:jc w:val="center"/>
            </w:pPr>
            <w:r>
              <w:rPr>
                <w:rFonts w:ascii="仿宋_GB2312" w:hAnsi="仿宋_GB2312" w:cs="仿宋_GB2312" w:eastAsia="仿宋_GB2312"/>
                <w:sz w:val="21"/>
                <w:b/>
              </w:rPr>
              <w:t>1.2.2</w:t>
            </w:r>
            <w:r>
              <w:rPr>
                <w:rFonts w:ascii="仿宋_GB2312" w:hAnsi="仿宋_GB2312" w:cs="仿宋_GB2312" w:eastAsia="仿宋_GB2312"/>
                <w:sz w:val="21"/>
                <w:b/>
              </w:rPr>
              <w:t>机房环境服务交付成果</w:t>
            </w:r>
          </w:p>
          <w:p>
            <w:pPr>
              <w:pStyle w:val="null3"/>
              <w:ind w:firstLine="420"/>
              <w:jc w:val="left"/>
            </w:pPr>
            <w:r>
              <w:rPr>
                <w:rFonts w:ascii="仿宋_GB2312" w:hAnsi="仿宋_GB2312" w:cs="仿宋_GB2312" w:eastAsia="仿宋_GB2312"/>
                <w:sz w:val="21"/>
              </w:rPr>
              <w:t>机房环境为政法云平台提供良好的运行物理环境，应符合服务要求内容，并提供包含但不限于以下服务交付成果：</w:t>
            </w:r>
          </w:p>
          <w:p>
            <w:pPr>
              <w:pStyle w:val="null3"/>
              <w:jc w:val="center"/>
            </w:pPr>
            <w:r>
              <w:rPr>
                <w:rFonts w:ascii="仿宋_GB2312" w:hAnsi="仿宋_GB2312" w:cs="仿宋_GB2312" w:eastAsia="仿宋_GB2312"/>
                <w:sz w:val="21"/>
              </w:rPr>
              <w:t>机房环境服务交付成果清单</w:t>
            </w:r>
          </w:p>
          <w:tbl>
            <w:tblPr>
              <w:tblBorders>
                <w:top w:val="none" w:color="000000" w:sz="4"/>
                <w:left w:val="none" w:color="000000" w:sz="4"/>
                <w:bottom w:val="none" w:color="000000" w:sz="4"/>
                <w:right w:val="none" w:color="000000" w:sz="4"/>
                <w:insideH w:val="none"/>
                <w:insideV w:val="none"/>
              </w:tblBorders>
            </w:tblPr>
            <w:tblGrid>
              <w:gridCol w:w="513"/>
              <w:gridCol w:w="2039"/>
            </w:tblGrid>
            <w:tr>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类别</w:t>
                  </w:r>
                </w:p>
              </w:tc>
              <w:tc>
                <w:tcPr>
                  <w:tcW w:type="dxa" w:w="2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交付成果</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机房建筑相关</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机房整体验收报告、机房布局图</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电力系统</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UPS型号、容量、设备清单、运行状态、规格说明，配电柜配置信息、电力线缆铺设明细清单</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空调系统</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空调设备型号及参数列表、空调系统运行调试报告</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消防系统</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消防设备清单（如灭火器、自动灭火装置等）、消防系统检测报告</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安全系统</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门禁系统设备及权限设置清单、监测和控制系统设备清单、监控范围说明、监控功能说明</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环境监测系统</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温湿度监测设备及数据记录、粉尘等其他环境指标监测设备及报告</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综合布线系统</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各类线缆铺设及连接情况报告</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管理系统</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机房管理平台功能说明及操作手册</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其他</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相关设备的服务信息、特殊工具或配件清单</w:t>
                  </w:r>
                </w:p>
              </w:tc>
            </w:tr>
          </w:tbl>
          <w:p>
            <w:pPr>
              <w:pStyle w:val="null3"/>
              <w:jc w:val="left"/>
            </w:pPr>
            <w:r>
              <w:rPr>
                <w:rFonts w:ascii="仿宋_GB2312" w:hAnsi="仿宋_GB2312" w:cs="仿宋_GB2312" w:eastAsia="仿宋_GB2312"/>
                <w:sz w:val="21"/>
                <w:b/>
              </w:rPr>
              <w:t>2.2.3</w:t>
            </w:r>
            <w:r>
              <w:rPr>
                <w:rFonts w:ascii="仿宋_GB2312" w:hAnsi="仿宋_GB2312" w:cs="仿宋_GB2312" w:eastAsia="仿宋_GB2312"/>
                <w:sz w:val="21"/>
                <w:b/>
              </w:rPr>
              <w:t>基础设施服务交付成果</w:t>
            </w:r>
          </w:p>
          <w:p>
            <w:pPr>
              <w:pStyle w:val="null3"/>
              <w:ind w:firstLine="420"/>
              <w:jc w:val="left"/>
            </w:pPr>
            <w:r>
              <w:rPr>
                <w:rFonts w:ascii="仿宋_GB2312" w:hAnsi="仿宋_GB2312" w:cs="仿宋_GB2312" w:eastAsia="仿宋_GB2312"/>
                <w:sz w:val="21"/>
              </w:rPr>
              <w:t>提供基础设施服务包含计算服务、存储服务、网络服务、备份服务和基础安全服务清单，并满足政法云服务要求内容，提供包含但不限于以下服务交付成果：</w:t>
            </w:r>
          </w:p>
          <w:p>
            <w:pPr>
              <w:pStyle w:val="null3"/>
              <w:jc w:val="center"/>
            </w:pPr>
            <w:r>
              <w:rPr>
                <w:rFonts w:ascii="仿宋_GB2312" w:hAnsi="仿宋_GB2312" w:cs="仿宋_GB2312" w:eastAsia="仿宋_GB2312"/>
                <w:sz w:val="21"/>
              </w:rPr>
              <w:t>基础设施服务交付成果清单</w:t>
            </w:r>
          </w:p>
          <w:tbl>
            <w:tblPr>
              <w:tblBorders>
                <w:top w:val="none" w:color="000000" w:sz="4"/>
                <w:left w:val="none" w:color="000000" w:sz="4"/>
                <w:bottom w:val="none" w:color="000000" w:sz="4"/>
                <w:right w:val="none" w:color="000000" w:sz="4"/>
                <w:insideH w:val="none"/>
                <w:insideV w:val="none"/>
              </w:tblBorders>
            </w:tblPr>
            <w:tblGrid>
              <w:gridCol w:w="478"/>
              <w:gridCol w:w="2075"/>
            </w:tblGrid>
            <w:tr>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类别</w:t>
                  </w:r>
                </w:p>
              </w:tc>
              <w:tc>
                <w:tcPr>
                  <w:tcW w:type="dxa" w:w="20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交付成果</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服务器</w:t>
                  </w:r>
                </w:p>
              </w:tc>
              <w:tc>
                <w:tcPr>
                  <w:tcW w:type="dxa" w:w="2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服务器型号、数量、配置信息清单</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存储设备</w:t>
                  </w:r>
                </w:p>
              </w:tc>
              <w:tc>
                <w:tcPr>
                  <w:tcW w:type="dxa" w:w="2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存储类型、容量、相关参数清单</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网络设备</w:t>
                  </w:r>
                </w:p>
              </w:tc>
              <w:tc>
                <w:tcPr>
                  <w:tcW w:type="dxa" w:w="2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交换机、路由器等设备型号、数量、规格清单</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备份系统</w:t>
                  </w:r>
                </w:p>
              </w:tc>
              <w:tc>
                <w:tcPr>
                  <w:tcW w:type="dxa" w:w="2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备份一体机型号、数量、规格清单</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资源管理系统</w:t>
                  </w:r>
                </w:p>
              </w:tc>
              <w:tc>
                <w:tcPr>
                  <w:tcW w:type="dxa" w:w="2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系统功能描述、操作指南</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安全防护系统</w:t>
                  </w:r>
                </w:p>
              </w:tc>
              <w:tc>
                <w:tcPr>
                  <w:tcW w:type="dxa" w:w="2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防火墙等设备信息、防护策略清单</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其他</w:t>
                  </w:r>
                </w:p>
              </w:tc>
              <w:tc>
                <w:tcPr>
                  <w:tcW w:type="dxa" w:w="2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相关设备的服务信息或配件清单</w:t>
                  </w:r>
                </w:p>
              </w:tc>
            </w:tr>
          </w:tbl>
          <w:p>
            <w:pPr>
              <w:pStyle w:val="null3"/>
              <w:jc w:val="left"/>
            </w:pPr>
            <w:r>
              <w:rPr>
                <w:rFonts w:ascii="仿宋_GB2312" w:hAnsi="仿宋_GB2312" w:cs="仿宋_GB2312" w:eastAsia="仿宋_GB2312"/>
                <w:sz w:val="21"/>
                <w:b/>
              </w:rPr>
              <w:t>2.2.4</w:t>
            </w:r>
            <w:r>
              <w:rPr>
                <w:rFonts w:ascii="仿宋_GB2312" w:hAnsi="仿宋_GB2312" w:cs="仿宋_GB2312" w:eastAsia="仿宋_GB2312"/>
                <w:sz w:val="21"/>
                <w:b/>
              </w:rPr>
              <w:t>支撑软件服务交付成果</w:t>
            </w:r>
          </w:p>
          <w:p>
            <w:pPr>
              <w:pStyle w:val="null3"/>
              <w:ind w:firstLine="420"/>
              <w:jc w:val="left"/>
            </w:pPr>
            <w:r>
              <w:rPr>
                <w:rFonts w:ascii="仿宋_GB2312" w:hAnsi="仿宋_GB2312" w:cs="仿宋_GB2312" w:eastAsia="仿宋_GB2312"/>
                <w:sz w:val="21"/>
              </w:rPr>
              <w:t>提供支撑软件服务包含主流国产操作系统、数据库等服务清单，并满足政法云服务要求内容，提供包含但不限于以下服务交付成果：</w:t>
            </w:r>
          </w:p>
          <w:p>
            <w:pPr>
              <w:pStyle w:val="null3"/>
              <w:jc w:val="center"/>
            </w:pPr>
            <w:r>
              <w:rPr>
                <w:rFonts w:ascii="仿宋_GB2312" w:hAnsi="仿宋_GB2312" w:cs="仿宋_GB2312" w:eastAsia="仿宋_GB2312"/>
                <w:sz w:val="21"/>
              </w:rPr>
              <w:t>支撑软件服务交付成果清单</w:t>
            </w:r>
          </w:p>
          <w:tbl>
            <w:tblPr>
              <w:tblBorders>
                <w:top w:val="none" w:color="000000" w:sz="4"/>
                <w:left w:val="none" w:color="000000" w:sz="4"/>
                <w:bottom w:val="none" w:color="000000" w:sz="4"/>
                <w:right w:val="none" w:color="000000" w:sz="4"/>
                <w:insideH w:val="none"/>
                <w:insideV w:val="none"/>
              </w:tblBorders>
            </w:tblPr>
            <w:tblGrid>
              <w:gridCol w:w="430"/>
              <w:gridCol w:w="2122"/>
            </w:tblGrid>
            <w:tr>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类别</w:t>
                  </w:r>
                </w:p>
              </w:tc>
              <w:tc>
                <w:tcPr>
                  <w:tcW w:type="dxa" w:w="2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交付成果</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操作系统名称、版本、安装情况清单</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数据库软件</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数据库名称、版本、安装情况清单</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备份软件</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备份软件名称、版本、容量配置清单</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OCR</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软件名称、版本、安装情况清单</w:t>
                  </w:r>
                </w:p>
              </w:tc>
            </w:tr>
          </w:tbl>
          <w:p>
            <w:pPr>
              <w:pStyle w:val="null3"/>
              <w:jc w:val="left"/>
            </w:pPr>
            <w:r>
              <w:rPr>
                <w:rFonts w:ascii="仿宋_GB2312" w:hAnsi="仿宋_GB2312" w:cs="仿宋_GB2312" w:eastAsia="仿宋_GB2312"/>
                <w:sz w:val="21"/>
                <w:b/>
              </w:rPr>
              <w:t>1.2.5</w:t>
            </w:r>
            <w:r>
              <w:rPr>
                <w:rFonts w:ascii="仿宋_GB2312" w:hAnsi="仿宋_GB2312" w:cs="仿宋_GB2312" w:eastAsia="仿宋_GB2312"/>
                <w:sz w:val="21"/>
                <w:b/>
              </w:rPr>
              <w:t>运维能力服务交付成果</w:t>
            </w:r>
          </w:p>
          <w:p>
            <w:pPr>
              <w:pStyle w:val="null3"/>
              <w:ind w:firstLine="420"/>
              <w:jc w:val="left"/>
            </w:pPr>
            <w:r>
              <w:rPr>
                <w:rFonts w:ascii="仿宋_GB2312" w:hAnsi="仿宋_GB2312" w:cs="仿宋_GB2312" w:eastAsia="仿宋_GB2312"/>
                <w:sz w:val="21"/>
              </w:rPr>
              <w:t>运维能力服务应符合</w:t>
            </w:r>
            <w:r>
              <w:rPr>
                <w:rFonts w:ascii="仿宋_GB2312" w:hAnsi="仿宋_GB2312" w:cs="仿宋_GB2312" w:eastAsia="仿宋_GB2312"/>
                <w:sz w:val="21"/>
              </w:rPr>
              <w:t>GB/T34077.3以及IT服务管理等，并满足政法云服务要求内容，提供包含但不限于以下服务交付成果：</w:t>
            </w:r>
          </w:p>
          <w:p>
            <w:pPr>
              <w:pStyle w:val="null3"/>
              <w:jc w:val="center"/>
            </w:pPr>
            <w:r>
              <w:rPr>
                <w:rFonts w:ascii="仿宋_GB2312" w:hAnsi="仿宋_GB2312" w:cs="仿宋_GB2312" w:eastAsia="仿宋_GB2312"/>
                <w:sz w:val="21"/>
              </w:rPr>
              <w:t>运维能力服务交付成果清单</w:t>
            </w:r>
          </w:p>
          <w:tbl>
            <w:tblPr>
              <w:tblBorders>
                <w:top w:val="none" w:color="000000" w:sz="4"/>
                <w:left w:val="none" w:color="000000" w:sz="4"/>
                <w:bottom w:val="none" w:color="000000" w:sz="4"/>
                <w:right w:val="none" w:color="000000" w:sz="4"/>
                <w:insideH w:val="none"/>
                <w:insideV w:val="none"/>
              </w:tblBorders>
            </w:tblPr>
            <w:tblGrid>
              <w:gridCol w:w="333"/>
              <w:gridCol w:w="654"/>
              <w:gridCol w:w="1233"/>
              <w:gridCol w:w="333"/>
            </w:tblGrid>
            <w:tr>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服务报告</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类别</w:t>
                  </w:r>
                </w:p>
              </w:tc>
              <w:tc>
                <w:tcPr>
                  <w:tcW w:type="dxa" w:w="1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交付成果</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服务频次</w:t>
                  </w:r>
                </w:p>
              </w:tc>
            </w:tr>
            <w:tr>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运维服务周报（每周一份）</w:t>
                  </w:r>
                  <w:r>
                    <w:br/>
                  </w:r>
                  <w:r>
                    <w:rPr>
                      <w:rFonts w:ascii="仿宋_GB2312" w:hAnsi="仿宋_GB2312" w:cs="仿宋_GB2312" w:eastAsia="仿宋_GB2312"/>
                      <w:sz w:val="21"/>
                    </w:rPr>
                    <w:t>运维服务月报（每月一份）</w:t>
                  </w:r>
                </w:p>
                <w:p>
                  <w:pPr>
                    <w:pStyle w:val="null3"/>
                    <w:jc w:val="left"/>
                  </w:pPr>
                  <w:r>
                    <w:rPr>
                      <w:rFonts w:ascii="仿宋_GB2312" w:hAnsi="仿宋_GB2312" w:cs="仿宋_GB2312" w:eastAsia="仿宋_GB2312"/>
                      <w:sz w:val="21"/>
                    </w:rPr>
                    <w:t>运维服务年报（每年一份）</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日常监测</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系统运行状态监测，形成相应报告</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按计划体现在周报、月报、年报</w:t>
                  </w:r>
                </w:p>
              </w:tc>
            </w:tr>
            <w:tr>
              <w:tc>
                <w:tcPr>
                  <w:tcW w:type="dxa" w:w="333"/>
                  <w:vMerge/>
                  <w:tcBorders>
                    <w:top w:val="none" w:color="000000" w:sz="4"/>
                    <w:left w:val="single" w:color="000000" w:sz="4"/>
                    <w:bottom w:val="single" w:color="000000" w:sz="4"/>
                    <w:right w:val="single" w:color="000000" w:sz="4"/>
                  </w:tcBorders>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性能优化</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对系统性能进行优化调整，形成相应报告</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按计划体现在月报、年报</w:t>
                  </w:r>
                </w:p>
              </w:tc>
            </w:tr>
            <w:tr>
              <w:tc>
                <w:tcPr>
                  <w:tcW w:type="dxa" w:w="333"/>
                  <w:vMerge/>
                  <w:tcBorders>
                    <w:top w:val="none" w:color="000000" w:sz="4"/>
                    <w:left w:val="single" w:color="000000" w:sz="4"/>
                    <w:bottom w:val="single" w:color="000000" w:sz="4"/>
                    <w:right w:val="single" w:color="000000" w:sz="4"/>
                  </w:tcBorders>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安全防护</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安全漏洞检测与修复等，形成相应报告</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按计划体现在周报、月报、年报</w:t>
                  </w:r>
                </w:p>
              </w:tc>
            </w:tr>
            <w:tr>
              <w:tc>
                <w:tcPr>
                  <w:tcW w:type="dxa" w:w="333"/>
                  <w:vMerge/>
                  <w:tcBorders>
                    <w:top w:val="none" w:color="000000" w:sz="4"/>
                    <w:left w:val="single" w:color="000000" w:sz="4"/>
                    <w:bottom w:val="single" w:color="000000" w:sz="4"/>
                    <w:right w:val="single" w:color="000000" w:sz="4"/>
                  </w:tcBorders>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资源调配</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根据需求合理调配资源，形成相应报告</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按计划体现在月报、年报</w:t>
                  </w:r>
                </w:p>
              </w:tc>
            </w:tr>
            <w:tr>
              <w:tc>
                <w:tcPr>
                  <w:tcW w:type="dxa" w:w="333"/>
                  <w:vMerge/>
                  <w:tcBorders>
                    <w:top w:val="none" w:color="000000" w:sz="4"/>
                    <w:left w:val="single" w:color="000000" w:sz="4"/>
                    <w:bottom w:val="single" w:color="000000" w:sz="4"/>
                    <w:right w:val="single" w:color="000000" w:sz="4"/>
                  </w:tcBorders>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备份恢复</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数据备份与恢复操作，形成相应报告</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按计划体现在周报、月报、年报</w:t>
                  </w:r>
                </w:p>
              </w:tc>
            </w:tr>
            <w:tr>
              <w:tc>
                <w:tcPr>
                  <w:tcW w:type="dxa" w:w="333"/>
                  <w:vMerge/>
                  <w:tcBorders>
                    <w:top w:val="none" w:color="000000" w:sz="4"/>
                    <w:left w:val="single" w:color="000000" w:sz="4"/>
                    <w:bottom w:val="single" w:color="000000" w:sz="4"/>
                    <w:right w:val="single" w:color="000000" w:sz="4"/>
                  </w:tcBorders>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日志分析</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系统日志分析与报告</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按计划体现在周报、月报、年报</w:t>
                  </w:r>
                </w:p>
              </w:tc>
            </w:tr>
            <w:tr>
              <w:tc>
                <w:tcPr>
                  <w:tcW w:type="dxa" w:w="333"/>
                  <w:vMerge/>
                  <w:tcBorders>
                    <w:top w:val="none" w:color="000000" w:sz="4"/>
                    <w:left w:val="single" w:color="000000" w:sz="4"/>
                    <w:bottom w:val="single" w:color="000000" w:sz="4"/>
                    <w:right w:val="single" w:color="000000" w:sz="4"/>
                  </w:tcBorders>
                </w:tc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服务报告</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提供运维服务报告</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按计划体现在周报、月报、年报</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故障报告</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故障响应</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及时响应并处理故障，形成相应报告</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应急报告</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应急预案制定与演练</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完善应急预案并组织演练，形成相应报告</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培训报告</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用户培训</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对用户进行操作培训，形成相应报告</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w:t>
                  </w:r>
                </w:p>
              </w:tc>
            </w:tr>
          </w:tbl>
          <w:p>
            <w:pPr>
              <w:pStyle w:val="null3"/>
              <w:jc w:val="left"/>
            </w:pPr>
            <w:r>
              <w:rPr>
                <w:rFonts w:ascii="仿宋_GB2312" w:hAnsi="仿宋_GB2312" w:cs="仿宋_GB2312" w:eastAsia="仿宋_GB2312"/>
                <w:sz w:val="21"/>
                <w:b/>
              </w:rPr>
              <w:t>1.2.6</w:t>
            </w:r>
            <w:r>
              <w:rPr>
                <w:rFonts w:ascii="仿宋_GB2312" w:hAnsi="仿宋_GB2312" w:cs="仿宋_GB2312" w:eastAsia="仿宋_GB2312"/>
                <w:sz w:val="21"/>
                <w:b/>
              </w:rPr>
              <w:t>运营能力服务交付成果</w:t>
            </w:r>
          </w:p>
          <w:p>
            <w:pPr>
              <w:pStyle w:val="null3"/>
              <w:ind w:firstLine="420"/>
              <w:jc w:val="left"/>
            </w:pPr>
            <w:r>
              <w:rPr>
                <w:rFonts w:ascii="仿宋_GB2312" w:hAnsi="仿宋_GB2312" w:cs="仿宋_GB2312" w:eastAsia="仿宋_GB2312"/>
                <w:sz w:val="21"/>
              </w:rPr>
              <w:t>运营能力服务应符合服务要求中的总体要求和接口要求，提供包含但不限于以下服务交付成果：</w:t>
            </w:r>
          </w:p>
          <w:p>
            <w:pPr>
              <w:pStyle w:val="null3"/>
              <w:jc w:val="center"/>
            </w:pPr>
            <w:r>
              <w:rPr>
                <w:rFonts w:ascii="仿宋_GB2312" w:hAnsi="仿宋_GB2312" w:cs="仿宋_GB2312" w:eastAsia="仿宋_GB2312"/>
                <w:sz w:val="21"/>
              </w:rPr>
              <w:t>运营能力服务交付成果清单</w:t>
            </w:r>
          </w:p>
          <w:tbl>
            <w:tblPr>
              <w:tblBorders>
                <w:top w:val="none" w:color="000000" w:sz="4"/>
                <w:left w:val="none" w:color="000000" w:sz="4"/>
                <w:bottom w:val="none" w:color="000000" w:sz="4"/>
                <w:right w:val="none" w:color="000000" w:sz="4"/>
                <w:insideH w:val="none"/>
                <w:insideV w:val="none"/>
              </w:tblBorders>
            </w:tblPr>
            <w:tblGrid>
              <w:gridCol w:w="435"/>
              <w:gridCol w:w="480"/>
              <w:gridCol w:w="886"/>
              <w:gridCol w:w="751"/>
            </w:tblGrid>
            <w:tr>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服务报告</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类别</w:t>
                  </w:r>
                </w:p>
              </w:tc>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交付成果</w:t>
                  </w:r>
                </w:p>
              </w:tc>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服务频次</w:t>
                  </w: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运营服务周报（每周一份）</w:t>
                  </w:r>
                  <w:r>
                    <w:br/>
                  </w:r>
                  <w:r>
                    <w:rPr>
                      <w:rFonts w:ascii="仿宋_GB2312" w:hAnsi="仿宋_GB2312" w:cs="仿宋_GB2312" w:eastAsia="仿宋_GB2312"/>
                      <w:sz w:val="21"/>
                    </w:rPr>
                    <w:t>运营服务月报（每月一份）</w:t>
                  </w:r>
                  <w:r>
                    <w:br/>
                  </w:r>
                  <w:r>
                    <w:rPr>
                      <w:rFonts w:ascii="仿宋_GB2312" w:hAnsi="仿宋_GB2312" w:cs="仿宋_GB2312" w:eastAsia="仿宋_GB2312"/>
                      <w:sz w:val="21"/>
                    </w:rPr>
                    <w:t>运营服务年报（每年一份）</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资源监测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资源使用情况监测，形成相应报告</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按计划体现在周报、月报、年报中</w:t>
                  </w:r>
                </w:p>
              </w:tc>
            </w:tr>
            <w:tr>
              <w:tc>
                <w:tcPr>
                  <w:tcW w:type="dxa" w:w="435"/>
                  <w:vMerge/>
                  <w:tcBorders>
                    <w:top w:val="none" w:color="000000" w:sz="4"/>
                    <w:left w:val="single" w:color="000000" w:sz="4"/>
                    <w:bottom w:val="single" w:color="000000" w:sz="4"/>
                    <w:right w:val="single" w:color="000000" w:sz="4"/>
                  </w:tcBorders>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性能分析</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性能指标分析，形成相应报告</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按计划体现在月报、年报中</w:t>
                  </w:r>
                </w:p>
              </w:tc>
            </w:tr>
            <w:tr>
              <w:tc>
                <w:tcPr>
                  <w:tcW w:type="dxa" w:w="435"/>
                  <w:vMerge/>
                  <w:tcBorders>
                    <w:top w:val="none" w:color="000000" w:sz="4"/>
                    <w:left w:val="single" w:color="000000" w:sz="4"/>
                    <w:bottom w:val="single" w:color="000000" w:sz="4"/>
                    <w:right w:val="single" w:color="000000" w:sz="4"/>
                  </w:tcBorders>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数据统计与报告</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提供相关数据统计和报告</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按计划体现在月报、年报中</w:t>
                  </w:r>
                </w:p>
              </w:tc>
            </w:tr>
            <w:tr>
              <w:tc>
                <w:tcPr>
                  <w:tcW w:type="dxa" w:w="435"/>
                  <w:vMerge/>
                  <w:tcBorders>
                    <w:top w:val="none" w:color="000000" w:sz="4"/>
                    <w:left w:val="single" w:color="000000" w:sz="4"/>
                    <w:bottom w:val="single" w:color="000000" w:sz="4"/>
                    <w:right w:val="single" w:color="000000" w:sz="4"/>
                  </w:tcBorders>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资源调配管理</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合理进行资源调配，形成相应报告</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按计划体现在周报、月报、年报中</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应急方案报告</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应急响应预案</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制定并执行预案，形成相应报告</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用户服务培训报告</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用户培训与支持</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对用户进行培训和提供支持</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安全保障</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安全防护措施落实，形成相应报告</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持续</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用户需求响应</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及时响应并处理用户需求，形成相应报告</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随时</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政法云服务优化</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不断改进服务质量</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持续</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与政务部门沟通协调</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保持良好沟通合作</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持续</w:t>
                  </w:r>
                </w:p>
              </w:tc>
            </w:tr>
          </w:tbl>
          <w:p>
            <w:pPr>
              <w:pStyle w:val="null3"/>
              <w:jc w:val="left"/>
            </w:pPr>
            <w:r>
              <w:rPr>
                <w:rFonts w:ascii="仿宋_GB2312" w:hAnsi="仿宋_GB2312" w:cs="仿宋_GB2312" w:eastAsia="仿宋_GB2312"/>
                <w:sz w:val="21"/>
                <w:b/>
              </w:rPr>
              <w:t>1.2.7</w:t>
            </w:r>
            <w:r>
              <w:rPr>
                <w:rFonts w:ascii="仿宋_GB2312" w:hAnsi="仿宋_GB2312" w:cs="仿宋_GB2312" w:eastAsia="仿宋_GB2312"/>
                <w:sz w:val="21"/>
                <w:b/>
              </w:rPr>
              <w:t>安全保障服务交付成果</w:t>
            </w:r>
          </w:p>
          <w:p>
            <w:pPr>
              <w:pStyle w:val="null3"/>
              <w:ind w:firstLine="420"/>
              <w:jc w:val="left"/>
            </w:pPr>
            <w:r>
              <w:rPr>
                <w:rFonts w:ascii="仿宋_GB2312" w:hAnsi="仿宋_GB2312" w:cs="仿宋_GB2312" w:eastAsia="仿宋_GB2312"/>
                <w:sz w:val="21"/>
              </w:rPr>
              <w:t>安全保障服务应符合服务要求中的总体要求和接口要求，提供包含但不限于以下服务交付成果：</w:t>
            </w:r>
          </w:p>
          <w:p>
            <w:pPr>
              <w:pStyle w:val="null3"/>
              <w:jc w:val="center"/>
            </w:pPr>
            <w:r>
              <w:rPr>
                <w:rFonts w:ascii="仿宋_GB2312" w:hAnsi="仿宋_GB2312" w:cs="仿宋_GB2312" w:eastAsia="仿宋_GB2312"/>
                <w:sz w:val="21"/>
              </w:rPr>
              <w:t>安全保障服务交付成果清单</w:t>
            </w:r>
          </w:p>
          <w:tbl>
            <w:tblPr>
              <w:tblBorders>
                <w:top w:val="none" w:color="000000" w:sz="4"/>
                <w:left w:val="none" w:color="000000" w:sz="4"/>
                <w:bottom w:val="none" w:color="000000" w:sz="4"/>
                <w:right w:val="none" w:color="000000" w:sz="4"/>
                <w:insideH w:val="none"/>
                <w:insideV w:val="none"/>
              </w:tblBorders>
            </w:tblPr>
            <w:tblGrid>
              <w:gridCol w:w="828"/>
              <w:gridCol w:w="1159"/>
              <w:gridCol w:w="565"/>
            </w:tblGrid>
            <w:tr>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分类</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交付成果</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服务频次</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访问控制</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设置合理访问权限</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持续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数据加密</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重要数据加密措施</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持续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恶意软件防护</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实时防范恶意软件</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实时</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安全策略制定与更新</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及时更新安全策略</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身份认证管理</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强化身份认证机制</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持续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应急响应演练</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开展应急响应演练</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定期</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安全培训</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对相关人员进行安全培训</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安全监测与预警</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实时监测并及时预警</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实时</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安全设备维护</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对安全设备维护保养</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定期</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WEB应用防火墙软件服务</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Web应用攻击防护、威胁情报分析</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持续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综合日志审计分析平台软件服务</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日志集中收集与分析</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持续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漏洞扫描系统软件服务</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主机漏洞扫描、</w:t>
                  </w:r>
                  <w:r>
                    <w:rPr>
                      <w:rFonts w:ascii="仿宋_GB2312" w:hAnsi="仿宋_GB2312" w:cs="仿宋_GB2312" w:eastAsia="仿宋_GB2312"/>
                      <w:sz w:val="21"/>
                    </w:rPr>
                    <w:t>Web漏洞扫描、数据库漏洞扫描、配置核查、弱口令扫描</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定期</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运维审计与风险控制系统服务</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运维行为审计、运维行为管控、运维账户管控</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持续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防火墙软件服务</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网络防火墙、入侵防御、网络病毒防护</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持续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主机安全及管理系统软件服务</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防病毒、终端管控、主机防火墙、勒索病毒防护、挖矿病毒防护、网络入侵监测</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持续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APT攻击预警平台软件服务</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网络流量分析与攻击监测、文件沙箱分析、威胁情报分析</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持续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数据库审计与风险控制系统软件服务</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数据库访问行为审计、数据库攻击监测与告警</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持续</w:t>
                  </w:r>
                </w:p>
              </w:tc>
            </w:tr>
          </w:tbl>
          <w:p>
            <w:pPr>
              <w:pStyle w:val="null3"/>
              <w:jc w:val="left"/>
            </w:pPr>
            <w:r>
              <w:rPr>
                <w:rFonts w:ascii="仿宋_GB2312" w:hAnsi="仿宋_GB2312" w:cs="仿宋_GB2312" w:eastAsia="仿宋_GB2312"/>
                <w:sz w:val="21"/>
                <w:b/>
              </w:rPr>
              <w:t>1.2.7.1</w:t>
            </w:r>
            <w:r>
              <w:rPr>
                <w:rFonts w:ascii="仿宋_GB2312" w:hAnsi="仿宋_GB2312" w:cs="仿宋_GB2312" w:eastAsia="仿宋_GB2312"/>
                <w:sz w:val="21"/>
                <w:b/>
              </w:rPr>
              <w:t>网络等级保护测评服务交付成果</w:t>
            </w:r>
          </w:p>
          <w:p>
            <w:pPr>
              <w:pStyle w:val="null3"/>
              <w:jc w:val="center"/>
            </w:pPr>
            <w:r>
              <w:rPr>
                <w:rFonts w:ascii="仿宋_GB2312" w:hAnsi="仿宋_GB2312" w:cs="仿宋_GB2312" w:eastAsia="仿宋_GB2312"/>
                <w:sz w:val="21"/>
              </w:rPr>
              <w:t>网络等级保护测评服务交付成果清单</w:t>
            </w:r>
          </w:p>
          <w:tbl>
            <w:tblPr>
              <w:tblBorders>
                <w:top w:val="none" w:color="000000" w:sz="4"/>
                <w:left w:val="none" w:color="000000" w:sz="4"/>
                <w:bottom w:val="none" w:color="000000" w:sz="4"/>
                <w:right w:val="none" w:color="000000" w:sz="4"/>
                <w:insideH w:val="none"/>
                <w:insideV w:val="none"/>
              </w:tblBorders>
            </w:tblPr>
            <w:tblGrid>
              <w:gridCol w:w="713"/>
              <w:gridCol w:w="1512"/>
              <w:gridCol w:w="327"/>
            </w:tblGrid>
            <w:tr>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配合服务项目</w:t>
                  </w:r>
                </w:p>
              </w:tc>
              <w:tc>
                <w:tcPr>
                  <w:tcW w:type="dxa" w:w="1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描述</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服务频次</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测评报告</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全面详细的测评结果分析报告</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按需配合</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问题清单</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明确指出存在的安全问题</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按需配合</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整改建议</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对应问题的具体整改建议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按需配合</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测评证明</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等级保护测评通过的证明文件</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按需配合</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阶段性评估报告</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测评过程中阶段性成果汇报</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按需配合</w:t>
                  </w:r>
                </w:p>
              </w:tc>
            </w:tr>
          </w:tbl>
          <w:p>
            <w:pPr>
              <w:pStyle w:val="null3"/>
              <w:jc w:val="left"/>
            </w:pPr>
            <w:r>
              <w:rPr>
                <w:rFonts w:ascii="仿宋_GB2312" w:hAnsi="仿宋_GB2312" w:cs="仿宋_GB2312" w:eastAsia="仿宋_GB2312"/>
                <w:sz w:val="21"/>
                <w:b/>
              </w:rPr>
              <w:t>说明：具体配合服务项目，以实际发生为准。</w:t>
            </w:r>
          </w:p>
          <w:p>
            <w:pPr>
              <w:pStyle w:val="null3"/>
              <w:jc w:val="left"/>
            </w:pPr>
            <w:r>
              <w:rPr>
                <w:rFonts w:ascii="仿宋_GB2312" w:hAnsi="仿宋_GB2312" w:cs="仿宋_GB2312" w:eastAsia="仿宋_GB2312"/>
                <w:sz w:val="21"/>
                <w:b/>
              </w:rPr>
              <w:t>1.2.7.2</w:t>
            </w:r>
            <w:r>
              <w:rPr>
                <w:rFonts w:ascii="仿宋_GB2312" w:hAnsi="仿宋_GB2312" w:cs="仿宋_GB2312" w:eastAsia="仿宋_GB2312"/>
                <w:sz w:val="21"/>
                <w:b/>
              </w:rPr>
              <w:t>密码应用安全测评服务交付成果</w:t>
            </w:r>
          </w:p>
          <w:p>
            <w:pPr>
              <w:pStyle w:val="null3"/>
              <w:jc w:val="center"/>
            </w:pPr>
            <w:r>
              <w:rPr>
                <w:rFonts w:ascii="仿宋_GB2312" w:hAnsi="仿宋_GB2312" w:cs="仿宋_GB2312" w:eastAsia="仿宋_GB2312"/>
                <w:sz w:val="21"/>
              </w:rPr>
              <w:t>密码应用安全测评服务交付成果清单</w:t>
            </w:r>
          </w:p>
          <w:tbl>
            <w:tblPr>
              <w:tblBorders>
                <w:top w:val="none" w:color="000000" w:sz="4"/>
                <w:left w:val="none" w:color="000000" w:sz="4"/>
                <w:bottom w:val="none" w:color="000000" w:sz="4"/>
                <w:right w:val="none" w:color="000000" w:sz="4"/>
                <w:insideH w:val="none"/>
                <w:insideV w:val="none"/>
              </w:tblBorders>
            </w:tblPr>
            <w:tblGrid>
              <w:gridCol w:w="739"/>
              <w:gridCol w:w="1365"/>
              <w:gridCol w:w="448"/>
            </w:tblGrid>
            <w:tr>
              <w:tc>
                <w:tcPr>
                  <w:tcW w:type="dxa" w:w="7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配合服务项目</w:t>
                  </w:r>
                </w:p>
              </w:tc>
              <w:tc>
                <w:tcPr>
                  <w:tcW w:type="dxa" w:w="1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描述</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服务频次</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密码应用安全测评报告</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详细的密码应用安全状况分析报告</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按需配合</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密码问题清单</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列出密码应用方面存在的问题</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按需配合</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密码整改建议</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针对问题的具体整改建议</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按需配合</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密码测评证明</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证明完成密码应用安全测评的文件</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按需配合</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安全阶段性报告</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测评过程中密码应用安全的阶段性成果汇报</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按需配合</w:t>
                  </w:r>
                </w:p>
              </w:tc>
            </w:tr>
          </w:tbl>
          <w:p>
            <w:pPr>
              <w:pStyle w:val="null3"/>
              <w:jc w:val="left"/>
            </w:pPr>
            <w:r>
              <w:rPr>
                <w:rFonts w:ascii="仿宋_GB2312" w:hAnsi="仿宋_GB2312" w:cs="仿宋_GB2312" w:eastAsia="仿宋_GB2312"/>
                <w:sz w:val="21"/>
                <w:b/>
              </w:rPr>
              <w:t>说明：具体配合服务项目，以实际发生为准。</w:t>
            </w:r>
          </w:p>
          <w:p>
            <w:pPr>
              <w:pStyle w:val="null3"/>
              <w:jc w:val="left"/>
            </w:pPr>
            <w:r>
              <w:rPr>
                <w:rFonts w:ascii="仿宋_GB2312" w:hAnsi="仿宋_GB2312" w:cs="仿宋_GB2312" w:eastAsia="仿宋_GB2312"/>
                <w:sz w:val="21"/>
                <w:b/>
              </w:rPr>
              <w:t>2.服务</w:t>
            </w:r>
            <w:r>
              <w:rPr>
                <w:rFonts w:ascii="仿宋_GB2312" w:hAnsi="仿宋_GB2312" w:cs="仿宋_GB2312" w:eastAsia="仿宋_GB2312"/>
                <w:sz w:val="21"/>
                <w:b/>
              </w:rPr>
              <w:t>验收</w:t>
            </w:r>
          </w:p>
          <w:p>
            <w:pPr>
              <w:pStyle w:val="null3"/>
              <w:jc w:val="left"/>
            </w:pPr>
            <w:r>
              <w:rPr>
                <w:rFonts w:ascii="仿宋_GB2312" w:hAnsi="仿宋_GB2312" w:cs="仿宋_GB2312" w:eastAsia="仿宋_GB2312"/>
                <w:sz w:val="21"/>
                <w:b/>
              </w:rPr>
              <w:t>2.1</w:t>
            </w:r>
            <w:r>
              <w:rPr>
                <w:rFonts w:ascii="仿宋_GB2312" w:hAnsi="仿宋_GB2312" w:cs="仿宋_GB2312" w:eastAsia="仿宋_GB2312"/>
                <w:sz w:val="21"/>
                <w:b/>
              </w:rPr>
              <w:t>交付验收</w:t>
            </w:r>
          </w:p>
          <w:p>
            <w:pPr>
              <w:pStyle w:val="null3"/>
              <w:jc w:val="left"/>
            </w:pPr>
            <w:r>
              <w:rPr>
                <w:rFonts w:ascii="仿宋_GB2312" w:hAnsi="仿宋_GB2312" w:cs="仿宋_GB2312" w:eastAsia="仿宋_GB2312"/>
                <w:sz w:val="21"/>
                <w:b/>
              </w:rPr>
              <w:t>2.1.1</w:t>
            </w:r>
            <w:r>
              <w:rPr>
                <w:rFonts w:ascii="仿宋_GB2312" w:hAnsi="仿宋_GB2312" w:cs="仿宋_GB2312" w:eastAsia="仿宋_GB2312"/>
                <w:sz w:val="21"/>
                <w:b/>
              </w:rPr>
              <w:t>验收条件</w:t>
            </w:r>
          </w:p>
          <w:p>
            <w:pPr>
              <w:pStyle w:val="null3"/>
              <w:ind w:firstLine="420"/>
              <w:jc w:val="left"/>
            </w:pPr>
            <w:r>
              <w:rPr>
                <w:rFonts w:ascii="仿宋_GB2312" w:hAnsi="仿宋_GB2312" w:cs="仿宋_GB2312" w:eastAsia="仿宋_GB2312"/>
                <w:sz w:val="21"/>
              </w:rPr>
              <w:t>服务提供商具备提供机房环境、基础设施、支撑软件、安全保障服务以及本地备份和异地备份的能力。</w:t>
            </w:r>
          </w:p>
          <w:p>
            <w:pPr>
              <w:pStyle w:val="null3"/>
              <w:jc w:val="left"/>
            </w:pPr>
            <w:r>
              <w:rPr>
                <w:rFonts w:ascii="仿宋_GB2312" w:hAnsi="仿宋_GB2312" w:cs="仿宋_GB2312" w:eastAsia="仿宋_GB2312"/>
                <w:sz w:val="21"/>
                <w:b/>
              </w:rPr>
              <w:t>2.1.2</w:t>
            </w:r>
            <w:r>
              <w:rPr>
                <w:rFonts w:ascii="仿宋_GB2312" w:hAnsi="仿宋_GB2312" w:cs="仿宋_GB2312" w:eastAsia="仿宋_GB2312"/>
                <w:sz w:val="21"/>
                <w:b/>
              </w:rPr>
              <w:t>参与方</w:t>
            </w:r>
          </w:p>
          <w:p>
            <w:pPr>
              <w:pStyle w:val="null3"/>
              <w:ind w:firstLine="420"/>
              <w:jc w:val="left"/>
            </w:pPr>
            <w:r>
              <w:rPr>
                <w:rFonts w:ascii="仿宋_GB2312" w:hAnsi="仿宋_GB2312" w:cs="仿宋_GB2312" w:eastAsia="仿宋_GB2312"/>
                <w:sz w:val="21"/>
              </w:rPr>
              <w:t>项目交付验收参与方包括项目单位、服务提供商、监理单位、</w:t>
            </w:r>
            <w:r>
              <w:rPr>
                <w:rFonts w:ascii="仿宋_GB2312" w:hAnsi="仿宋_GB2312" w:cs="仿宋_GB2312" w:eastAsia="仿宋_GB2312"/>
                <w:sz w:val="21"/>
              </w:rPr>
              <w:t>审计单位、</w:t>
            </w:r>
            <w:r>
              <w:rPr>
                <w:rFonts w:ascii="仿宋_GB2312" w:hAnsi="仿宋_GB2312" w:cs="仿宋_GB2312" w:eastAsia="仿宋_GB2312"/>
                <w:sz w:val="21"/>
              </w:rPr>
              <w:t>信息化相关专家。交付验收由项目单位组织。</w:t>
            </w:r>
          </w:p>
          <w:p>
            <w:pPr>
              <w:pStyle w:val="null3"/>
              <w:jc w:val="left"/>
            </w:pPr>
            <w:r>
              <w:rPr>
                <w:rFonts w:ascii="仿宋_GB2312" w:hAnsi="仿宋_GB2312" w:cs="仿宋_GB2312" w:eastAsia="仿宋_GB2312"/>
                <w:sz w:val="21"/>
                <w:b/>
              </w:rPr>
              <w:t>2.1.3</w:t>
            </w:r>
            <w:r>
              <w:rPr>
                <w:rFonts w:ascii="仿宋_GB2312" w:hAnsi="仿宋_GB2312" w:cs="仿宋_GB2312" w:eastAsia="仿宋_GB2312"/>
                <w:sz w:val="21"/>
                <w:b/>
              </w:rPr>
              <w:t>验收流程</w:t>
            </w:r>
          </w:p>
          <w:p>
            <w:pPr>
              <w:pStyle w:val="null3"/>
              <w:ind w:firstLine="420"/>
              <w:jc w:val="left"/>
            </w:pPr>
            <w:r>
              <w:rPr>
                <w:rFonts w:ascii="仿宋_GB2312" w:hAnsi="仿宋_GB2312" w:cs="仿宋_GB2312" w:eastAsia="仿宋_GB2312"/>
                <w:sz w:val="21"/>
              </w:rPr>
              <w:t>服务提供商提交交付验收申请和项目验收文档资料，经项目单位、监理单位审核同意后，由项目单位组织开展验收工作。</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）提交验收申请和验收资料（具体验收内容由甲方和实施单位确定）</w:t>
            </w:r>
          </w:p>
          <w:p>
            <w:pPr>
              <w:pStyle w:val="null3"/>
              <w:jc w:val="center"/>
            </w:pPr>
            <w:r>
              <w:rPr>
                <w:rFonts w:ascii="仿宋_GB2312" w:hAnsi="仿宋_GB2312" w:cs="仿宋_GB2312" w:eastAsia="仿宋_GB2312"/>
                <w:sz w:val="21"/>
              </w:rPr>
              <w:t>验收项目内容资料表</w:t>
            </w:r>
          </w:p>
          <w:tbl>
            <w:tblPr>
              <w:tblBorders>
                <w:top w:val="none" w:color="000000" w:sz="4"/>
                <w:left w:val="none" w:color="000000" w:sz="4"/>
                <w:bottom w:val="none" w:color="000000" w:sz="4"/>
                <w:right w:val="none" w:color="000000" w:sz="4"/>
                <w:insideH w:val="none"/>
                <w:insideV w:val="none"/>
              </w:tblBorders>
            </w:tblPr>
            <w:tblGrid>
              <w:gridCol w:w="202"/>
              <w:gridCol w:w="465"/>
              <w:gridCol w:w="631"/>
              <w:gridCol w:w="643"/>
              <w:gridCol w:w="341"/>
              <w:gridCol w:w="268"/>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序号</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验收项目</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验收内容</w:t>
                  </w:r>
                </w:p>
              </w:tc>
              <w:tc>
                <w:tcPr>
                  <w:tcW w:type="dxa" w:w="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验收标准</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验收结果</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平台功能</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评估政法云平台的功能是否满足用户需求</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所有功能正常，符合用户需求</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技术支持</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评估政法云平台的技术支持能力</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技术支持响应迅速，问题得到有效解决</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安全性</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评估政法云平台的安全性，包括数据加密、权限管理等</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安全措施到位，无安全隐患</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业务流程</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评估政法云平台的业务流程是否支持政府部门的业务需求</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业务流程顺畅，满足政府部门需求</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云主机技术指标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CPU性能、内存、磁盘空间等是否满足要求</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性能指标达标，满足政务需求</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物理服务器技术指标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CPU性能、内存、磁盘空间等是否满足要求</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性能指标达标，设备稳定运行</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网络性能</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网络的稳定性、速度和延迟是否满足政务需求</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网络性能良好，满足政务需求</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灾备与恢复</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政法云平台的灾备和恢复能力是否达标</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灾备措施完善，数据可快速恢复</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文档与培训</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提供的文档是否完整，培训是否充分</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文档齐全，培训到位</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）审核文档资料</w:t>
            </w:r>
          </w:p>
          <w:p>
            <w:pPr>
              <w:pStyle w:val="null3"/>
              <w:ind w:firstLine="420"/>
              <w:jc w:val="left"/>
            </w:pPr>
            <w:r>
              <w:rPr>
                <w:rFonts w:ascii="仿宋_GB2312" w:hAnsi="仿宋_GB2312" w:cs="仿宋_GB2312" w:eastAsia="仿宋_GB2312"/>
                <w:sz w:val="21"/>
              </w:rPr>
              <w:t>监理单位对交付验收申请及相关文档进行审核后，对存疑地方由监理单位开具《监理意见单》，要求服务提供商整改后重新报审，直至审核通过，监理单位协助项目单位组织交付验收。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）验收会议准备</w:t>
            </w:r>
          </w:p>
          <w:p>
            <w:pPr>
              <w:pStyle w:val="null3"/>
              <w:ind w:firstLine="420"/>
              <w:jc w:val="left"/>
            </w:pPr>
            <w:r>
              <w:rPr>
                <w:rFonts w:ascii="仿宋_GB2312" w:hAnsi="仿宋_GB2312" w:cs="仿宋_GB2312" w:eastAsia="仿宋_GB2312"/>
                <w:sz w:val="21"/>
              </w:rPr>
              <w:t>经项目单位、监理单位同意后，由项目单位组织终验专家评审会。专家人数不少于</w:t>
            </w:r>
            <w:r>
              <w:rPr>
                <w:rFonts w:ascii="仿宋_GB2312" w:hAnsi="仿宋_GB2312" w:cs="仿宋_GB2312" w:eastAsia="仿宋_GB2312"/>
                <w:sz w:val="21"/>
              </w:rPr>
              <w:t>5</w:t>
            </w:r>
            <w:r>
              <w:rPr>
                <w:rFonts w:ascii="仿宋_GB2312" w:hAnsi="仿宋_GB2312" w:cs="仿宋_GB2312" w:eastAsia="仿宋_GB2312"/>
                <w:sz w:val="21"/>
              </w:rPr>
              <w:t>人单数，组长由专家组推选产生。</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）召开交付验收会议</w:t>
            </w:r>
          </w:p>
          <w:p>
            <w:pPr>
              <w:pStyle w:val="null3"/>
              <w:ind w:firstLine="420"/>
              <w:jc w:val="left"/>
            </w:pPr>
            <w:r>
              <w:rPr>
                <w:rFonts w:ascii="仿宋_GB2312" w:hAnsi="仿宋_GB2312" w:cs="仿宋_GB2312" w:eastAsia="仿宋_GB2312"/>
                <w:sz w:val="21"/>
              </w:rPr>
              <w:t>项目交付验收会的主要议程包括：</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项目单位介绍项目完成情况；</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服务提供商汇总项目</w:t>
            </w:r>
            <w:r>
              <w:rPr>
                <w:rFonts w:ascii="仿宋_GB2312" w:hAnsi="仿宋_GB2312" w:cs="仿宋_GB2312" w:eastAsia="仿宋_GB2312"/>
                <w:sz w:val="21"/>
              </w:rPr>
              <w:t>实施</w:t>
            </w:r>
            <w:r>
              <w:rPr>
                <w:rFonts w:ascii="仿宋_GB2312" w:hAnsi="仿宋_GB2312" w:cs="仿宋_GB2312" w:eastAsia="仿宋_GB2312"/>
                <w:sz w:val="21"/>
              </w:rPr>
              <w:t>情况；</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监理单位作监理报告；</w:t>
            </w:r>
          </w:p>
          <w:p>
            <w:pPr>
              <w:pStyle w:val="null3"/>
              <w:ind w:firstLine="420"/>
              <w:jc w:val="left"/>
            </w:pPr>
            <w:r>
              <w:rPr>
                <w:rFonts w:ascii="仿宋_GB2312" w:hAnsi="仿宋_GB2312" w:cs="仿宋_GB2312" w:eastAsia="仿宋_GB2312"/>
                <w:sz w:val="21"/>
              </w:rPr>
              <w:t>④审计单位作审计报告；</w:t>
            </w:r>
          </w:p>
          <w:p>
            <w:pPr>
              <w:pStyle w:val="null3"/>
              <w:ind w:firstLine="420"/>
              <w:jc w:val="left"/>
            </w:pPr>
            <w:r>
              <w:rPr>
                <w:rFonts w:ascii="仿宋_GB2312" w:hAnsi="仿宋_GB2312" w:cs="仿宋_GB2312" w:eastAsia="仿宋_GB2312"/>
                <w:sz w:val="21"/>
              </w:rPr>
              <w:t>⑤</w:t>
            </w:r>
            <w:r>
              <w:rPr>
                <w:rFonts w:ascii="仿宋_GB2312" w:hAnsi="仿宋_GB2312" w:cs="仿宋_GB2312" w:eastAsia="仿宋_GB2312"/>
                <w:sz w:val="21"/>
              </w:rPr>
              <w:t>专家组</w:t>
            </w:r>
            <w:r>
              <w:rPr>
                <w:rFonts w:ascii="仿宋_GB2312" w:hAnsi="仿宋_GB2312" w:cs="仿宋_GB2312" w:eastAsia="仿宋_GB2312"/>
                <w:sz w:val="21"/>
              </w:rPr>
              <w:t>进行质询讨论；</w:t>
            </w:r>
          </w:p>
          <w:p>
            <w:pPr>
              <w:pStyle w:val="null3"/>
              <w:ind w:firstLine="420"/>
              <w:jc w:val="left"/>
            </w:pPr>
            <w:r>
              <w:rPr>
                <w:rFonts w:ascii="仿宋_GB2312" w:hAnsi="仿宋_GB2312" w:cs="仿宋_GB2312" w:eastAsia="仿宋_GB2312"/>
                <w:sz w:val="21"/>
              </w:rPr>
              <w:t>⑥</w:t>
            </w:r>
            <w:r>
              <w:rPr>
                <w:rFonts w:ascii="仿宋_GB2312" w:hAnsi="仿宋_GB2312" w:cs="仿宋_GB2312" w:eastAsia="仿宋_GB2312"/>
                <w:sz w:val="21"/>
              </w:rPr>
              <w:t>形成交付验收意见；</w:t>
            </w:r>
          </w:p>
          <w:p>
            <w:pPr>
              <w:pStyle w:val="null3"/>
              <w:ind w:firstLine="420"/>
              <w:jc w:val="left"/>
            </w:pPr>
            <w:r>
              <w:rPr>
                <w:rFonts w:ascii="仿宋_GB2312" w:hAnsi="仿宋_GB2312" w:cs="仿宋_GB2312" w:eastAsia="仿宋_GB2312"/>
                <w:sz w:val="21"/>
              </w:rPr>
              <w:t>⑦</w:t>
            </w:r>
            <w:r>
              <w:rPr>
                <w:rFonts w:ascii="仿宋_GB2312" w:hAnsi="仿宋_GB2312" w:cs="仿宋_GB2312" w:eastAsia="仿宋_GB2312"/>
                <w:sz w:val="21"/>
              </w:rPr>
              <w:t>项目单位作会议总结。</w:t>
            </w:r>
          </w:p>
          <w:p>
            <w:pPr>
              <w:pStyle w:val="null3"/>
              <w:jc w:val="left"/>
            </w:pPr>
            <w:r>
              <w:rPr>
                <w:rFonts w:ascii="仿宋_GB2312" w:hAnsi="仿宋_GB2312" w:cs="仿宋_GB2312" w:eastAsia="仿宋_GB2312"/>
                <w:sz w:val="21"/>
                <w:b/>
              </w:rPr>
              <w:t>2.1.4</w:t>
            </w:r>
            <w:r>
              <w:rPr>
                <w:rFonts w:ascii="仿宋_GB2312" w:hAnsi="仿宋_GB2312" w:cs="仿宋_GB2312" w:eastAsia="仿宋_GB2312"/>
                <w:sz w:val="21"/>
                <w:b/>
              </w:rPr>
              <w:t>验收交付清单</w:t>
            </w:r>
          </w:p>
          <w:p>
            <w:pPr>
              <w:pStyle w:val="null3"/>
              <w:ind w:firstLine="420"/>
              <w:jc w:val="left"/>
            </w:pPr>
            <w:r>
              <w:rPr>
                <w:rFonts w:ascii="仿宋_GB2312" w:hAnsi="仿宋_GB2312" w:cs="仿宋_GB2312" w:eastAsia="仿宋_GB2312"/>
                <w:sz w:val="21"/>
              </w:rPr>
              <w:t>验收交付清单包括但不限于：</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服务提供商运营总结报告；</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监理单位监理总结报告；</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3）审计单位审计报告；</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）项目交付验收意见；</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）交付验收问题整改报告。</w:t>
            </w:r>
          </w:p>
          <w:p>
            <w:pPr>
              <w:pStyle w:val="null3"/>
              <w:jc w:val="left"/>
            </w:pPr>
            <w:r>
              <w:rPr>
                <w:rFonts w:ascii="仿宋_GB2312" w:hAnsi="仿宋_GB2312" w:cs="仿宋_GB2312" w:eastAsia="仿宋_GB2312"/>
                <w:sz w:val="21"/>
                <w:b/>
              </w:rPr>
              <w:t>2.2</w:t>
            </w:r>
            <w:r>
              <w:rPr>
                <w:rFonts w:ascii="仿宋_GB2312" w:hAnsi="仿宋_GB2312" w:cs="仿宋_GB2312" w:eastAsia="仿宋_GB2312"/>
                <w:sz w:val="21"/>
                <w:b/>
              </w:rPr>
              <w:t>最终验收</w:t>
            </w:r>
          </w:p>
          <w:p>
            <w:pPr>
              <w:pStyle w:val="null3"/>
              <w:jc w:val="left"/>
            </w:pPr>
            <w:r>
              <w:rPr>
                <w:rFonts w:ascii="仿宋_GB2312" w:hAnsi="仿宋_GB2312" w:cs="仿宋_GB2312" w:eastAsia="仿宋_GB2312"/>
                <w:sz w:val="21"/>
                <w:b/>
              </w:rPr>
              <w:t>2.2.1</w:t>
            </w:r>
            <w:r>
              <w:rPr>
                <w:rFonts w:ascii="仿宋_GB2312" w:hAnsi="仿宋_GB2312" w:cs="仿宋_GB2312" w:eastAsia="仿宋_GB2312"/>
                <w:sz w:val="21"/>
                <w:b/>
              </w:rPr>
              <w:t>验收条件</w:t>
            </w:r>
          </w:p>
          <w:p>
            <w:pPr>
              <w:pStyle w:val="null3"/>
              <w:ind w:firstLine="420"/>
              <w:jc w:val="left"/>
            </w:pPr>
            <w:r>
              <w:rPr>
                <w:rFonts w:ascii="仿宋_GB2312" w:hAnsi="仿宋_GB2312" w:cs="仿宋_GB2312" w:eastAsia="仿宋_GB2312"/>
                <w:sz w:val="21"/>
              </w:rPr>
              <w:t>服务提供商对交付验收遗留问题整改，完成所有服务内容、第三方审计服务、网络等级保护及密码安全评估后，即可组织最终验收。</w:t>
            </w:r>
          </w:p>
          <w:p>
            <w:pPr>
              <w:pStyle w:val="null3"/>
              <w:jc w:val="left"/>
            </w:pPr>
            <w:r>
              <w:rPr>
                <w:rFonts w:ascii="仿宋_GB2312" w:hAnsi="仿宋_GB2312" w:cs="仿宋_GB2312" w:eastAsia="仿宋_GB2312"/>
                <w:sz w:val="21"/>
                <w:b/>
              </w:rPr>
              <w:t>2.2.2</w:t>
            </w:r>
            <w:r>
              <w:rPr>
                <w:rFonts w:ascii="仿宋_GB2312" w:hAnsi="仿宋_GB2312" w:cs="仿宋_GB2312" w:eastAsia="仿宋_GB2312"/>
                <w:sz w:val="21"/>
                <w:b/>
              </w:rPr>
              <w:t>参与方</w:t>
            </w:r>
          </w:p>
          <w:p>
            <w:pPr>
              <w:pStyle w:val="null3"/>
              <w:ind w:firstLine="420"/>
              <w:jc w:val="left"/>
            </w:pPr>
            <w:r>
              <w:rPr>
                <w:rFonts w:ascii="仿宋_GB2312" w:hAnsi="仿宋_GB2312" w:cs="仿宋_GB2312" w:eastAsia="仿宋_GB2312"/>
                <w:sz w:val="21"/>
              </w:rPr>
              <w:t>项目最终验收参与方包括项目单位、服务提供商、监理单位、</w:t>
            </w:r>
            <w:r>
              <w:rPr>
                <w:rFonts w:ascii="仿宋_GB2312" w:hAnsi="仿宋_GB2312" w:cs="仿宋_GB2312" w:eastAsia="仿宋_GB2312"/>
                <w:sz w:val="21"/>
              </w:rPr>
              <w:t>审计单位、</w:t>
            </w:r>
            <w:r>
              <w:rPr>
                <w:rFonts w:ascii="仿宋_GB2312" w:hAnsi="仿宋_GB2312" w:cs="仿宋_GB2312" w:eastAsia="仿宋_GB2312"/>
                <w:sz w:val="21"/>
              </w:rPr>
              <w:t>信息化相关专家。最终验收由项目单位组织。</w:t>
            </w:r>
          </w:p>
          <w:p>
            <w:pPr>
              <w:pStyle w:val="null3"/>
              <w:jc w:val="left"/>
            </w:pPr>
            <w:r>
              <w:rPr>
                <w:rFonts w:ascii="仿宋_GB2312" w:hAnsi="仿宋_GB2312" w:cs="仿宋_GB2312" w:eastAsia="仿宋_GB2312"/>
                <w:sz w:val="21"/>
                <w:b/>
              </w:rPr>
              <w:t>2.2.3</w:t>
            </w:r>
            <w:r>
              <w:rPr>
                <w:rFonts w:ascii="仿宋_GB2312" w:hAnsi="仿宋_GB2312" w:cs="仿宋_GB2312" w:eastAsia="仿宋_GB2312"/>
                <w:sz w:val="21"/>
                <w:b/>
              </w:rPr>
              <w:t>验收流程</w:t>
            </w:r>
          </w:p>
          <w:p>
            <w:pPr>
              <w:pStyle w:val="null3"/>
              <w:ind w:firstLine="420"/>
              <w:jc w:val="left"/>
            </w:pPr>
            <w:r>
              <w:rPr>
                <w:rFonts w:ascii="仿宋_GB2312" w:hAnsi="仿宋_GB2312" w:cs="仿宋_GB2312" w:eastAsia="仿宋_GB2312"/>
                <w:sz w:val="21"/>
              </w:rPr>
              <w:t>服务提供单位提交终验申请和项目验收文档资料，经项目单位、监理单位</w:t>
            </w:r>
            <w:r>
              <w:rPr>
                <w:rFonts w:ascii="仿宋_GB2312" w:hAnsi="仿宋_GB2312" w:cs="仿宋_GB2312" w:eastAsia="仿宋_GB2312"/>
                <w:sz w:val="21"/>
              </w:rPr>
              <w:t>审计单位</w:t>
            </w:r>
            <w:r>
              <w:rPr>
                <w:rFonts w:ascii="仿宋_GB2312" w:hAnsi="仿宋_GB2312" w:cs="仿宋_GB2312" w:eastAsia="仿宋_GB2312"/>
                <w:sz w:val="21"/>
              </w:rPr>
              <w:t>审核同意后，由项目单位组织开展验收工作。</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）提交验收申请和验收资料</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）验收会议准备</w:t>
            </w:r>
          </w:p>
          <w:p>
            <w:pPr>
              <w:pStyle w:val="null3"/>
              <w:ind w:firstLine="420"/>
              <w:jc w:val="left"/>
            </w:pPr>
            <w:r>
              <w:rPr>
                <w:rFonts w:ascii="仿宋_GB2312" w:hAnsi="仿宋_GB2312" w:cs="仿宋_GB2312" w:eastAsia="仿宋_GB2312"/>
                <w:sz w:val="21"/>
              </w:rPr>
              <w:t>经项目单位、监理单位同意后，由项目单位组织终验专家评审会。专家人数不少于</w:t>
            </w:r>
            <w:r>
              <w:rPr>
                <w:rFonts w:ascii="仿宋_GB2312" w:hAnsi="仿宋_GB2312" w:cs="仿宋_GB2312" w:eastAsia="仿宋_GB2312"/>
                <w:sz w:val="21"/>
              </w:rPr>
              <w:t>5</w:t>
            </w:r>
            <w:r>
              <w:rPr>
                <w:rFonts w:ascii="仿宋_GB2312" w:hAnsi="仿宋_GB2312" w:cs="仿宋_GB2312" w:eastAsia="仿宋_GB2312"/>
                <w:sz w:val="21"/>
              </w:rPr>
              <w:t>人单数，组长由专家组推选产生。</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）召开验收会议</w:t>
            </w:r>
          </w:p>
          <w:p>
            <w:pPr>
              <w:pStyle w:val="null3"/>
              <w:ind w:firstLine="420"/>
              <w:jc w:val="left"/>
            </w:pPr>
            <w:r>
              <w:rPr>
                <w:rFonts w:ascii="仿宋_GB2312" w:hAnsi="仿宋_GB2312" w:cs="仿宋_GB2312" w:eastAsia="仿宋_GB2312"/>
                <w:sz w:val="21"/>
              </w:rPr>
              <w:t>项目最终验收会的主要议程包括：</w:t>
            </w:r>
          </w:p>
          <w:p>
            <w:pPr>
              <w:pStyle w:val="null3"/>
              <w:ind w:firstLine="420"/>
              <w:jc w:val="left"/>
            </w:pPr>
            <w:r>
              <w:rPr>
                <w:rFonts w:ascii="仿宋_GB2312" w:hAnsi="仿宋_GB2312" w:cs="仿宋_GB2312" w:eastAsia="仿宋_GB2312"/>
                <w:sz w:val="21"/>
              </w:rPr>
              <w:t>①</w:t>
            </w:r>
            <w:r>
              <w:rPr>
                <w:rFonts w:ascii="仿宋_GB2312" w:hAnsi="仿宋_GB2312" w:cs="仿宋_GB2312" w:eastAsia="仿宋_GB2312"/>
                <w:sz w:val="21"/>
              </w:rPr>
              <w:t>项目单位介绍项目完成情况和初步验收遗留问题整改情况；</w:t>
            </w:r>
          </w:p>
          <w:p>
            <w:pPr>
              <w:pStyle w:val="null3"/>
              <w:ind w:firstLine="420"/>
              <w:jc w:val="left"/>
            </w:pPr>
            <w:r>
              <w:rPr>
                <w:rFonts w:ascii="仿宋_GB2312" w:hAnsi="仿宋_GB2312" w:cs="仿宋_GB2312" w:eastAsia="仿宋_GB2312"/>
                <w:sz w:val="21"/>
              </w:rPr>
              <w:t>②</w:t>
            </w:r>
            <w:r>
              <w:rPr>
                <w:rFonts w:ascii="仿宋_GB2312" w:hAnsi="仿宋_GB2312" w:cs="仿宋_GB2312" w:eastAsia="仿宋_GB2312"/>
                <w:sz w:val="21"/>
              </w:rPr>
              <w:t>服务提供商汇报项目运营情况；</w:t>
            </w:r>
          </w:p>
          <w:p>
            <w:pPr>
              <w:pStyle w:val="null3"/>
              <w:ind w:firstLine="420"/>
              <w:jc w:val="left"/>
            </w:pPr>
            <w:r>
              <w:rPr>
                <w:rFonts w:ascii="仿宋_GB2312" w:hAnsi="仿宋_GB2312" w:cs="仿宋_GB2312" w:eastAsia="仿宋_GB2312"/>
                <w:sz w:val="21"/>
              </w:rPr>
              <w:t>③</w:t>
            </w:r>
            <w:r>
              <w:rPr>
                <w:rFonts w:ascii="仿宋_GB2312" w:hAnsi="仿宋_GB2312" w:cs="仿宋_GB2312" w:eastAsia="仿宋_GB2312"/>
                <w:sz w:val="21"/>
              </w:rPr>
              <w:t>监理单位汇报监理工作情况（包括运营质量、完成情况以及运营中发现的主要问题和解决措施等）；</w:t>
            </w:r>
          </w:p>
          <w:p>
            <w:pPr>
              <w:pStyle w:val="null3"/>
              <w:ind w:firstLine="420"/>
              <w:jc w:val="left"/>
            </w:pPr>
            <w:r>
              <w:rPr>
                <w:rFonts w:ascii="仿宋_GB2312" w:hAnsi="仿宋_GB2312" w:cs="仿宋_GB2312" w:eastAsia="仿宋_GB2312"/>
                <w:sz w:val="21"/>
              </w:rPr>
              <w:t>④审计</w:t>
            </w:r>
            <w:r>
              <w:rPr>
                <w:rFonts w:ascii="仿宋_GB2312" w:hAnsi="仿宋_GB2312" w:cs="仿宋_GB2312" w:eastAsia="仿宋_GB2312"/>
                <w:sz w:val="21"/>
              </w:rPr>
              <w:t>单位汇报</w:t>
            </w:r>
            <w:r>
              <w:rPr>
                <w:rFonts w:ascii="仿宋_GB2312" w:hAnsi="仿宋_GB2312" w:cs="仿宋_GB2312" w:eastAsia="仿宋_GB2312"/>
                <w:sz w:val="21"/>
              </w:rPr>
              <w:t>审计</w:t>
            </w:r>
            <w:r>
              <w:rPr>
                <w:rFonts w:ascii="仿宋_GB2312" w:hAnsi="仿宋_GB2312" w:cs="仿宋_GB2312" w:eastAsia="仿宋_GB2312"/>
                <w:sz w:val="21"/>
              </w:rPr>
              <w:t>工作情况；</w:t>
            </w:r>
          </w:p>
          <w:p>
            <w:pPr>
              <w:pStyle w:val="null3"/>
              <w:ind w:firstLine="420"/>
              <w:jc w:val="left"/>
            </w:pPr>
            <w:r>
              <w:rPr>
                <w:rFonts w:ascii="仿宋_GB2312" w:hAnsi="仿宋_GB2312" w:cs="仿宋_GB2312" w:eastAsia="仿宋_GB2312"/>
                <w:sz w:val="21"/>
              </w:rPr>
              <w:t>⑤</w:t>
            </w:r>
            <w:r>
              <w:rPr>
                <w:rFonts w:ascii="仿宋_GB2312" w:hAnsi="仿宋_GB2312" w:cs="仿宋_GB2312" w:eastAsia="仿宋_GB2312"/>
                <w:sz w:val="21"/>
              </w:rPr>
              <w:t>现场查验、目标验收、文档审阅；</w:t>
            </w:r>
          </w:p>
          <w:p>
            <w:pPr>
              <w:pStyle w:val="null3"/>
              <w:ind w:firstLine="420"/>
              <w:jc w:val="left"/>
            </w:pPr>
            <w:r>
              <w:rPr>
                <w:rFonts w:ascii="仿宋_GB2312" w:hAnsi="仿宋_GB2312" w:cs="仿宋_GB2312" w:eastAsia="仿宋_GB2312"/>
                <w:sz w:val="21"/>
              </w:rPr>
              <w:t>⑥</w:t>
            </w:r>
            <w:r>
              <w:rPr>
                <w:rFonts w:ascii="仿宋_GB2312" w:hAnsi="仿宋_GB2312" w:cs="仿宋_GB2312" w:eastAsia="仿宋_GB2312"/>
                <w:sz w:val="21"/>
              </w:rPr>
              <w:t>专家质询；</w:t>
            </w:r>
          </w:p>
          <w:p>
            <w:pPr>
              <w:pStyle w:val="null3"/>
              <w:ind w:firstLine="420"/>
              <w:jc w:val="left"/>
            </w:pPr>
            <w:r>
              <w:rPr>
                <w:rFonts w:ascii="仿宋_GB2312" w:hAnsi="仿宋_GB2312" w:cs="仿宋_GB2312" w:eastAsia="仿宋_GB2312"/>
                <w:sz w:val="21"/>
              </w:rPr>
              <w:t>⑦</w:t>
            </w:r>
            <w:r>
              <w:rPr>
                <w:rFonts w:ascii="仿宋_GB2312" w:hAnsi="仿宋_GB2312" w:cs="仿宋_GB2312" w:eastAsia="仿宋_GB2312"/>
                <w:sz w:val="21"/>
              </w:rPr>
              <w:t>专家组讨论形成终验意见。</w:t>
            </w:r>
          </w:p>
          <w:p>
            <w:pPr>
              <w:pStyle w:val="null3"/>
              <w:jc w:val="left"/>
            </w:pPr>
            <w:r>
              <w:rPr>
                <w:rFonts w:ascii="仿宋_GB2312" w:hAnsi="仿宋_GB2312" w:cs="仿宋_GB2312" w:eastAsia="仿宋_GB2312"/>
                <w:sz w:val="21"/>
                <w:b/>
              </w:rPr>
              <w:t>2.2.4</w:t>
            </w:r>
            <w:r>
              <w:rPr>
                <w:rFonts w:ascii="仿宋_GB2312" w:hAnsi="仿宋_GB2312" w:cs="仿宋_GB2312" w:eastAsia="仿宋_GB2312"/>
                <w:sz w:val="21"/>
                <w:b/>
              </w:rPr>
              <w:t>验收交付清单</w:t>
            </w:r>
          </w:p>
          <w:p>
            <w:pPr>
              <w:pStyle w:val="null3"/>
              <w:ind w:firstLine="420"/>
              <w:jc w:val="left"/>
            </w:pPr>
            <w:r>
              <w:rPr>
                <w:rFonts w:ascii="仿宋_GB2312" w:hAnsi="仿宋_GB2312" w:cs="仿宋_GB2312" w:eastAsia="仿宋_GB2312"/>
                <w:sz w:val="21"/>
              </w:rPr>
              <w:t>最终验收交付清单包括但不限于：</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服务提供单位运营总结报告；</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监理单位监理总结报告；</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3）审计</w:t>
            </w:r>
            <w:r>
              <w:rPr>
                <w:rFonts w:ascii="仿宋_GB2312" w:hAnsi="仿宋_GB2312" w:cs="仿宋_GB2312" w:eastAsia="仿宋_GB2312"/>
                <w:sz w:val="21"/>
              </w:rPr>
              <w:t>单位</w:t>
            </w:r>
            <w:r>
              <w:rPr>
                <w:rFonts w:ascii="仿宋_GB2312" w:hAnsi="仿宋_GB2312" w:cs="仿宋_GB2312" w:eastAsia="仿宋_GB2312"/>
                <w:sz w:val="21"/>
              </w:rPr>
              <w:t>审计总结报告；</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）项目最终验收意见及验收现场查验记录表；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最终验收问题整改报告。</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本项目服务周期7个月，合同签订后30日内，需满足交付验收条件。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根据招标文件服务内容，按照合同约定执行。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合同签订后，中标人递交合同总额5%的履约保函及拟支付金额等额的符合采购人财务管理要求的相应发票，采购人确认后启动支付流程，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截止前30日，中标人可发起终验申请。项目最终验收通过后，根据服务单价、服务内容数量以及服务考核结果，综合确定支付金额，在合同总金额以内据实结算，支付金额约占合同总金额的60%。由中标人书面提出支付申请函及拟支付金额等额的符合采购人财务管理要求的相应发票，采购人确认后启动尾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根据招标文件服务内容，按照合同约定执行。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1、因系统限制，本项目支付方式以此处为准： 第一次付款：合同签订后，中标人递交合同总额5%的履约保函及拟支付金额等额的符合采购人财务管理要求的相应发票，采购人确认后启动支付流程，达到付款条件起 30 日内，支付合同总金额的40%。 第二次付款：服务期截止前30日，中标人可发起终验申请。项目最终验收通过后，根据服务单价、服务内容数量以及服务考核结果，综合确定支付金额，在合同总金额以内据实结算，支付金额约占合同总金额的60%。由中标人书面提出支付申请函及拟支付金额等额的符合采购人财务管理要求的相应发票，采购人确认后启动尾款支付流程，达到付款条件起 30 日内，支付项目尾款。 2、中标单位领取中标通知书时，提交纸质投标文件正本壹份、副本贰份、电子版壹份（U盘壹份注明单位名称）编辑目录和页码，内容和通过电子化交易平台实施的政府采购项目提交的投标文件一致。 纸质投标文件正副本分别胶装。 3、保证金的退还：自中标通知书发出之日起5个工作日内退还未中标人的投标保证金,自采购合同签订之日起5个工作日内退还中标人的投标保证金。 4、招标文件要求签字或盖章之处，非法人单位均参照执行。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提供2024年11月至今已缴存的至少一个月的社会保障资金缴存单据或社保机构开具的社会保险参保缴费情况证明，依法不需要缴纳社会保障资金的单位应提供相关证明材料。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 技术指标应答表.docx 投标方案说明.docx 中小企业声明函 保证金交纳凭证保函.docx 商务条款响应说明.docx 分项报价表.docx 投标函 残疾人福利性单位声明函 标的清单 投标人资格证明文件.docx 投标文件封面 报价表.docx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技术指标应答表.docx 投标方案说明.docx 中小企业声明函 保证金交纳凭证保函.docx 商务条款响应说明.docx 分项报价表.docx 投标函 残疾人福利性单位声明函 标的清单 投标人资格证明文件.docx 投标文件封面 报价表.docx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技术指标应答表.docx 投标方案说明.docx 中小企业声明函 保证金交纳凭证保函.docx 商务条款响应说明.docx 分项报价表.docx 投标函 残疾人福利性单位声明函 标的清单 投标人资格证明文件.docx 投标文件封面 报价表.docx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项目需求理解及重难点分析</w:t>
            </w:r>
          </w:p>
        </w:tc>
        <w:tc>
          <w:tcPr>
            <w:tcW w:type="dxa" w:w="2492"/>
          </w:tcPr>
          <w:p>
            <w:pPr>
              <w:pStyle w:val="null3"/>
            </w:pPr>
            <w:r>
              <w:rPr>
                <w:rFonts w:ascii="仿宋_GB2312" w:hAnsi="仿宋_GB2312" w:cs="仿宋_GB2312" w:eastAsia="仿宋_GB2312"/>
              </w:rPr>
              <w:t>根据投标人针对项目的需求理解及重难点分析进行评审，内容至少包含：①项目需求理解、实施目的；②重难点分析及应对措施。 评审依据：对项目现状和需求分析内容详实、项目现状与各需求之间关联关系的了解深入、对重点难点的把握精准、应对措施合理有效，完全符合项目实际需求计4分（单项内容分值为2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投标人针对项目的总体服务方案进行评审，内容至少包含：①服务业务框架；②服务实施框架、③服务组织框架、④政法云总体服务架构（包括技术、网络、安全架构）、⑤政法云迁移方案、⑥备份服务提升方案。 评审依据：方案可行性、针对性强，选取的产品、平台和工具使用方便、易于维护，安全可扩充，全面符合用户的使用要求，计12分（单项内容分值为2分）；方案内容每有一处瑕疵扣0.5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评审依据：技术指标响应完全满足或优于招标文件要求的计16分；其中“▲”项为重要技术指标，每负偏离一项扣2分；非“▲”项每负偏离一项扣0.5分，扣完为止。 注：“▲”项须按要求提供详细的技术方案，方案内容应完全满足采购需求，具有可行性、针对性。</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服务指标响应方案</w:t>
            </w:r>
          </w:p>
        </w:tc>
        <w:tc>
          <w:tcPr>
            <w:tcW w:type="dxa" w:w="2492"/>
          </w:tcPr>
          <w:p>
            <w:pPr>
              <w:pStyle w:val="null3"/>
            </w:pPr>
            <w:r>
              <w:rPr>
                <w:rFonts w:ascii="仿宋_GB2312" w:hAnsi="仿宋_GB2312" w:cs="仿宋_GB2312" w:eastAsia="仿宋_GB2312"/>
              </w:rPr>
              <w:t>根据投标人针对项目的服务指标响应方案进行评审，内容至少包含：①机房环境服务；②基础设施服务；③支撑软件服务；④运维能力服务；⑤运营能力服务；⑥安全保障服务；⑦网络等级保护测评服务；⑧密码应用安全测评服务。 评审依据：提供详细的实施方案，方案具有可行性、针对性，完全满足采购需求，计24分（单项内容分值为3分）；方案内容每有一处瑕疵扣1分，单项内容分值扣完为止，未提供不得分。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投标人针对本项目提供完善的实施方案，内容至少包含：①实施计划；②交付成果及验收计划；③培训计划；④响应时限、解决问题的能力；⑤紧急故障处理及风险应对保障措施。 评审依据：方案具有可行性、针对性，完全满足采购需求，计15分（单项内容分值为3分）；方案内容每有一处瑕疵扣1分，单项内容分值扣完为止，未提供不得分。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本项目配备的项目经理作为项目负责人，具有高级信息系统项目管理师证书及8年以上的工作经验，得3分。 注：须同时提供相关证明材料及拟派项目经理在本单位的任职证明（须加盖单位公章），未提供或提供不全不得分。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供应商针对本项目提供驻场服务团队9人（除项目经理），根据项目团队人员配置进行赋分: 1、驻场服务团队9人及以上得2分； 2、团队人员(除项目经理):具有计算机软件资格考试网络工程师证书或信息安全工程师证书或系统集成项目管理工程师证书或与本项目相关中级及以上职称。每提供1人证书得1.5分，最多得6分。 注:1.相同人员不重复计分，须同时提供以上人员相关证书及劳动关系证明，未提供或提供不全不得分。 2.按照具备以上资质之一的人员数量进行计算，一人多证者仅计算一次，不重复计分；同一类证书只按类计取一次分值。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投标人提供2022年1月1日（以合同签订日期为准）至今类似服务项目业绩，每份业绩计2分，共计8分； 注：须提供合同复印件，复印件中合同主要内容、合同签订时间等内容应清晰可辨。</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详见附件：技术指标应答表.docx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