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EF02B">
      <w:pPr>
        <w:spacing w:before="62" w:line="220" w:lineRule="auto"/>
        <w:ind w:left="2893"/>
        <w:outlineLvl w:val="1"/>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7"/>
          <w:sz w:val="32"/>
          <w:szCs w:val="32"/>
        </w:rPr>
        <w:t>第八章 拟签订采购合同文本</w:t>
      </w:r>
    </w:p>
    <w:p w14:paraId="1A8B1386">
      <w:pPr>
        <w:spacing w:line="480" w:lineRule="auto"/>
        <w:ind w:firstLine="480" w:firstLineChars="200"/>
        <w:jc w:val="center"/>
        <w:rPr>
          <w:rFonts w:hint="eastAsia" w:ascii="仿宋_GB2312" w:hAnsi="仿宋_GB2312" w:eastAsia="仿宋_GB2312" w:cs="仿宋_GB2312"/>
        </w:rPr>
      </w:pPr>
      <w:r>
        <w:rPr>
          <w:rFonts w:hint="eastAsia" w:ascii="仿宋_GB2312" w:hAnsi="仿宋_GB2312" w:eastAsia="仿宋_GB2312" w:cs="仿宋_GB2312"/>
          <w:sz w:val="24"/>
          <w:szCs w:val="24"/>
        </w:rPr>
        <w:t>（本合同为合同样稿，最终稿由双方协商后确定）</w:t>
      </w:r>
    </w:p>
    <w:p w14:paraId="6E808D67">
      <w:pPr>
        <w:autoSpaceDE w:val="0"/>
        <w:autoSpaceDN w:val="0"/>
        <w:adjustRightInd w:val="0"/>
        <w:snapToGrid w:val="0"/>
        <w:spacing w:line="360" w:lineRule="auto"/>
        <w:ind w:firstLine="470" w:firstLineChars="196"/>
        <w:rPr>
          <w:rFonts w:hint="eastAsia" w:ascii="仿宋_GB2312" w:hAnsi="仿宋_GB2312" w:eastAsia="仿宋_GB2312" w:cs="仿宋_GB2312"/>
          <w:sz w:val="24"/>
          <w:szCs w:val="24"/>
          <w:lang w:val="zh-CN"/>
        </w:rPr>
      </w:pPr>
      <w:bookmarkStart w:id="0" w:name="_Hlt503233640"/>
      <w:bookmarkEnd w:id="0"/>
      <w:r>
        <w:rPr>
          <w:rFonts w:hint="eastAsia" w:ascii="仿宋_GB2312" w:hAnsi="仿宋_GB2312" w:eastAsia="仿宋_GB2312" w:cs="仿宋_GB2312"/>
          <w:sz w:val="24"/>
          <w:szCs w:val="24"/>
          <w:u w:val="single"/>
          <w:lang w:val="zh-CN"/>
        </w:rPr>
        <w:t xml:space="preserve">   （</w:t>
      </w:r>
      <w:r>
        <w:rPr>
          <w:rFonts w:hint="eastAsia" w:ascii="仿宋_GB2312" w:hAnsi="仿宋_GB2312" w:eastAsia="仿宋_GB2312" w:cs="仿宋_GB2312"/>
          <w:sz w:val="24"/>
          <w:szCs w:val="24"/>
          <w:u w:val="single"/>
        </w:rPr>
        <w:t>项目名称</w:t>
      </w:r>
      <w:r>
        <w:rPr>
          <w:rFonts w:hint="eastAsia" w:ascii="仿宋_GB2312" w:hAnsi="仿宋_GB2312" w:eastAsia="仿宋_GB2312" w:cs="仿宋_GB2312"/>
          <w:sz w:val="24"/>
          <w:szCs w:val="24"/>
          <w:u w:val="single"/>
          <w:lang w:val="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zh-CN"/>
        </w:rPr>
        <w:t xml:space="preserve"> </w:t>
      </w:r>
      <w:r>
        <w:rPr>
          <w:rFonts w:hint="eastAsia" w:ascii="仿宋_GB2312" w:hAnsi="仿宋_GB2312" w:eastAsia="仿宋_GB2312" w:cs="仿宋_GB2312"/>
          <w:sz w:val="24"/>
          <w:szCs w:val="24"/>
          <w:lang w:val="zh-CN"/>
        </w:rPr>
        <w:t>，在</w:t>
      </w:r>
      <w:r>
        <w:rPr>
          <w:rFonts w:hint="eastAsia" w:ascii="仿宋_GB2312" w:hAnsi="仿宋_GB2312" w:eastAsia="仿宋_GB2312" w:cs="仿宋_GB2312"/>
          <w:sz w:val="24"/>
          <w:szCs w:val="24"/>
          <w:u w:val="single"/>
          <w:lang w:val="zh-CN"/>
        </w:rPr>
        <w:t xml:space="preserve">          </w:t>
      </w:r>
      <w:r>
        <w:rPr>
          <w:rFonts w:hint="eastAsia" w:ascii="仿宋_GB2312" w:hAnsi="仿宋_GB2312" w:eastAsia="仿宋_GB2312" w:cs="仿宋_GB2312"/>
          <w:sz w:val="24"/>
          <w:szCs w:val="24"/>
          <w:lang w:val="zh-CN"/>
        </w:rPr>
        <w:t>的监督管理下，由陕西天沃工程项目管理有限公司组织采购，</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zh-CN"/>
        </w:rPr>
        <w:t>（以下简称甲方）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CN"/>
        </w:rPr>
        <w:t>选定</w:t>
      </w:r>
      <w:r>
        <w:rPr>
          <w:rFonts w:hint="eastAsia" w:ascii="仿宋_GB2312" w:hAnsi="仿宋_GB2312" w:eastAsia="仿宋_GB2312" w:cs="仿宋_GB2312"/>
          <w:sz w:val="24"/>
          <w:szCs w:val="24"/>
          <w:u w:val="single"/>
          <w:lang w:val="zh-CN"/>
        </w:rPr>
        <w:t xml:space="preserve">          (以下简称乙方）</w:t>
      </w:r>
      <w:r>
        <w:rPr>
          <w:rFonts w:hint="eastAsia" w:ascii="仿宋_GB2312" w:hAnsi="仿宋_GB2312" w:eastAsia="仿宋_GB2312" w:cs="仿宋_GB2312"/>
          <w:sz w:val="24"/>
          <w:szCs w:val="24"/>
          <w:lang w:val="zh-CN"/>
        </w:rPr>
        <w:t>为该项目成交供应商。依据《中华人民共和国民法典》和《中华人民共和国政府采购法》及相关法律、法规之规定，经甲、乙双方共同协商，按下述条款和条件签署本合同。</w:t>
      </w:r>
    </w:p>
    <w:p w14:paraId="2E912811">
      <w:pPr>
        <w:autoSpaceDE w:val="0"/>
        <w:autoSpaceDN w:val="0"/>
        <w:adjustRightInd w:val="0"/>
        <w:snapToGrid w:val="0"/>
        <w:spacing w:line="360" w:lineRule="auto"/>
        <w:ind w:firstLine="470" w:firstLineChars="196"/>
        <w:rPr>
          <w:rFonts w:hint="eastAsia" w:ascii="仿宋_GB2312" w:hAnsi="仿宋_GB2312" w:eastAsia="仿宋_GB2312" w:cs="仿宋_GB2312"/>
          <w:sz w:val="24"/>
          <w:szCs w:val="24"/>
          <w:u w:val="single"/>
          <w:lang w:val="zh-CN"/>
        </w:rPr>
      </w:pPr>
      <w:r>
        <w:rPr>
          <w:rFonts w:hint="eastAsia" w:ascii="仿宋_GB2312" w:hAnsi="仿宋_GB2312" w:eastAsia="仿宋_GB2312" w:cs="仿宋_GB2312"/>
          <w:sz w:val="24"/>
          <w:szCs w:val="24"/>
          <w:lang w:val="zh-CN"/>
        </w:rPr>
        <w:t>甲方：</w:t>
      </w:r>
    </w:p>
    <w:p w14:paraId="7B8F22DF">
      <w:pPr>
        <w:autoSpaceDE w:val="0"/>
        <w:autoSpaceDN w:val="0"/>
        <w:adjustRightInd w:val="0"/>
        <w:snapToGrid w:val="0"/>
        <w:spacing w:line="360" w:lineRule="auto"/>
        <w:ind w:firstLine="470" w:firstLineChars="196"/>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乙方：</w:t>
      </w:r>
    </w:p>
    <w:p w14:paraId="40E438CA">
      <w:pPr>
        <w:numPr>
          <w:ilvl w:val="0"/>
          <w:numId w:val="1"/>
        </w:numPr>
        <w:tabs>
          <w:tab w:val="left" w:pos="735"/>
        </w:tabs>
        <w:autoSpaceDE w:val="0"/>
        <w:autoSpaceDN w:val="0"/>
        <w:adjustRightInd w:val="0"/>
        <w:snapToGrid w:val="0"/>
        <w:spacing w:line="360" w:lineRule="auto"/>
        <w:ind w:firstLine="482" w:firstLineChars="200"/>
        <w:rPr>
          <w:rFonts w:hint="eastAsia" w:ascii="仿宋_GB2312" w:hAnsi="仿宋_GB2312" w:eastAsia="仿宋_GB2312" w:cs="仿宋_GB2312"/>
          <w:bCs/>
          <w:sz w:val="24"/>
          <w:szCs w:val="24"/>
        </w:rPr>
      </w:pPr>
      <w:r>
        <w:rPr>
          <w:rFonts w:hint="eastAsia" w:ascii="仿宋_GB2312" w:hAnsi="仿宋_GB2312" w:eastAsia="仿宋_GB2312" w:cs="仿宋_GB2312"/>
          <w:b/>
          <w:sz w:val="24"/>
          <w:szCs w:val="24"/>
        </w:rPr>
        <w:t>合同内容:</w:t>
      </w:r>
    </w:p>
    <w:p w14:paraId="2F19F3C8">
      <w:pPr>
        <w:tabs>
          <w:tab w:val="left" w:pos="735"/>
        </w:tabs>
        <w:autoSpaceDE w:val="0"/>
        <w:autoSpaceDN w:val="0"/>
        <w:adjustRightInd w:val="0"/>
        <w:snapToGrid w:val="0"/>
        <w:spacing w:line="360" w:lineRule="auto"/>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二、合同价款：</w:t>
      </w:r>
    </w:p>
    <w:p w14:paraId="7D3BB31F">
      <w:pPr>
        <w:tabs>
          <w:tab w:val="left" w:pos="735"/>
        </w:tabs>
        <w:autoSpaceDE w:val="0"/>
        <w:autoSpaceDN w:val="0"/>
        <w:adjustRightInd w:val="0"/>
        <w:snapToGrid w:val="0"/>
        <w:spacing w:line="360" w:lineRule="auto"/>
        <w:ind w:firstLine="480" w:firstLineChars="200"/>
        <w:outlineLvl w:val="2"/>
        <w:rPr>
          <w:rFonts w:hint="eastAsia" w:ascii="仿宋_GB2312" w:hAnsi="仿宋_GB2312" w:eastAsia="仿宋_GB2312" w:cs="仿宋_GB2312"/>
          <w:b/>
          <w:sz w:val="24"/>
          <w:szCs w:val="24"/>
          <w:u w:val="single"/>
        </w:rPr>
      </w:pPr>
      <w:r>
        <w:rPr>
          <w:rFonts w:hint="eastAsia" w:ascii="仿宋_GB2312" w:hAnsi="仿宋_GB2312" w:eastAsia="仿宋_GB2312" w:cs="仿宋_GB2312"/>
          <w:sz w:val="24"/>
          <w:szCs w:val="24"/>
        </w:rPr>
        <w:t>1、合同总价：</w:t>
      </w:r>
    </w:p>
    <w:p w14:paraId="76FC13B8">
      <w:pPr>
        <w:tabs>
          <w:tab w:val="left" w:pos="735"/>
        </w:tabs>
        <w:adjustRightInd w:val="0"/>
        <w:snapToGrid w:val="0"/>
        <w:spacing w:line="360" w:lineRule="auto"/>
        <w:ind w:firstLine="504" w:firstLineChars="210"/>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2、合同总价包括：项目实施、设备采购、试运行及运维期内产生的一切费用及人员培训等费用（含税）。</w:t>
      </w:r>
    </w:p>
    <w:p w14:paraId="4AF22C20">
      <w:pPr>
        <w:tabs>
          <w:tab w:val="left" w:pos="735"/>
        </w:tabs>
        <w:adjustRightInd w:val="0"/>
        <w:snapToGrid w:val="0"/>
        <w:spacing w:line="360" w:lineRule="auto"/>
        <w:ind w:firstLine="504" w:firstLineChars="210"/>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3、合同总价一次包死，不受市场价格、工作量变化等其它因素的影响。</w:t>
      </w:r>
    </w:p>
    <w:p w14:paraId="66C12C96">
      <w:pPr>
        <w:tabs>
          <w:tab w:val="left" w:pos="735"/>
        </w:tabs>
        <w:adjustRightInd w:val="0"/>
        <w:snapToGrid w:val="0"/>
        <w:spacing w:line="360" w:lineRule="auto"/>
        <w:ind w:firstLine="506" w:firstLineChars="21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三、款项结算：</w:t>
      </w:r>
    </w:p>
    <w:p w14:paraId="38BD8B08">
      <w:pPr>
        <w:autoSpaceDE w:val="0"/>
        <w:autoSpaceDN w:val="0"/>
        <w:adjustRightInd w:val="0"/>
        <w:spacing w:line="360" w:lineRule="auto"/>
        <w:ind w:firstLine="480" w:firstLineChars="200"/>
        <w:outlineLvl w:val="2"/>
        <w:rPr>
          <w:rFonts w:hint="eastAsia" w:ascii="仿宋_GB2312" w:hAnsi="仿宋_GB2312" w:eastAsia="仿宋_GB2312" w:cs="仿宋_GB2312"/>
          <w:bCs/>
          <w:sz w:val="24"/>
          <w:szCs w:val="24"/>
          <w:highlight w:val="yellow"/>
        </w:rPr>
      </w:pPr>
      <w:r>
        <w:rPr>
          <w:rFonts w:hint="eastAsia" w:ascii="仿宋_GB2312" w:hAnsi="仿宋_GB2312" w:eastAsia="仿宋_GB2312" w:cs="仿宋_GB2312"/>
          <w:bCs/>
          <w:sz w:val="24"/>
          <w:szCs w:val="24"/>
        </w:rPr>
        <w:t>1、付款方式：本项目分3期支付，具体支付方式和时间如下：①第一次付款：签订合同后</w:t>
      </w:r>
      <w:r>
        <w:rPr>
          <w:rFonts w:hint="eastAsia" w:ascii="仿宋_GB2312" w:hAnsi="仿宋_GB2312" w:eastAsia="仿宋_GB2312" w:cs="仿宋_GB2312"/>
          <w:bCs/>
          <w:sz w:val="24"/>
          <w:szCs w:val="24"/>
          <w:lang w:val="en-US" w:eastAsia="zh-CN"/>
        </w:rPr>
        <w:t>30</w:t>
      </w:r>
      <w:r>
        <w:rPr>
          <w:rFonts w:hint="eastAsia" w:ascii="仿宋_GB2312" w:hAnsi="仿宋_GB2312" w:eastAsia="仿宋_GB2312" w:cs="仿宋_GB2312"/>
          <w:bCs/>
          <w:sz w:val="24"/>
          <w:szCs w:val="24"/>
        </w:rPr>
        <w:t>个工作日内，由中标人书面提出支付申请函及拟支付金额等额的符合采购人财务管理要求的相应发票，达到付款条件，采购人确认后启动支付流程，支付金额占合同总金额的30%。②第二次付款：项目初步验收通过后</w:t>
      </w:r>
      <w:r>
        <w:rPr>
          <w:rFonts w:hint="eastAsia" w:ascii="仿宋_GB2312" w:hAnsi="仿宋_GB2312" w:eastAsia="仿宋_GB2312" w:cs="仿宋_GB2312"/>
          <w:bCs/>
          <w:sz w:val="24"/>
          <w:szCs w:val="24"/>
          <w:lang w:val="en-US" w:eastAsia="zh-CN"/>
        </w:rPr>
        <w:t>30</w:t>
      </w:r>
      <w:r>
        <w:rPr>
          <w:rFonts w:hint="eastAsia" w:ascii="仿宋_GB2312" w:hAnsi="仿宋_GB2312" w:eastAsia="仿宋_GB2312" w:cs="仿宋_GB2312"/>
          <w:bCs/>
          <w:sz w:val="24"/>
          <w:szCs w:val="24"/>
        </w:rPr>
        <w:t>个工作日内，由中标人书面提出支付申请函及拟支付金额等额的符合采购人财务管理要求的相应发票，达到付款条件，采购人确认后启动支付流程，支付金额占合同总金额的40%。③第三次付款：项目最终验收通过后，采购人收到中标人开具的合格等额普通发票的</w:t>
      </w:r>
      <w:r>
        <w:rPr>
          <w:rFonts w:hint="eastAsia" w:ascii="仿宋_GB2312" w:hAnsi="仿宋_GB2312" w:eastAsia="仿宋_GB2312" w:cs="仿宋_GB2312"/>
          <w:bCs/>
          <w:sz w:val="24"/>
          <w:szCs w:val="24"/>
          <w:lang w:val="en-US" w:eastAsia="zh-CN"/>
        </w:rPr>
        <w:t>30</w:t>
      </w:r>
      <w:r>
        <w:rPr>
          <w:rFonts w:hint="eastAsia" w:ascii="仿宋_GB2312" w:hAnsi="仿宋_GB2312" w:eastAsia="仿宋_GB2312" w:cs="仿宋_GB2312"/>
          <w:bCs/>
          <w:sz w:val="24"/>
          <w:szCs w:val="24"/>
        </w:rPr>
        <w:t>个工作日内，采购人向中标人支付项目剩余资金的尾款（合同总金额的30%）。</w:t>
      </w:r>
    </w:p>
    <w:p w14:paraId="3EF5CA8B">
      <w:pPr>
        <w:autoSpaceDE w:val="0"/>
        <w:autoSpaceDN w:val="0"/>
        <w:adjustRightInd w:val="0"/>
        <w:spacing w:line="360" w:lineRule="auto"/>
        <w:ind w:firstLine="480" w:firstLineChars="200"/>
        <w:outlineLvl w:val="2"/>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2、结算方式：采购人与成交供应商直接结算，发票直开采购人。</w:t>
      </w:r>
    </w:p>
    <w:p w14:paraId="19FCAABA">
      <w:pPr>
        <w:autoSpaceDE w:val="0"/>
        <w:autoSpaceDN w:val="0"/>
        <w:adjustRightInd w:val="0"/>
        <w:spacing w:line="360" w:lineRule="auto"/>
        <w:ind w:firstLine="480" w:firstLineChars="200"/>
        <w:outlineLvl w:val="2"/>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3、支付方式：银行转账形式结账。</w:t>
      </w:r>
    </w:p>
    <w:p w14:paraId="40578BE1">
      <w:pPr>
        <w:autoSpaceDE w:val="0"/>
        <w:autoSpaceDN w:val="0"/>
        <w:adjustRightInd w:val="0"/>
        <w:spacing w:line="360" w:lineRule="auto"/>
        <w:ind w:firstLine="480" w:firstLineChars="200"/>
        <w:outlineLvl w:val="2"/>
        <w:rPr>
          <w:rFonts w:ascii="仿宋_GB2312" w:hAnsi="仿宋_GB2312" w:eastAsia="仿宋_GB2312" w:cs="仿宋_GB2312"/>
          <w:bCs/>
          <w:sz w:val="24"/>
          <w:szCs w:val="24"/>
        </w:rPr>
      </w:pPr>
      <w:r>
        <w:rPr>
          <w:rFonts w:hint="eastAsia" w:ascii="仿宋_GB2312" w:hAnsi="仿宋_GB2312" w:eastAsia="仿宋_GB2312" w:cs="仿宋_GB2312"/>
          <w:bCs/>
          <w:sz w:val="24"/>
          <w:szCs w:val="24"/>
        </w:rPr>
        <w:t>4、付款条件：供应商需提供合同总价款的增值税普通发票，作为采购人向供应商支付的凭证。</w:t>
      </w:r>
    </w:p>
    <w:p w14:paraId="2CC98FD8">
      <w:pPr>
        <w:autoSpaceDE w:val="0"/>
        <w:autoSpaceDN w:val="0"/>
        <w:adjustRightInd w:val="0"/>
        <w:spacing w:line="360" w:lineRule="auto"/>
        <w:ind w:firstLine="480" w:firstLineChars="200"/>
        <w:outlineLvl w:val="2"/>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5、履约保证金</w:t>
      </w:r>
    </w:p>
    <w:p w14:paraId="7518E5E3">
      <w:pPr>
        <w:autoSpaceDE w:val="0"/>
        <w:autoSpaceDN w:val="0"/>
        <w:adjustRightInd w:val="0"/>
        <w:spacing w:line="360" w:lineRule="auto"/>
        <w:ind w:firstLine="480" w:firstLineChars="200"/>
        <w:outlineLvl w:val="2"/>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采购包 1:缴纳</w:t>
      </w:r>
    </w:p>
    <w:p w14:paraId="41D2F40D">
      <w:pPr>
        <w:autoSpaceDE w:val="0"/>
        <w:autoSpaceDN w:val="0"/>
        <w:adjustRightInd w:val="0"/>
        <w:spacing w:line="360" w:lineRule="auto"/>
        <w:ind w:firstLine="480" w:firstLineChars="200"/>
        <w:outlineLvl w:val="2"/>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说明:中标人在收到中标通知书之后、签订合同之前，以银行履约保函形式向采购人缴纳合同总金额的 5%作为履约保证金。</w:t>
      </w:r>
    </w:p>
    <w:p w14:paraId="3219E276">
      <w:pPr>
        <w:autoSpaceDE w:val="0"/>
        <w:autoSpaceDN w:val="0"/>
        <w:adjustRightInd w:val="0"/>
        <w:spacing w:line="360" w:lineRule="auto"/>
        <w:ind w:firstLine="480" w:firstLineChars="200"/>
        <w:outlineLvl w:val="2"/>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履约保函的退还:本项目运维期结束后经双方确认后退还。</w:t>
      </w:r>
    </w:p>
    <w:p w14:paraId="38636896">
      <w:pPr>
        <w:autoSpaceDE w:val="0"/>
        <w:autoSpaceDN w:val="0"/>
        <w:adjustRightIn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lang w:val="zh-CN"/>
        </w:rPr>
        <w:t>四、</w:t>
      </w:r>
      <w:r>
        <w:rPr>
          <w:rFonts w:hint="eastAsia" w:ascii="仿宋_GB2312" w:hAnsi="仿宋_GB2312" w:eastAsia="仿宋_GB2312" w:cs="仿宋_GB2312"/>
          <w:b/>
          <w:bCs/>
          <w:sz w:val="24"/>
          <w:szCs w:val="24"/>
        </w:rPr>
        <w:t>服务</w:t>
      </w:r>
      <w:r>
        <w:rPr>
          <w:rFonts w:hint="eastAsia" w:ascii="仿宋_GB2312" w:hAnsi="仿宋_GB2312" w:eastAsia="仿宋_GB2312" w:cs="仿宋_GB2312"/>
          <w:b/>
          <w:bCs/>
          <w:sz w:val="24"/>
          <w:szCs w:val="24"/>
          <w:lang w:val="zh-CN"/>
        </w:rPr>
        <w:t>条件:</w:t>
      </w:r>
    </w:p>
    <w:p w14:paraId="1B87FBA7">
      <w:pPr>
        <w:tabs>
          <w:tab w:val="left" w:pos="735"/>
        </w:tabs>
        <w:autoSpaceDE w:val="0"/>
        <w:autoSpaceDN w:val="0"/>
        <w:adjustRightInd w:val="0"/>
        <w:snapToGrid w:val="0"/>
        <w:spacing w:line="360" w:lineRule="auto"/>
        <w:ind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1、服务地点：</w:t>
      </w:r>
    </w:p>
    <w:p w14:paraId="5EF0D9EC">
      <w:pPr>
        <w:tabs>
          <w:tab w:val="left" w:pos="735"/>
        </w:tabs>
        <w:autoSpaceDE w:val="0"/>
        <w:autoSpaceDN w:val="0"/>
        <w:adjustRightInd w:val="0"/>
        <w:snapToGrid w:val="0"/>
        <w:spacing w:line="360" w:lineRule="auto"/>
        <w:ind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2、建设周期：</w:t>
      </w:r>
    </w:p>
    <w:p w14:paraId="6693A367">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五</w:t>
      </w:r>
      <w:r>
        <w:rPr>
          <w:rFonts w:hint="eastAsia" w:ascii="仿宋_GB2312" w:hAnsi="仿宋_GB2312" w:eastAsia="仿宋_GB2312" w:cs="仿宋_GB2312"/>
          <w:b/>
          <w:bCs/>
          <w:sz w:val="24"/>
          <w:szCs w:val="24"/>
          <w:lang w:val="zh-CN"/>
        </w:rPr>
        <w:t>、</w:t>
      </w:r>
      <w:r>
        <w:rPr>
          <w:rFonts w:hint="eastAsia" w:ascii="仿宋_GB2312" w:hAnsi="仿宋_GB2312" w:eastAsia="仿宋_GB2312" w:cs="仿宋_GB2312"/>
          <w:b/>
          <w:bCs/>
          <w:sz w:val="24"/>
          <w:szCs w:val="24"/>
        </w:rPr>
        <w:t>质量保证：</w:t>
      </w:r>
    </w:p>
    <w:p w14:paraId="20E404B4">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1、安全服务应符合国家有关规范、磋商文件、响应文件、合同及甲方要求。。</w:t>
      </w:r>
    </w:p>
    <w:p w14:paraId="0299C877">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2、乙方提供相关数据、结论确保真实性、可靠性。</w:t>
      </w:r>
    </w:p>
    <w:p w14:paraId="14F184B3">
      <w:pPr>
        <w:autoSpaceDE w:val="0"/>
        <w:autoSpaceDN w:val="0"/>
        <w:adjustRightInd w:val="0"/>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六、双方权利义务</w:t>
      </w:r>
    </w:p>
    <w:p w14:paraId="22515DB8">
      <w:pPr>
        <w:autoSpaceDE w:val="0"/>
        <w:autoSpaceDN w:val="0"/>
        <w:adjustRightInd w:val="0"/>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1、甲方的权利和义务</w:t>
      </w:r>
    </w:p>
    <w:p w14:paraId="3B14CADD">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甲方有权向乙方询问工作进展情况及相关的内容，有权检查和监督乙方的服务工作的质量、管理等情况，有权对乙方提供的数据服务和产品提出更正、改进的意见，有权要求乙方以书面形式就前述内容进行汇报。</w:t>
      </w:r>
    </w:p>
    <w:p w14:paraId="383CCCDA">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（2）因乙方违反合同规定给甲方或相关方造成损失时，甲方有权要求乙方赔偿经济损失。</w:t>
      </w:r>
    </w:p>
    <w:p w14:paraId="21C50868">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当甲方认定项目服务专业人员不按项目服务合同履行其职责，或专业能力、管理能力、责任心较差，不能有效与甲方配合并履行其项目服务义务，或与第三人串通给甲方造与经济损失的，甲方有权要求乙方更换项目服务专业人员，如对甲方造成实际损失的，甲方有权终止合同并要求乙方承担相应的赔偿责任。</w:t>
      </w:r>
    </w:p>
    <w:p w14:paraId="3DFC7A37">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（4）甲方有权同意或不同意乙方因自身工作需要而更换合同约定的主要工作小组成员的要求。</w:t>
      </w:r>
    </w:p>
    <w:p w14:paraId="30F745CC">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甲方应当在合同履约中，督促、协调与本项目服务有关的第三人（与合同履行有关的相关单位）协同乙方办理有关服务事项。甲方就乙方书面提交并要求做出答复的事宜，在15个工作日内做出书面答复。乙方要求第三人提供有关资料时，甲方可根据自己的能力负责协调、转达及资料转送，但并不成为甲方当然的义务。</w:t>
      </w:r>
    </w:p>
    <w:p w14:paraId="6AD58708">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（6）乙方完成所有协议约定内容后，甲方根据项目实施情况出具的客观公正的书面用户验收意见。</w:t>
      </w:r>
    </w:p>
    <w:p w14:paraId="7D0A84CF">
      <w:pPr>
        <w:autoSpaceDE w:val="0"/>
        <w:autoSpaceDN w:val="0"/>
        <w:adjustRightInd w:val="0"/>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2、乙方的权利和义务</w:t>
      </w:r>
    </w:p>
    <w:p w14:paraId="18CD700F">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（1）乙方有权在履行合同期间内取得按合同约定应有的报酬。</w:t>
      </w:r>
    </w:p>
    <w:p w14:paraId="6E78265C">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（2）乙方在项目服务过程中，如甲方提供的资料不明确时可向甲方提出书面报告。</w:t>
      </w:r>
    </w:p>
    <w:p w14:paraId="43E935E2">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乙方有权在合同履行期间得到甲方必要的支持，有权拒绝执行甲方任何不符合有关法律、法规规定的要求。乙方应严格遵守国家、地方的法律、法规的规定，保证在合法且不侵犯他人利益的原则下进行项目服务活动，并对其所进行的服务活动负责。</w:t>
      </w:r>
    </w:p>
    <w:p w14:paraId="509D1F96">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乙方应按本合同所述的时间、服务范围和内容,尽自己的一切努力,按本合同约定及行业通常接受的技术惯例和专业机构承认的标准，高效地履行自己的义务。在项目执行过程中支持和维护国家和甲方的合法利益。</w:t>
      </w:r>
    </w:p>
    <w:p w14:paraId="2669819B">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乙方应向甲方提供与本项目服务有关的资料，包括项目服务单位、人员的资质证书及承担本合同业务的专业人员名单、项目服务工作计划等，并按合同约定的范围、时间、工作依据、工作标准等，出具内容齐全、规范、准确的相关报告等。</w:t>
      </w:r>
    </w:p>
    <w:p w14:paraId="26C36443">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乙方应对履行本合同所规定的服务以及在履行中因自己违约而给甲方造成的损失承担责任并应当向甲方进行赔偿。但下例情况不视为乙方违约:A非乙方的行为、过失、违约或失职造成的损失或伤害；B不可抗力造成的损失。</w:t>
      </w:r>
    </w:p>
    <w:p w14:paraId="2D397A43">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乙方必须为本项目涉及的各种资料、数据和收据等保密。未经甲方书面同意,乙方及乙方员工不得泄露、遗失、复印与本合同规定业务活动有关的一切资料和内容。所有甲方或第三人（与合同业务有关相关单位）提供的与本合同规定业务活动有关的一切资料，在合同结束后均应归还。</w:t>
      </w:r>
    </w:p>
    <w:p w14:paraId="7D315B35">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（8）乙方应对本项目所提供服务结果的可靠性、准确性、全面性向甲方负责，由于服务结果的可靠性、准确性、全面性不足而导致甲方工作偏差或失误，乙方应承担责任。</w:t>
      </w:r>
    </w:p>
    <w:p w14:paraId="567B29FC">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（9）乙方在履行合同期间或合同规定期限内，履行本合同所确定的项目经理及主要专业技术、管理人员等必须是本单位职工和该项目的实际操作者，未经甲方同意，乙方不得调换或撤离上述人员。</w:t>
      </w:r>
    </w:p>
    <w:p w14:paraId="36E76BB4">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（10）按本合同支付给乙方的报酬应为本合同服务的唯一报酬。</w:t>
      </w:r>
    </w:p>
    <w:p w14:paraId="25096BD8">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（11）乙方在本合同履行期间均不能直接或间接从事与本合同中活动相冲突的商业或职业活动，不得以任何理由向甲方任何工作人员行贿或有类似的行为。</w:t>
      </w:r>
    </w:p>
    <w:p w14:paraId="6E4DFA39">
      <w:pPr>
        <w:autoSpaceDE w:val="0"/>
        <w:autoSpaceDN w:val="0"/>
        <w:adjustRightIn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（12）乙方项目人员为甲方提供服务过程中，个人及财产安全由乙方自行负责，与甲方无关。乙方与项目人员建立合法的劳动关系，并承担用工主体责任。</w:t>
      </w:r>
    </w:p>
    <w:p w14:paraId="1AA85AA9">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（13）除甲方事先书面同意外，乙方不得部分或全部转让其应履行的合同项下的义务。</w:t>
      </w:r>
    </w:p>
    <w:p w14:paraId="534B50B6">
      <w:pPr>
        <w:adjustRightInd w:val="0"/>
        <w:snapToGrid w:val="0"/>
        <w:spacing w:line="360" w:lineRule="auto"/>
        <w:ind w:firstLine="482"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b/>
          <w:bCs/>
          <w:sz w:val="24"/>
          <w:szCs w:val="24"/>
        </w:rPr>
        <w:t>七</w:t>
      </w:r>
      <w:r>
        <w:rPr>
          <w:rFonts w:hint="eastAsia" w:ascii="仿宋_GB2312" w:hAnsi="仿宋_GB2312" w:eastAsia="仿宋_GB2312" w:cs="仿宋_GB2312"/>
          <w:b/>
          <w:bCs/>
          <w:sz w:val="24"/>
          <w:szCs w:val="24"/>
          <w:lang w:val="zh-CN"/>
        </w:rPr>
        <w:t>、违约责任</w:t>
      </w:r>
    </w:p>
    <w:p w14:paraId="5E38C8C7">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1.乙方未按合同要求提供服务或服务质量不能满足技术服务要求，且在规定时间内未使甲方满意的，甲方有权每日按照合同总金额的万分之一收取乙方违约金。当以上情况持续30天或以上时，甲方有权终止合同，乙方必须将全部服务资料移交甲方，并在合同终止之日起10天内，配合甲方做好服务交接工作。同时，甲方有权追回未完成合同项目的款项，并有权要求乙方支付合同总金额10%违约金，违约金不足以弥补损失的，乙方应予补足。</w:t>
      </w:r>
    </w:p>
    <w:p w14:paraId="6C63A468">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2.项目应在达到验收条件，并提交验收申请。如果乙方未按招标文件约定日期交付服务成果，视为逾期违约。逾期未启动或未提交验收申请，甲方有权每日按照合同总金额的万分之一收取乙方违约金。当以上情况持续30天或以上时，甲方有权终止合同，乙方必须将全部服务资料移交甲方，并在合同终止之日起10天内，配合甲方做好服务交接工作，同时，甲方有权要求乙方支付合同总金额10%违约金，违约金不足以弥补损失的，乙方应予补足。</w:t>
      </w:r>
    </w:p>
    <w:p w14:paraId="3ECF3785">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3.任何一方若违反本合同其他约定，致使本合同无法履行，违约方应向守约方赔偿实际损失。</w:t>
      </w:r>
    </w:p>
    <w:p w14:paraId="78FCEC4F">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4.如因乙方工作人员在履行职务过程中的疏忽、失职、过错等故意或者过失原因给甲方造成损失或侵害，包括但不限于对甲方造成财产损失、由此而导致的甲方对任何第三方的法律责任等，乙方对此均应承担全部的赔偿责任并负责妥善处理。</w:t>
      </w:r>
    </w:p>
    <w:p w14:paraId="3593CAA3">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5.因乙方行为违反法律规定产生引起的民事和刑事责任由乙方承担；</w:t>
      </w:r>
    </w:p>
    <w:p w14:paraId="35FF097F">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6.乙方违反保密规定，全部责任由乙方承担，并需赔偿甲方由此引起的损失。</w:t>
      </w:r>
    </w:p>
    <w:p w14:paraId="7C7E2215">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7.乙方与其他项目中标企业之间要相互配合完成整体项目，如因不配合或配合不当影响整体项目的，由甲方根据工作实际，认定违约企业和不配合企业的违约责任，并由违约企业和不配合企业共同承担相应的责任。</w:t>
      </w:r>
    </w:p>
    <w:p w14:paraId="5502951E">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8.本合同约定的损失，包括但不限于直接或间接的经济损失、律师费、诉讼费、保全费、鉴定费等损失。</w:t>
      </w:r>
    </w:p>
    <w:p w14:paraId="65ECE87A">
      <w:pPr>
        <w:autoSpaceDE w:val="0"/>
        <w:autoSpaceDN w:val="0"/>
        <w:adjustRightInd w:val="0"/>
        <w:spacing w:line="360" w:lineRule="auto"/>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lang w:val="zh-CN"/>
        </w:rPr>
        <w:t>9.本合同约定的违约情形独立存在，可叠加适用。乙方按照合同约定应当向甲方支付的违约金，乙方同意甲方从应付未付款中直接予以扣除。</w:t>
      </w:r>
    </w:p>
    <w:p w14:paraId="2DEA0CF6">
      <w:pPr>
        <w:adjustRightInd w:val="0"/>
        <w:snapToGri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lang w:val="zh-CN"/>
        </w:rPr>
        <w:t>八、验收</w:t>
      </w:r>
    </w:p>
    <w:p w14:paraId="416F6720">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由甲方负责组织验收；验收合格须交接项目实施的全部资料，并填写政府采购项目验收报告单。验收须以合同、采购文件及响应文件、澄清、及国家相应的标准、规范等为依据。</w:t>
      </w:r>
    </w:p>
    <w:p w14:paraId="4C71250D">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甲方要求的期限内，乙方提交成果不具备验收条件的或验收不合格的，经甲方书面同意后可以根据实际情况，给予乙方一定的宽限期进行完善和修正。在宽限期内验收合格的，不视为违约，交付期限相应予以顺延；宽限期满仍不具备验收条件或验收不合格的，按本合同“违约责任”条款处理。</w:t>
      </w:r>
    </w:p>
    <w:p w14:paraId="1417B691">
      <w:pPr>
        <w:adjustRightInd w:val="0"/>
        <w:snapToGri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rPr>
        <w:t>九</w:t>
      </w:r>
      <w:r>
        <w:rPr>
          <w:rFonts w:hint="eastAsia" w:ascii="仿宋_GB2312" w:hAnsi="仿宋_GB2312" w:eastAsia="仿宋_GB2312" w:cs="仿宋_GB2312"/>
          <w:b/>
          <w:bCs/>
          <w:sz w:val="24"/>
          <w:szCs w:val="24"/>
          <w:lang w:val="zh-CN"/>
        </w:rPr>
        <w:t>、保密义务</w:t>
      </w:r>
    </w:p>
    <w:p w14:paraId="101E46DF">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（一）乙方应当主动对直接或间接从甲方获得的保密信息承担保密业务，对于甲方未主动对外公布的信息，未经对方以纸质书面形式同意，不得泄露。</w:t>
      </w:r>
    </w:p>
    <w:p w14:paraId="0231C4C2">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保密信息包括但不限于：A.与项目有关的任何/所有协议、正式文书、往来传真或邮件以及任何形式的工作成果；B.甲方资料、数据平台、账号信息、工作计划、工作程序、图纸、专有方法、模式模板、任何形式文件、访谈记录、现场实测数据、咨询及其他资料；C.数据运行管理过程中涉及的各类数据、信息，利用数据、特定算法加工处理形成的数据集、数据接口、数据模型、数据报告、解决方案以及其他形态的数据产品和服务；D.属于第三方但甲方承担保密义务的信息；E.其他尽到审慎义务的人判断应予保密的信息。</w:t>
      </w:r>
    </w:p>
    <w:p w14:paraId="7CF17846">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乙方应当采取充分、必要、有效、合理的措施对乙方、乙方相关人员、乙方关联方所知晓的保密信息严格保密。对于未主动对外公布的信息，未经甲方书面许可，不得以任何形式直接或间接向第三方给予、提供、传递、传达、泄露，不得允许（包括出借、赠与、出租、转让等行为）或协助任何第三人、自己本人使用保密信息，不得用于其他用途。</w:t>
      </w:r>
    </w:p>
    <w:p w14:paraId="32B0DD8B">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乙方应当采取一切合理的保护措施，防止保密信息在未经授权的情况下被披露或传播。若发现保密信息泄露，乙方应第一时间通知甲方，在合法、合规的前提下，立即采取补救措施使损失降到最低。此外，乙方应承担由此引起的法律责任和经济责任，包括但不限于违约金、赔偿因信息泄露产生的支出和所有损失。乙方相关人员、乙方关联方违反保密业务，乙方承担连带责任。</w:t>
      </w:r>
    </w:p>
    <w:p w14:paraId="39373C0D">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乙方的保密义务自乙方、乙方相关人员、乙方关联方参与数据运行管理工作之日开始，至甲方书面通知乙方解除保密义务或者保密信息成为公开信息之日止。乙方和乙方关联方合同终止、撤销、解除、履行完毕以及乙方相关人员是否在职，均不影响其保密义务承担。</w:t>
      </w:r>
    </w:p>
    <w:p w14:paraId="4A746ADE">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（六）违反上述保密义务的，乙方应向甲方支付本合同总价款10%的违约金，乙方违反保密义务涉嫌违法违规的，按照《中华人民共和国保守国家秘密法》处理。</w:t>
      </w:r>
    </w:p>
    <w:p w14:paraId="7149FFC9">
      <w:pPr>
        <w:adjustRightInd w:val="0"/>
        <w:snapToGri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lang w:val="zh-CN"/>
        </w:rPr>
        <w:t>十、知识产权</w:t>
      </w:r>
    </w:p>
    <w:p w14:paraId="4A733532">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乙方应保证所提供和使用的文件、数据、信息、技术、工具等不得侵犯任何第三方的知识产权或其他权利，一旦发生侵权行为，由乙方承担法律责任和经济责任。乙方所接受或知悉的保密信息的权利及利益，仍属甲方财产或由其合法控制，甲方提供或披露保密信息予乙方并不构成任何知识产权的授权、让与或出租，也不构成对前述权利的放弃。甲方享有本项目实施过程中产生的知识成果及知识产权。</w:t>
      </w:r>
    </w:p>
    <w:p w14:paraId="00271FB4">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未经甲方书面许可，乙方不得（并不得允许任何第三人）以任何形式申请、展示、提供、出租、出借、出售、复制、修改、转载、发表、出版、还原前述权利或创造相关衍生作品。一旦发生侵权行为，由乙方承担法律责任和经济责任。乙方在甲方授权许可的情况下可对授权内容进行修改、复制、改编、翻译、汇编或制作，形成衍生产品。在不违反相关法律法规的强制性规定、尊重相关原始授权内容的知识产权的基础上，该等衍生产品的相关知识产权归甲方及其关联公司或所授权许可的第三方所有。</w:t>
      </w:r>
    </w:p>
    <w:p w14:paraId="73A3A68A">
      <w:pPr>
        <w:adjustRightInd w:val="0"/>
        <w:snapToGri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lang w:val="zh-CN"/>
        </w:rPr>
        <w:t>十一、不可抗力</w:t>
      </w:r>
    </w:p>
    <w:p w14:paraId="23ED8838">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在履行合同过程中因受战争、火灾、地震、疫情等自然灾害和社会事件以及其他在签订本合同时任何一方均无法预知，无法避免并克服其发生和后果且使本数据运营服务收到影响的任何事件，乙方应当在第一时间与相关单位配合，采取有效手段防止上述不可抗力事件的后果，减轻可能给甲方造成的损失；且本合同履行的期限应予以延长，延长的期限应相当于不可抗力事件所影响的时间。</w:t>
      </w:r>
    </w:p>
    <w:p w14:paraId="1230D412">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不可抗力事件受影响的一方应当在不可抗力因素发生后不迟于15日内以书面形式通知对方，并提供有关该等影响因素的详尽资料，说明不能履行或者延迟履行本合同全部或部分条款的原因，且应在此后30日内以书面形式向对方提供有关部门签发的有效合法的证明作为证据。在发生不可抗力时，双方对各自控制下的设备、资料负有保管责任，对于未受不可抗力影响并且可以继续履行的合同义务应继续履行。</w:t>
      </w:r>
    </w:p>
    <w:p w14:paraId="2F5A5521">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（三）如不可抗力延续超过45日以上（含本数）时，甲乙双方应通过友好协商解决本合同的执行问题，并应尽快达成协议。</w:t>
      </w:r>
    </w:p>
    <w:p w14:paraId="40BF586E">
      <w:pPr>
        <w:adjustRightInd w:val="0"/>
        <w:snapToGri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lang w:val="zh-CN"/>
        </w:rPr>
        <w:t>十二、适用法律及争议解决</w:t>
      </w:r>
    </w:p>
    <w:p w14:paraId="4B060D5E">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（一）本合同的成立、生效、履行、解释及争议解决，适用中华人民共和国法律、法规。</w:t>
      </w:r>
    </w:p>
    <w:p w14:paraId="2D934DF1">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（二）甲、乙双方在履行本合同过程中若发生争议，首先应友好协商解决；协商不成的，任何一方均有权提交甲方所在地人民法院解决。除非另有规定，诉讼期间双方应当继续履行合同规定的义务。</w:t>
      </w:r>
    </w:p>
    <w:p w14:paraId="0762840B">
      <w:pPr>
        <w:adjustRightInd w:val="0"/>
        <w:snapToGri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rPr>
        <w:t>十三</w:t>
      </w:r>
      <w:r>
        <w:rPr>
          <w:rFonts w:hint="eastAsia" w:ascii="仿宋_GB2312" w:hAnsi="仿宋_GB2312" w:eastAsia="仿宋_GB2312" w:cs="仿宋_GB2312"/>
          <w:b/>
          <w:bCs/>
          <w:sz w:val="24"/>
          <w:szCs w:val="24"/>
          <w:lang w:val="zh-CN"/>
        </w:rPr>
        <w:t>、合同组成</w:t>
      </w:r>
    </w:p>
    <w:p w14:paraId="765BE993">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1、成交通知书</w:t>
      </w:r>
    </w:p>
    <w:p w14:paraId="41044F0D">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2、合同文件</w:t>
      </w:r>
    </w:p>
    <w:p w14:paraId="08A5CE7B">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3、国家相关规范及标准</w:t>
      </w:r>
    </w:p>
    <w:p w14:paraId="1D9E6EB8">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4、竞争性磋商文件</w:t>
      </w:r>
    </w:p>
    <w:p w14:paraId="276D7894">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5、磋商响应文件</w:t>
      </w:r>
    </w:p>
    <w:p w14:paraId="6C1DEFEB">
      <w:pPr>
        <w:adjustRightInd w:val="0"/>
        <w:snapToGrid w:val="0"/>
        <w:spacing w:line="360" w:lineRule="auto"/>
        <w:ind w:firstLine="482" w:firstLineChars="200"/>
        <w:rPr>
          <w:rFonts w:hint="eastAsia" w:ascii="仿宋_GB2312" w:hAnsi="仿宋_GB2312" w:eastAsia="仿宋_GB2312" w:cs="仿宋_GB2312"/>
          <w:b/>
          <w:bCs/>
          <w:sz w:val="24"/>
          <w:szCs w:val="24"/>
          <w:lang w:val="zh-CN"/>
        </w:rPr>
      </w:pPr>
      <w:r>
        <w:rPr>
          <w:rFonts w:hint="eastAsia" w:ascii="仿宋_GB2312" w:hAnsi="仿宋_GB2312" w:eastAsia="仿宋_GB2312" w:cs="仿宋_GB2312"/>
          <w:b/>
          <w:bCs/>
          <w:sz w:val="24"/>
          <w:szCs w:val="24"/>
        </w:rPr>
        <w:t>十四</w:t>
      </w:r>
      <w:r>
        <w:rPr>
          <w:rFonts w:hint="eastAsia" w:ascii="仿宋_GB2312" w:hAnsi="仿宋_GB2312" w:eastAsia="仿宋_GB2312" w:cs="仿宋_GB2312"/>
          <w:b/>
          <w:bCs/>
          <w:sz w:val="24"/>
          <w:szCs w:val="24"/>
          <w:lang w:val="zh-CN"/>
        </w:rPr>
        <w:t>、合同生效及其它</w:t>
      </w:r>
    </w:p>
    <w:p w14:paraId="3483504A">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1、合同未尽事宜、由甲、乙双方协商，作为合同补充，与原合同具有同等法律效力。</w:t>
      </w:r>
    </w:p>
    <w:p w14:paraId="4CA66C5D">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2、本合同正本一式   份，甲方、乙方双方分别执   份，备案   份。</w:t>
      </w:r>
    </w:p>
    <w:p w14:paraId="5E08C7C3">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3、合同经甲乙双方法定代表人或其授权代表盖章、签字并加盖公章后生效，合同签订地点为         。</w:t>
      </w:r>
    </w:p>
    <w:p w14:paraId="2AFC2171">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4、生效时间：    年   月    日</w:t>
      </w:r>
    </w:p>
    <w:p w14:paraId="5A8B7D40">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（以下无正文，为合同签章页）</w:t>
      </w:r>
    </w:p>
    <w:p w14:paraId="2647020D">
      <w:pPr>
        <w:adjustRightInd w:val="0"/>
        <w:snapToGrid w:val="0"/>
        <w:spacing w:line="360" w:lineRule="auto"/>
        <w:ind w:firstLine="480" w:firstLineChars="200"/>
        <w:rPr>
          <w:rFonts w:hint="eastAsia" w:ascii="仿宋_GB2312" w:hAnsi="仿宋_GB2312" w:eastAsia="仿宋_GB2312" w:cs="仿宋_GB2312"/>
          <w:sz w:val="24"/>
          <w:szCs w:val="24"/>
        </w:rPr>
      </w:pPr>
    </w:p>
    <w:p w14:paraId="109D8EC0">
      <w:pPr>
        <w:adjustRightInd w:val="0"/>
        <w:snapToGrid w:val="0"/>
        <w:spacing w:line="4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p>
    <w:tbl>
      <w:tblPr>
        <w:tblStyle w:val="3"/>
        <w:tblW w:w="0" w:type="auto"/>
        <w:jc w:val="center"/>
        <w:tblLayout w:type="fixed"/>
        <w:tblCellMar>
          <w:top w:w="0" w:type="dxa"/>
          <w:left w:w="108" w:type="dxa"/>
          <w:bottom w:w="0" w:type="dxa"/>
          <w:right w:w="108" w:type="dxa"/>
        </w:tblCellMar>
      </w:tblPr>
      <w:tblGrid>
        <w:gridCol w:w="4643"/>
        <w:gridCol w:w="4643"/>
      </w:tblGrid>
      <w:tr w14:paraId="461D9EDF">
        <w:tblPrEx>
          <w:tblCellMar>
            <w:top w:w="0" w:type="dxa"/>
            <w:left w:w="108" w:type="dxa"/>
            <w:bottom w:w="0" w:type="dxa"/>
            <w:right w:w="108" w:type="dxa"/>
          </w:tblCellMar>
        </w:tblPrEx>
        <w:trPr>
          <w:jc w:val="center"/>
        </w:trPr>
        <w:tc>
          <w:tcPr>
            <w:tcW w:w="4643" w:type="dxa"/>
            <w:noWrap w:val="0"/>
            <w:vAlign w:val="top"/>
          </w:tcPr>
          <w:p w14:paraId="7DB56B25">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甲方名称（盖章）:</w:t>
            </w:r>
          </w:p>
          <w:p w14:paraId="7683F06F">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地址：</w:t>
            </w:r>
          </w:p>
          <w:p w14:paraId="0E864AF1">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法定代表人或委托代理人（签字）：</w:t>
            </w:r>
          </w:p>
          <w:p w14:paraId="27AA2967">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p w14:paraId="4E2E847F">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开户银行：</w:t>
            </w:r>
          </w:p>
          <w:p w14:paraId="13E1C745">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账号：</w:t>
            </w:r>
          </w:p>
        </w:tc>
        <w:tc>
          <w:tcPr>
            <w:tcW w:w="4643" w:type="dxa"/>
            <w:noWrap w:val="0"/>
            <w:vAlign w:val="top"/>
          </w:tcPr>
          <w:p w14:paraId="2E2DBD43">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乙方名称（盖章）:</w:t>
            </w:r>
          </w:p>
          <w:p w14:paraId="10D7D2B5">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地址：</w:t>
            </w:r>
          </w:p>
          <w:p w14:paraId="145C0FD4">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法定代表人或委托代理人（签字）：</w:t>
            </w:r>
          </w:p>
          <w:p w14:paraId="2AE5200E">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p w14:paraId="3E3B309A">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开户银行：</w:t>
            </w:r>
          </w:p>
          <w:p w14:paraId="4DE304D2">
            <w:pPr>
              <w:adjustRightInd w:val="0"/>
              <w:snapToGrid w:val="0"/>
              <w:spacing w:line="360" w:lineRule="auto"/>
              <w:ind w:firstLine="64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账号：</w:t>
            </w:r>
          </w:p>
        </w:tc>
      </w:tr>
    </w:tbl>
    <w:p w14:paraId="7C310B7C">
      <w:pPr>
        <w:spacing w:before="156" w:beforeLines="50" w:after="156" w:afterLines="50" w:line="360" w:lineRule="auto"/>
        <w:ind w:firstLine="482"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b/>
          <w:bCs/>
          <w:sz w:val="24"/>
          <w:szCs w:val="24"/>
        </w:rPr>
        <w:t>注：甲乙双方正式签订合同时根据协商完善相关内容</w:t>
      </w:r>
    </w:p>
    <w:p w14:paraId="20C97B11">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3A1396"/>
    <w:multiLevelType w:val="singleLevel"/>
    <w:tmpl w:val="1A3A139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3E6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jc w:val="center"/>
    </w:pPr>
    <w:rPr>
      <w:b/>
      <w:spacing w:val="4"/>
      <w:sz w:val="8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2025-12-12T04:37:00Z</dcterms:created>
  <dc:creator>Administrator</dc:creator>
  <cp:lastModifiedBy>宋璟雯</cp:lastModifiedBy>
  <dcterms:modified xsi:type="dcterms:W3CDTF">2025-12-12T04:37:31Z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eyJoZGlkIjoiOTllZGEyOGNlNzUzZDJkMjFmZDM1ZjY5ZTVmYTBjYmQiLCJ1c2VySWQiOiIxNDUxODIyODU0In0=</vt:lpwstr>
  </property>
  <property fmtid="{D5CDD505-2E9C-101B-9397-08002B2CF9AE}" pid="4" name="ICV">
    <vt:lpwstr>BEF5C1E121684CD39BE7E16744ED4BA4_12</vt:lpwstr>
  </property>
</Properties>
</file>