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版本号：TWZB2025-19720251212001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陕西省公共数据资源登记平台建设项目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TWZB2025-197</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陕西天沃工程项目管理有限公司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陕西天沃工程项目管理有限公司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陕西省公共数据资源登记平台建设项目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TWZB2025-197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陕西省公共数据资源登记平台建设项目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促进公共数据资源合规高效开发利用，构建陕西省一体化公共数据资源登记体系，规范公共数据资源登记工作，本项目开展陕西省公共数据资源登记平台建设，主要包括门户模块、用户模块、管理模块、交互模块、接口对接、国产化适配等功能模块，并实现与国家公共数据资源登记平台的对接，满足各级用户公共数据资源登记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经营主体：供应商为合法注册的法人或其他组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2、法定代表人授权书及被授权人身份证（法定代表人直接参与，只须提交其身份证明）：法定代表人授权书及被授权人身份证（法定代表人直接参与，只须提交其身份证明）；</w:t>
      </w:r>
    </w:p>
    <w:p>
      <w:pPr>
        <w:pStyle w:val="null3"/>
      </w:pPr>
      <w:r>
        <w:rPr>
          <w:rFonts w:ascii="仿宋_GB2312" w:hAnsi="仿宋_GB2312" w:cs="仿宋_GB2312" w:eastAsia="仿宋_GB2312"/>
        </w:rPr>
        <w:t>3、说明及承诺：具备履行合同所必须的设备和专业技术能力的说明及承诺；</w:t>
      </w:r>
    </w:p>
    <w:p>
      <w:pPr>
        <w:pStyle w:val="null3"/>
      </w:pPr>
      <w:r>
        <w:rPr>
          <w:rFonts w:ascii="仿宋_GB2312" w:hAnsi="仿宋_GB2312" w:cs="仿宋_GB2312" w:eastAsia="仿宋_GB2312"/>
        </w:rPr>
        <w:t>4、声明：供应商在近三年经营活动中没有重大违法记录的声明；</w:t>
      </w:r>
    </w:p>
    <w:p>
      <w:pPr>
        <w:pStyle w:val="null3"/>
      </w:pPr>
      <w:r>
        <w:rPr>
          <w:rFonts w:ascii="仿宋_GB2312" w:hAnsi="仿宋_GB2312" w:cs="仿宋_GB2312" w:eastAsia="仿宋_GB2312"/>
        </w:rPr>
        <w:t>5、财务状况报告：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月至今至少一个月的纳税证明或完税证明（任意税种，时间以税款所属日期为准）证明应有税务机关或代收机关的公章或业务专用章）；依法免税的单位应提供相关文件证明；供应商为零申报企业提供证明材料；</w:t>
      </w:r>
    </w:p>
    <w:p>
      <w:pPr>
        <w:pStyle w:val="null3"/>
      </w:pPr>
      <w:r>
        <w:rPr>
          <w:rFonts w:ascii="仿宋_GB2312" w:hAnsi="仿宋_GB2312" w:cs="仿宋_GB2312" w:eastAsia="仿宋_GB2312"/>
        </w:rPr>
        <w:t>7、社会保障资金缴纳证明：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8、不接受联合体磋商：本项目不接受联合体磋商（提供非联合体承诺书）；</w:t>
      </w:r>
    </w:p>
    <w:p>
      <w:pPr>
        <w:pStyle w:val="null3"/>
      </w:pPr>
      <w:r>
        <w:rPr>
          <w:rFonts w:ascii="仿宋_GB2312" w:hAnsi="仿宋_GB2312" w:cs="仿宋_GB2312" w:eastAsia="仿宋_GB2312"/>
        </w:rPr>
        <w:t>9、控股关系：单位负责人为同一人或者存在控股、管理关系的不同单位不得同时磋商（提供供应商企业关系关联承诺书）；</w:t>
      </w:r>
    </w:p>
    <w:p>
      <w:pPr>
        <w:pStyle w:val="null3"/>
      </w:pPr>
      <w:r>
        <w:rPr>
          <w:rFonts w:ascii="仿宋_GB2312" w:hAnsi="仿宋_GB2312" w:cs="仿宋_GB2312" w:eastAsia="仿宋_GB2312"/>
        </w:rPr>
        <w:t>10、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以采购代理机构现场网查为准）；</w:t>
      </w:r>
    </w:p>
    <w:p>
      <w:pPr>
        <w:pStyle w:val="null3"/>
      </w:pPr>
      <w:r>
        <w:rPr>
          <w:rFonts w:ascii="仿宋_GB2312" w:hAnsi="仿宋_GB2312" w:cs="仿宋_GB2312" w:eastAsia="仿宋_GB2312"/>
        </w:rPr>
        <w:t>11、磋商保证金交纳凭证：磋商保证金交纳凭证（附开户许可证或基本账户存款信息）。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陕西天沃工程项目管理有限公司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西安市经济开发区凤城十一路与文景路十字西北角文景广场C座1202室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闫孟瑶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029-68539602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采购包1：1,617,400.00元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开户名称：陕西天沃工程项目管理有限公司</w:t>
            </w:r>
          </w:p>
          <w:p>
            <w:pPr>
              <w:pStyle w:val="null3"/>
            </w:pPr>
            <w:r>
              <w:rPr>
                <w:rFonts w:ascii="仿宋_GB2312" w:hAnsi="仿宋_GB2312" w:cs="仿宋_GB2312" w:eastAsia="仿宋_GB2312"/>
              </w:rPr>
              <w:t>开户银行：北京银行股份有限公司西安北客站科技支行</w:t>
            </w:r>
          </w:p>
          <w:p>
            <w:pPr>
              <w:pStyle w:val="null3"/>
            </w:pPr>
            <w:r>
              <w:rPr>
                <w:rFonts w:ascii="仿宋_GB2312" w:hAnsi="仿宋_GB2312" w:cs="仿宋_GB2312" w:eastAsia="仿宋_GB2312"/>
              </w:rPr>
              <w:t>银行账号：2000 0051 0025 0005 6215 628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说明：中标人在收到中标通知书之后、签订合同之前，以银行履约保函形式向采购人缴纳合同总金额的 5%作为履约保证金。履约保函的退还:本项目运维期结束后经双方确认后退还。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代理服务费收费标准：以中标金额和项目实施方案中预留1.55万元招标代理服务费为参考依据，双方协商确定实际招标代理服务费。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陕西天沃工程项目管理有限公司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陕西天沃工程项目管理有限公司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陕西天沃工程项目管理有限公司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根据采购文件和合同条款约定执行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联系电话：029-68539602</w:t>
      </w:r>
    </w:p>
    <w:p>
      <w:pPr>
        <w:pStyle w:val="null3"/>
      </w:pPr>
      <w:r>
        <w:rPr>
          <w:rFonts w:ascii="仿宋_GB2312" w:hAnsi="仿宋_GB2312" w:cs="仿宋_GB2312" w:eastAsia="仿宋_GB2312"/>
        </w:rPr>
        <w:t>地址：西安市经济开发区凤城十一路与文景路十字西北角文景广场C座1202室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促进公共数据资源合规高效开发利用，构建陕西省一体化公共数据资源登记体系，规范公共数据资源登记工作，本项目开展陕西省公共数据资源登记平台建设，主要包括门户模块、用户模块、管理模块、交互模块、接口对接、国产化适配等功能模块，并实现与国家公共数据资源登记平台的对接，满足各级用户公共数据资源登记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1,617,400.00</w:t>
      </w:r>
    </w:p>
    <w:p>
      <w:pPr>
        <w:pStyle w:val="null3"/>
      </w:pPr>
      <w:r>
        <w:rPr>
          <w:rFonts w:ascii="仿宋_GB2312" w:hAnsi="仿宋_GB2312" w:cs="仿宋_GB2312" w:eastAsia="仿宋_GB2312"/>
        </w:rPr>
        <w:t>采购包最高限价（元）: 1,617,400.00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软件开发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1,617,400.00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标的名称：软件开发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1.技术要求</w:t>
            </w:r>
          </w:p>
          <w:p>
            <w:pPr>
              <w:pStyle w:val="null3"/>
              <w:jc w:val="both"/>
            </w:pPr>
            <w:r>
              <w:rPr>
                <w:rFonts w:ascii="仿宋_GB2312" w:hAnsi="仿宋_GB2312" w:cs="仿宋_GB2312" w:eastAsia="仿宋_GB2312"/>
                <w:sz w:val="21"/>
                <w:b/>
              </w:rPr>
              <w:t xml:space="preserve">  1</w:t>
            </w:r>
            <w:r>
              <w:rPr>
                <w:rFonts w:ascii="仿宋_GB2312" w:hAnsi="仿宋_GB2312" w:cs="仿宋_GB2312" w:eastAsia="仿宋_GB2312"/>
                <w:sz w:val="21"/>
                <w:b/>
              </w:rPr>
              <w:t>.1建设内容</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为促进公共数据资源合规高效开发利用，构建陕西省一体化公共数据资源登记体系，规范公共数据资源登记工作，本项目开展陕西省公共数据资源登记平台建设，主要包括门户模块、用户模块、管理模块、交互模块、接口对接、国产化适配等功能模块，并实现与国家公共数据资源登记平台的对接，满足各级用户公共数据资源登记需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1.应用系统（成品软件、开发软件）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成品软件：包含陕西省公共数据资源登记平台4个核心功能模块中的26个子功能。分别包括门户模块（账号注册认证、门户首页、登记指引、登记公示、登记查验、资源发现、登记政策）、用户模块（首页、登记申请、数据查询、凭证管理、异议申诉管理、登记主体管理、用户管理）、管理模块（登记业务管理、登记流程管理、登记主体管理、登记凭证管理、异议申诉管理、系统管理）、交互模块（赋码服务、版式文件服务、电子签章服务、登记安全服务、证书管理服务、数据交换前置服务）等子功能模块，为数据资源登记的合规化开展提供稳定可靠的系统化支撑，保障登记流程的标准化运转与跨平台数据交互的基础需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开发软件：在成品软件基础上，结合使用需求，针对7个子功能模块进行二次开发，主要包括门户模块（门户首页）、用户模块（首页、数据查询、异议申诉管理）、管理模块（登记业务管理、登记机构管理、统计分析管理）共7个子功能。通过精准匹配实际使用场景需求，提升系统的个性化适配度、用户交互体验以及业务管理效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2.硬件设备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按照国家信息中心2025年2月8日发布《公共数据资源登记平台安全规范》中要求，为保障与国家公共数据资源登记平台的顺利对接，确保数据传输与存储过程中的安全性、完整性与保密性，</w:t>
            </w:r>
            <w:r>
              <w:rPr>
                <w:rFonts w:ascii="仿宋_GB2312" w:hAnsi="仿宋_GB2312" w:cs="仿宋_GB2312" w:eastAsia="仿宋_GB2312"/>
                <w:sz w:val="21"/>
              </w:rPr>
              <w:t>需要提供</w:t>
            </w:r>
            <w:r>
              <w:rPr>
                <w:rFonts w:ascii="仿宋_GB2312" w:hAnsi="仿宋_GB2312" w:cs="仿宋_GB2312" w:eastAsia="仿宋_GB2312"/>
                <w:sz w:val="21"/>
              </w:rPr>
              <w:t>1套</w:t>
            </w:r>
            <w:r>
              <w:rPr>
                <w:rFonts w:ascii="仿宋_GB2312" w:hAnsi="仿宋_GB2312" w:cs="仿宋_GB2312" w:eastAsia="仿宋_GB2312"/>
                <w:sz w:val="21"/>
              </w:rPr>
              <w:t>主备部署的</w:t>
            </w:r>
            <w:r>
              <w:rPr>
                <w:rFonts w:ascii="仿宋_GB2312" w:hAnsi="仿宋_GB2312" w:cs="仿宋_GB2312" w:eastAsia="仿宋_GB2312"/>
                <w:sz w:val="21"/>
              </w:rPr>
              <w:t>登记安全设备（要求见1</w:t>
            </w:r>
            <w:r>
              <w:rPr>
                <w:rFonts w:ascii="仿宋_GB2312" w:hAnsi="仿宋_GB2312" w:cs="仿宋_GB2312" w:eastAsia="仿宋_GB2312"/>
                <w:sz w:val="21"/>
              </w:rPr>
              <w:t>.1.3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3.应用支撑</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充分利用陕西省政务云现有支撑能力，集成调用公共支撑统一身份认证平台、统一密码平台、统一通知消息平台支撑本平台的身份认证与密码应用，在用户注册、登录等操作过程中提供短信验证码及消息通知等服务。使用国家数据资源登记平台统一签发的电子印章，通过登记安全设备，对数据资源登记确认单文件进行电子签章，保护数据资源登记确认单文件的真实性、完整性和不可否认性。</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4.接口对接</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本项目公共数据资源登记平台</w:t>
            </w:r>
            <w:r>
              <w:rPr>
                <w:rFonts w:ascii="仿宋_GB2312" w:hAnsi="仿宋_GB2312" w:cs="仿宋_GB2312" w:eastAsia="仿宋_GB2312"/>
                <w:sz w:val="21"/>
              </w:rPr>
              <w:t>需要</w:t>
            </w:r>
            <w:r>
              <w:rPr>
                <w:rFonts w:ascii="仿宋_GB2312" w:hAnsi="仿宋_GB2312" w:cs="仿宋_GB2312" w:eastAsia="仿宋_GB2312"/>
                <w:sz w:val="21"/>
              </w:rPr>
              <w:t>与省级政务数据平台进行对接，实现政务数据目录信息支撑公共数据资源登记的便捷化填报，同时公示赋码后的公共数据资源记录关联显示政务数据编目信息；与</w:t>
            </w:r>
            <w:r>
              <w:rPr>
                <w:rFonts w:ascii="仿宋_GB2312" w:hAnsi="仿宋_GB2312" w:cs="仿宋_GB2312" w:eastAsia="仿宋_GB2312"/>
                <w:sz w:val="21"/>
              </w:rPr>
              <w:t>省级</w:t>
            </w:r>
            <w:r>
              <w:rPr>
                <w:rFonts w:ascii="仿宋_GB2312" w:hAnsi="仿宋_GB2312" w:cs="仿宋_GB2312" w:eastAsia="仿宋_GB2312"/>
                <w:sz w:val="21"/>
              </w:rPr>
              <w:t>公共数据资源授权运营平台进行对接，</w:t>
            </w:r>
            <w:r>
              <w:rPr>
                <w:rFonts w:ascii="仿宋_GB2312" w:hAnsi="仿宋_GB2312" w:cs="仿宋_GB2312" w:eastAsia="仿宋_GB2312"/>
                <w:sz w:val="21"/>
              </w:rPr>
              <w:t>实现</w:t>
            </w:r>
            <w:r>
              <w:rPr>
                <w:rFonts w:ascii="仿宋_GB2312" w:hAnsi="仿宋_GB2312" w:cs="仿宋_GB2312" w:eastAsia="仿宋_GB2312"/>
                <w:sz w:val="21"/>
              </w:rPr>
              <w:t>公共数据资源</w:t>
            </w:r>
            <w:r>
              <w:rPr>
                <w:rFonts w:ascii="仿宋_GB2312" w:hAnsi="仿宋_GB2312" w:cs="仿宋_GB2312" w:eastAsia="仿宋_GB2312"/>
                <w:sz w:val="21"/>
              </w:rPr>
              <w:t>目录同步</w:t>
            </w:r>
            <w:r>
              <w:rPr>
                <w:rFonts w:ascii="仿宋_GB2312" w:hAnsi="仿宋_GB2312" w:cs="仿宋_GB2312" w:eastAsia="仿宋_GB2312"/>
                <w:sz w:val="21"/>
              </w:rPr>
              <w:t>及数据产品和服务信息</w:t>
            </w:r>
            <w:r>
              <w:rPr>
                <w:rFonts w:ascii="仿宋_GB2312" w:hAnsi="仿宋_GB2312" w:cs="仿宋_GB2312" w:eastAsia="仿宋_GB2312"/>
                <w:sz w:val="21"/>
              </w:rPr>
              <w:t>便捷化登记</w:t>
            </w:r>
            <w:r>
              <w:rPr>
                <w:rFonts w:ascii="仿宋_GB2312" w:hAnsi="仿宋_GB2312" w:cs="仿宋_GB2312" w:eastAsia="仿宋_GB2312"/>
                <w:sz w:val="21"/>
              </w:rPr>
              <w:t>；与国家公共数据资源登记平台进行对接，实现数据产品资源目录和资源登记信息的同步更新，确保资源登记信息的实时同步。同时，这种对接也便于数据资源的共享和开放，为社会各界提供更加丰富、便捷的数据服务；与数据基础设施数据资源目录标准匹配，满足省</w:t>
            </w:r>
            <w:r>
              <w:rPr>
                <w:rFonts w:ascii="仿宋_GB2312" w:hAnsi="仿宋_GB2312" w:cs="仿宋_GB2312" w:eastAsia="仿宋_GB2312"/>
                <w:sz w:val="21"/>
              </w:rPr>
              <w:t>级</w:t>
            </w:r>
            <w:r>
              <w:rPr>
                <w:rFonts w:ascii="仿宋_GB2312" w:hAnsi="仿宋_GB2312" w:cs="仿宋_GB2312" w:eastAsia="仿宋_GB2312"/>
                <w:sz w:val="21"/>
              </w:rPr>
              <w:t>公共数据资源授权运营平台数据登记需求。</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.1.1公共数据资源登记平台系统软件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本项目公共数据资源登记平台系统面向省市县三级登记主体和省市两级登记机构提供公共数据资源登记业务支撑。围绕公共数据资源登记业务工作，覆盖登记前、中、后全流程，形成包括门户模块、用户模块、管理模块、交互模块等核心功能的陕西省公共数据资源登记平台。</w:t>
            </w:r>
          </w:p>
          <w:tbl>
            <w:tblPr>
              <w:tblBorders>
                <w:top w:val="none" w:color="000000" w:sz="4"/>
                <w:left w:val="none" w:color="000000" w:sz="4"/>
                <w:bottom w:val="none" w:color="000000" w:sz="4"/>
                <w:right w:val="none" w:color="000000" w:sz="4"/>
                <w:insideH w:val="none"/>
                <w:insideV w:val="none"/>
              </w:tblBorders>
            </w:tblPr>
            <w:tblGrid>
              <w:gridCol w:w="226"/>
              <w:gridCol w:w="386"/>
              <w:gridCol w:w="194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规模指标</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要求</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业务覆盖</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覆盖公共数据资源登记业务涉及的申请、受理、形式审核、公示、赋码全流程。</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层级覆盖</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省、市、县三级。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用户覆盖</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系统主要用户数不少于3632个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系统其他用户数不少于11800个</w:t>
                  </w:r>
                  <w:r>
                    <w:rPr>
                      <w:rFonts w:ascii="仿宋_GB2312" w:hAnsi="仿宋_GB2312" w:cs="仿宋_GB2312" w:eastAsia="仿宋_GB2312"/>
                      <w:sz w:val="21"/>
                    </w:rPr>
                    <w:t>。</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软件系统</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成品软件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包含陕西省公共数据资源登记平台4个核心功能模块中的26个子功能。分别如下：</w:t>
                  </w:r>
                </w:p>
                <w:p>
                  <w:pPr>
                    <w:pStyle w:val="null3"/>
                    <w:jc w:val="both"/>
                  </w:pPr>
                  <w:r>
                    <w:rPr>
                      <w:rFonts w:ascii="仿宋_GB2312" w:hAnsi="仿宋_GB2312" w:cs="仿宋_GB2312" w:eastAsia="仿宋_GB2312"/>
                      <w:sz w:val="21"/>
                    </w:rPr>
                    <w:t>门户模块（账号注册认证、门户首页、登记指引、登记公示、登记查验、资源发现、登记政策）；</w:t>
                  </w:r>
                </w:p>
                <w:p>
                  <w:pPr>
                    <w:pStyle w:val="null3"/>
                    <w:jc w:val="both"/>
                  </w:pPr>
                  <w:r>
                    <w:rPr>
                      <w:rFonts w:ascii="仿宋_GB2312" w:hAnsi="仿宋_GB2312" w:cs="仿宋_GB2312" w:eastAsia="仿宋_GB2312"/>
                      <w:sz w:val="21"/>
                    </w:rPr>
                    <w:t>用户模块（首页、登记申请、数据查询、凭证管理、异议申诉管理、登记主体管理、用户管理）；</w:t>
                  </w:r>
                </w:p>
                <w:p>
                  <w:pPr>
                    <w:pStyle w:val="null3"/>
                    <w:jc w:val="both"/>
                  </w:pPr>
                  <w:r>
                    <w:rPr>
                      <w:rFonts w:ascii="仿宋_GB2312" w:hAnsi="仿宋_GB2312" w:cs="仿宋_GB2312" w:eastAsia="仿宋_GB2312"/>
                      <w:sz w:val="21"/>
                    </w:rPr>
                    <w:t>管理模块（登记业务管理、登记流程管理、登记主体管理、登记凭证管理、异议申诉管理、系统管理）；</w:t>
                  </w:r>
                </w:p>
                <w:p>
                  <w:pPr>
                    <w:pStyle w:val="null3"/>
                    <w:jc w:val="both"/>
                  </w:pPr>
                  <w:r>
                    <w:rPr>
                      <w:rFonts w:ascii="仿宋_GB2312" w:hAnsi="仿宋_GB2312" w:cs="仿宋_GB2312" w:eastAsia="仿宋_GB2312"/>
                      <w:sz w:val="21"/>
                    </w:rPr>
                    <w:t>交互模块（赋码服务、版式文件服务、电子签章服务、登记安全服务、证书管理服务、数据交换前置服务）。</w:t>
                  </w:r>
                </w:p>
                <w:p>
                  <w:pPr>
                    <w:pStyle w:val="null3"/>
                    <w:jc w:val="both"/>
                  </w:pPr>
                  <w:r>
                    <w:rPr>
                      <w:rFonts w:ascii="仿宋_GB2312" w:hAnsi="仿宋_GB2312" w:cs="仿宋_GB2312" w:eastAsia="仿宋_GB2312"/>
                      <w:sz w:val="21"/>
                      <w:b/>
                    </w:rPr>
                    <w:t>开发软件：</w:t>
                  </w:r>
                </w:p>
                <w:p>
                  <w:pPr>
                    <w:pStyle w:val="null3"/>
                    <w:jc w:val="both"/>
                  </w:pPr>
                  <w:r>
                    <w:rPr>
                      <w:rFonts w:ascii="仿宋_GB2312" w:hAnsi="仿宋_GB2312" w:cs="仿宋_GB2312" w:eastAsia="仿宋_GB2312"/>
                      <w:sz w:val="21"/>
                    </w:rPr>
                    <w:t>包括7个功能模块的二次开发，分别如下：</w:t>
                  </w:r>
                </w:p>
                <w:p>
                  <w:pPr>
                    <w:pStyle w:val="null3"/>
                    <w:jc w:val="both"/>
                  </w:pPr>
                  <w:r>
                    <w:rPr>
                      <w:rFonts w:ascii="仿宋_GB2312" w:hAnsi="仿宋_GB2312" w:cs="仿宋_GB2312" w:eastAsia="仿宋_GB2312"/>
                      <w:sz w:val="21"/>
                    </w:rPr>
                    <w:t>门户模块（门户首页）；</w:t>
                  </w:r>
                </w:p>
                <w:p>
                  <w:pPr>
                    <w:pStyle w:val="null3"/>
                    <w:jc w:val="both"/>
                  </w:pPr>
                  <w:r>
                    <w:rPr>
                      <w:rFonts w:ascii="仿宋_GB2312" w:hAnsi="仿宋_GB2312" w:cs="仿宋_GB2312" w:eastAsia="仿宋_GB2312"/>
                      <w:sz w:val="21"/>
                    </w:rPr>
                    <w:t>用户模块（首页、数据查询、异议申诉管理）；</w:t>
                  </w:r>
                </w:p>
                <w:p>
                  <w:pPr>
                    <w:pStyle w:val="null3"/>
                    <w:jc w:val="both"/>
                  </w:pPr>
                  <w:r>
                    <w:rPr>
                      <w:rFonts w:ascii="仿宋_GB2312" w:hAnsi="仿宋_GB2312" w:cs="仿宋_GB2312" w:eastAsia="仿宋_GB2312"/>
                      <w:sz w:val="21"/>
                    </w:rPr>
                    <w:t>管理模块（登记业务管理、登记机构管理、统计分析管理）。</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运行要求</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系统全年正常运行率不小于99.9%；一般页面的载入时间小于等于3秒。</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应用支撑</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充分利用陕西省政务云现有支撑能力，集成调用公共支撑统一身份认证平台、统一密码平台、统一通知消息平台支撑本平台的身份认证与密码应用，在用户注册、登录等操作过程中提供短信验证码及消息通知等服务。</w:t>
                  </w:r>
                </w:p>
                <w:p>
                  <w:pPr>
                    <w:pStyle w:val="null3"/>
                    <w:jc w:val="both"/>
                  </w:pPr>
                  <w:r>
                    <w:rPr>
                      <w:rFonts w:ascii="仿宋_GB2312" w:hAnsi="仿宋_GB2312" w:cs="仿宋_GB2312" w:eastAsia="仿宋_GB2312"/>
                      <w:sz w:val="21"/>
                    </w:rPr>
                    <w:t>使用国家数据资源登记平台统一签发的电子印章，通过登记安全设备，对数据资源登记确认单文件进行电子签章，保护数据资源登记确认单文件的真实性、完整性和不可否认性。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部署范围</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根据应用服务场景，将系统部署于省级政务云，同步完成操作系统、数据库、中间件的国产化改造适配。</w:t>
                  </w:r>
                </w:p>
              </w:tc>
            </w:tr>
          </w:tbl>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.1.2系统接口设计及集成</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为保证公共数据资源登记平台的功能完整实现，登记平台系统需要至少完成4方面的接口对接。</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与省级政务数据平台进行对接，实现政务数据目录信息支撑公共数据资源登记的便捷化填报，同时公示赋码后的公共数据资源记录关联显示政务数据编目信息。省级政务数据平台同步集成公共数据资源目录信息进行数据编目，方便公共数据授权运营活动的开展。具体目录编制要求参照《公共数据资源目录编制指南》和《数据基础设施 数据目录描述规范》。</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（2）与陕西省公共数据资源授权运营平台进行对接，</w:t>
            </w:r>
            <w:r>
              <w:rPr>
                <w:rFonts w:ascii="仿宋_GB2312" w:hAnsi="仿宋_GB2312" w:cs="仿宋_GB2312" w:eastAsia="仿宋_GB2312"/>
                <w:sz w:val="21"/>
              </w:rPr>
              <w:t>实现</w:t>
            </w:r>
            <w:r>
              <w:rPr>
                <w:rFonts w:ascii="仿宋_GB2312" w:hAnsi="仿宋_GB2312" w:cs="仿宋_GB2312" w:eastAsia="仿宋_GB2312"/>
                <w:sz w:val="21"/>
              </w:rPr>
              <w:t>公共数据资源</w:t>
            </w:r>
            <w:r>
              <w:rPr>
                <w:rFonts w:ascii="仿宋_GB2312" w:hAnsi="仿宋_GB2312" w:cs="仿宋_GB2312" w:eastAsia="仿宋_GB2312"/>
                <w:sz w:val="21"/>
              </w:rPr>
              <w:t>目录同步</w:t>
            </w:r>
            <w:r>
              <w:rPr>
                <w:rFonts w:ascii="仿宋_GB2312" w:hAnsi="仿宋_GB2312" w:cs="仿宋_GB2312" w:eastAsia="仿宋_GB2312"/>
                <w:sz w:val="21"/>
              </w:rPr>
              <w:t>及数据产品和服务信息</w:t>
            </w:r>
            <w:r>
              <w:rPr>
                <w:rFonts w:ascii="仿宋_GB2312" w:hAnsi="仿宋_GB2312" w:cs="仿宋_GB2312" w:eastAsia="仿宋_GB2312"/>
                <w:sz w:val="21"/>
              </w:rPr>
              <w:t>便捷化登记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（3）与国家公共数据资源登记平台进行对接，实现数据产品/资源目录和资源登记信息的同步更新，确保资源登记信息的实时同步。</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通过数据资源目录分类设计、数据产品目录分类设计、数据资源目录编目设计、数据产品目录编目设计等能力建设，与数据基础设施数据目录匹配，实现公共数据资源登记信息与区域功能节点对接，实现数据资源目录的信息同步。</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.1.3登记安全设备</w:t>
            </w:r>
          </w:p>
          <w:p>
            <w:pPr>
              <w:pStyle w:val="null3"/>
              <w:ind w:firstLine="480"/>
              <w:jc w:val="both"/>
            </w:pPr>
            <w:r>
              <w:rPr>
                <w:rFonts w:ascii="仿宋_GB2312" w:hAnsi="仿宋_GB2312" w:cs="仿宋_GB2312" w:eastAsia="仿宋_GB2312"/>
                <w:sz w:val="21"/>
              </w:rPr>
              <w:t>为保障陕西省公共数据资源登记平台同国家公共数据资源登记平台的互信互联互通，需提供一套主备部署的登记安全设备。具体需求如下：</w:t>
            </w:r>
          </w:p>
          <w:tbl>
            <w:tblPr>
              <w:tblBorders>
                <w:top w:val="none" w:color="000000" w:sz="4"/>
                <w:left w:val="none" w:color="000000" w:sz="4"/>
                <w:bottom w:val="none" w:color="000000" w:sz="4"/>
                <w:right w:val="none" w:color="000000" w:sz="4"/>
                <w:insideH w:val="none"/>
                <w:insideV w:val="none"/>
              </w:tblBorders>
            </w:tblPr>
            <w:tblGrid>
              <w:gridCol w:w="214"/>
              <w:gridCol w:w="517"/>
              <w:gridCol w:w="219"/>
              <w:gridCol w:w="1085"/>
              <w:gridCol w:w="51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技术指标</w:t>
                  </w:r>
                </w:p>
              </w:tc>
              <w:tc>
                <w:tcPr>
                  <w:tcW w:type="dxa" w:w="182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指标参数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资质资料</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具备国家密码管理局商用密码检测中心签发的商用密码产品认证证书，且证书在有效期内。</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安全技术标准</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GM/T 0030《服务器密码机技术规范》</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GM/T 0028《密码模块安全技术要求》第二级要求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部署方式</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应用一体机，机架式设备，双机主备方式部署。</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算法支持</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非对称密码算法：支持SM2算法。</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对称密码算法：支持SM4算法。</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摘要算法：支持SM3算法。</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密码运算</w:t>
                  </w:r>
                </w:p>
              </w:tc>
              <w:tc>
                <w:tcPr>
                  <w:tcW w:type="dxa" w:w="13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性能项目</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指标</w:t>
                  </w:r>
                </w:p>
              </w:tc>
            </w:tr>
            <w:tr>
              <w:tc>
                <w:tcPr>
                  <w:tcW w:type="dxa" w:w="214"/>
                  <w:vMerge/>
                  <w:tcBorders>
                    <w:top w:val="none" w:color="000000" w:sz="4"/>
                    <w:left w:val="single" w:color="000000" w:sz="4"/>
                    <w:bottom w:val="single" w:color="000000" w:sz="4"/>
                    <w:right w:val="single" w:color="000000" w:sz="4"/>
                  </w:tcBorders>
                </w:tcPr>
                <w:p/>
              </w:tc>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性能指标</w:t>
                  </w:r>
                </w:p>
              </w:tc>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SM2算法</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SM2密钥生产【对/秒】</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SM2私钥签名【次/秒】</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SM2公钥验证【次/秒】</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SM2公钥加密【次/秒】</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SM2私钥解密【次/秒】</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SM2密钥对存储数量</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SM4算法</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加解密【Mbps】</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SM4密钥存储数量</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SM3算法</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摘要计算【Mbps】</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≥800</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密钥管理</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支持对非对称密钥、对称密钥的生成、更新、销毁、导出、备份等密钥生命周 期管理功能。</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支持集群部署方式下安全的进行主备机密钥自动同步功能。</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访问控制</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支持调用访问本设备的IP地址白名单管理功能。</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硬件要求</w:t>
                  </w: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规格：2U机架式服务器</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CPU：国产化CPU≥8核</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内存：≥64GB DDR4</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硬盘：≥480G SSD</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工作电源：550W(1+1)冗余电源</w:t>
                  </w:r>
                </w:p>
              </w:tc>
            </w:tr>
            <w:tr>
              <w:tc>
                <w:tcPr>
                  <w:tcW w:type="dxa" w:w="214"/>
                  <w:vMerge/>
                  <w:tcBorders>
                    <w:top w:val="none" w:color="000000" w:sz="4"/>
                    <w:left w:val="single" w:color="000000" w:sz="4"/>
                    <w:bottom w:val="single" w:color="000000" w:sz="4"/>
                    <w:right w:val="single" w:color="000000" w:sz="4"/>
                  </w:tcBorders>
                </w:tcPr>
                <w:p/>
              </w:tc>
              <w:tc>
                <w:tcPr>
                  <w:tcW w:type="dxa" w:w="517"/>
                  <w:vMerge/>
                  <w:tcBorders>
                    <w:top w:val="none" w:color="000000" w:sz="4"/>
                    <w:left w:val="single" w:color="000000" w:sz="4"/>
                    <w:bottom w:val="single" w:color="000000" w:sz="4"/>
                    <w:right w:val="single" w:color="000000" w:sz="4"/>
                  </w:tcBorders>
                </w:tcPr>
                <w:p/>
              </w:tc>
              <w:tc>
                <w:tcPr>
                  <w:tcW w:type="dxa" w:w="18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网卡：10M/100M/1000M自适应千兆网卡 x2</w:t>
                  </w:r>
                </w:p>
              </w:tc>
            </w:tr>
          </w:tbl>
          <w:p>
            <w:pPr>
              <w:pStyle w:val="null3"/>
              <w:jc w:val="both"/>
            </w:pPr>
            <w:r>
              <w:rPr>
                <w:rFonts w:ascii="仿宋_GB2312" w:hAnsi="仿宋_GB2312" w:cs="仿宋_GB2312" w:eastAsia="仿宋_GB2312"/>
                <w:sz w:val="21"/>
                <w:b/>
              </w:rPr>
              <w:t xml:space="preserve">  1</w:t>
            </w:r>
            <w:r>
              <w:rPr>
                <w:rFonts w:ascii="仿宋_GB2312" w:hAnsi="仿宋_GB2312" w:cs="仿宋_GB2312" w:eastAsia="仿宋_GB2312"/>
                <w:sz w:val="21"/>
                <w:b/>
              </w:rPr>
              <w:t>.2.建设地点及周期</w:t>
            </w:r>
          </w:p>
          <w:p>
            <w:pPr>
              <w:pStyle w:val="null3"/>
              <w:ind w:firstLine="240"/>
              <w:jc w:val="both"/>
            </w:pPr>
            <w:r>
              <w:rPr>
                <w:rFonts w:ascii="仿宋_GB2312" w:hAnsi="仿宋_GB2312" w:cs="仿宋_GB2312" w:eastAsia="仿宋_GB2312"/>
                <w:sz w:val="21"/>
              </w:rPr>
              <w:t xml:space="preserve">  </w:t>
            </w:r>
            <w:r>
              <w:rPr>
                <w:rFonts w:ascii="仿宋_GB2312" w:hAnsi="仿宋_GB2312" w:cs="仿宋_GB2312" w:eastAsia="仿宋_GB2312"/>
                <w:sz w:val="21"/>
              </w:rPr>
              <w:t>建设地点：建设单位指定地点；</w:t>
            </w:r>
          </w:p>
          <w:p>
            <w:pPr>
              <w:pStyle w:val="null3"/>
              <w:ind w:firstLine="240"/>
              <w:jc w:val="both"/>
            </w:pPr>
            <w:r>
              <w:rPr>
                <w:rFonts w:ascii="仿宋_GB2312" w:hAnsi="仿宋_GB2312" w:cs="仿宋_GB2312" w:eastAsia="仿宋_GB2312"/>
                <w:sz w:val="21"/>
              </w:rPr>
              <w:t xml:space="preserve">  </w:t>
            </w:r>
            <w:r>
              <w:rPr>
                <w:rFonts w:ascii="仿宋_GB2312" w:hAnsi="仿宋_GB2312" w:cs="仿宋_GB2312" w:eastAsia="仿宋_GB2312"/>
                <w:sz w:val="21"/>
              </w:rPr>
              <w:t>建设周期：登记平台建设期90日历日，试运行</w:t>
            </w:r>
            <w:r>
              <w:rPr>
                <w:rFonts w:ascii="仿宋_GB2312" w:hAnsi="仿宋_GB2312" w:cs="仿宋_GB2312" w:eastAsia="仿宋_GB2312"/>
                <w:sz w:val="21"/>
              </w:rPr>
              <w:t>90</w:t>
            </w:r>
            <w:r>
              <w:rPr>
                <w:rFonts w:ascii="仿宋_GB2312" w:hAnsi="仿宋_GB2312" w:cs="仿宋_GB2312" w:eastAsia="仿宋_GB2312"/>
                <w:sz w:val="21"/>
              </w:rPr>
              <w:t>日历日。</w:t>
            </w:r>
          </w:p>
          <w:p>
            <w:pPr>
              <w:pStyle w:val="null3"/>
              <w:jc w:val="both"/>
            </w:pPr>
            <w:r>
              <w:rPr>
                <w:rFonts w:ascii="仿宋_GB2312" w:hAnsi="仿宋_GB2312" w:cs="仿宋_GB2312" w:eastAsia="仿宋_GB2312"/>
                <w:sz w:val="21"/>
                <w:b/>
              </w:rPr>
              <w:t xml:space="preserve">  1</w:t>
            </w:r>
            <w:r>
              <w:rPr>
                <w:rFonts w:ascii="仿宋_GB2312" w:hAnsi="仿宋_GB2312" w:cs="仿宋_GB2312" w:eastAsia="仿宋_GB2312"/>
                <w:sz w:val="21"/>
                <w:b/>
              </w:rPr>
              <w:t>.3.相关要求</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.3.1.系统软件要求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（1）满足等级保护要求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系统软件需</w:t>
            </w:r>
            <w:r>
              <w:rPr>
                <w:rFonts w:ascii="仿宋_GB2312" w:hAnsi="仿宋_GB2312" w:cs="仿宋_GB2312" w:eastAsia="仿宋_GB2312"/>
                <w:sz w:val="21"/>
              </w:rPr>
              <w:t>通过采购人组织的</w:t>
            </w:r>
            <w:r>
              <w:rPr>
                <w:rFonts w:ascii="仿宋_GB2312" w:hAnsi="仿宋_GB2312" w:cs="仿宋_GB2312" w:eastAsia="仿宋_GB2312"/>
                <w:sz w:val="21"/>
              </w:rPr>
              <w:t>网络安全等级保护三级和密码测评三级</w:t>
            </w:r>
            <w:r>
              <w:rPr>
                <w:rFonts w:ascii="仿宋_GB2312" w:hAnsi="仿宋_GB2312" w:cs="仿宋_GB2312" w:eastAsia="仿宋_GB2312"/>
                <w:sz w:val="21"/>
              </w:rPr>
              <w:t>测评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（2）系统可靠性</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系统全年正常运行时间（小时）占比不低于99.9%。</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（3）系统性能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系统一般页面的载入时间：≤3秒</w:t>
            </w:r>
          </w:p>
          <w:p>
            <w:pPr>
              <w:pStyle w:val="null3"/>
              <w:ind w:firstLine="380"/>
              <w:jc w:val="both"/>
            </w:pPr>
            <w:r>
              <w:rPr>
                <w:rFonts w:ascii="仿宋_GB2312" w:hAnsi="仿宋_GB2312" w:cs="仿宋_GB2312" w:eastAsia="仿宋_GB2312"/>
                <w:sz w:val="21"/>
              </w:rPr>
              <w:t xml:space="preserve"> 系统在网络访问畅通情况下，结果小于5</w:t>
            </w:r>
            <w:r>
              <w:rPr>
                <w:rFonts w:ascii="仿宋_GB2312" w:hAnsi="仿宋_GB2312" w:cs="仿宋_GB2312" w:eastAsia="仿宋_GB2312"/>
                <w:sz w:val="21"/>
              </w:rPr>
              <w:t>00</w:t>
            </w:r>
            <w:r>
              <w:rPr>
                <w:rFonts w:ascii="仿宋_GB2312" w:hAnsi="仿宋_GB2312" w:cs="仿宋_GB2312" w:eastAsia="仿宋_GB2312"/>
                <w:sz w:val="21"/>
              </w:rPr>
              <w:t>条时，第一页显示响应时间：≤3秒</w:t>
            </w:r>
          </w:p>
          <w:p>
            <w:pPr>
              <w:pStyle w:val="null3"/>
              <w:ind w:firstLine="380"/>
              <w:jc w:val="both"/>
            </w:pPr>
            <w:r>
              <w:rPr>
                <w:rFonts w:ascii="仿宋_GB2312" w:hAnsi="仿宋_GB2312" w:cs="仿宋_GB2312" w:eastAsia="仿宋_GB2312"/>
                <w:sz w:val="21"/>
              </w:rPr>
              <w:t xml:space="preserve"> </w:t>
            </w:r>
            <w:r>
              <w:rPr>
                <w:rFonts w:ascii="仿宋_GB2312" w:hAnsi="仿宋_GB2312" w:cs="仿宋_GB2312" w:eastAsia="仿宋_GB2312"/>
                <w:sz w:val="21"/>
              </w:rPr>
              <w:t>系统最大在线用户数：</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（4）安全性</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1）系统安全：避免发生因病毒、木马等外部因素造成系统大面积瘫痪的安全事故；</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2）信息安全：避免发生信息泄露并造成恶劣影响的事件发生；</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（5）国产化要求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软件系统须满足国产化要求；并提供软件著作权等证明材料。</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.3.2.运维服务要求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建设完成终验后运维一年，提供5×8小时运维服务，对运维过程中出现的各类系统问题、故障及时处理，对用户咨询提供及时的技术支持服务。</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.3.3.交付资料要求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建设期内加强项目管理各环节，按《陕西省省级政务信息化项目建设管理办法（暂行）》《陕西省省级政务信息化项目竣工验收管理办法(试行)》等形成建设单位要求的各种项目材料及档案，并配合完成档案验收。</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.3.4.人员配置要求</w:t>
            </w:r>
          </w:p>
          <w:p>
            <w:pPr>
              <w:pStyle w:val="null3"/>
              <w:ind w:firstLine="390"/>
              <w:jc w:val="both"/>
            </w:pPr>
            <w:r>
              <w:rPr>
                <w:rFonts w:ascii="仿宋_GB2312" w:hAnsi="仿宋_GB2312" w:cs="仿宋_GB2312" w:eastAsia="仿宋_GB2312"/>
                <w:sz w:val="21"/>
              </w:rPr>
              <w:t>项目团队人员：项目经理1名，产品经理1名，研发人员至少2名，要求项目经理、产品经理、研发人员在建设期驻场。</w:t>
            </w:r>
          </w:p>
          <w:p>
            <w:pPr>
              <w:pStyle w:val="null3"/>
              <w:ind w:firstLine="390"/>
              <w:jc w:val="both"/>
            </w:pPr>
            <w:r>
              <w:rPr>
                <w:rFonts w:ascii="仿宋_GB2312" w:hAnsi="仿宋_GB2312" w:cs="仿宋_GB2312" w:eastAsia="仿宋_GB2312"/>
                <w:sz w:val="21"/>
              </w:rPr>
              <w:t>★技术支持及维护人员：2名，要求技术支持及维护人员在运维期驻场，并提供相应驻场运维承诺函。</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.3.5.保密要求</w:t>
            </w:r>
          </w:p>
          <w:p>
            <w:pPr>
              <w:pStyle w:val="null3"/>
              <w:ind w:firstLine="240"/>
              <w:jc w:val="both"/>
            </w:pPr>
            <w:r>
              <w:rPr>
                <w:rFonts w:ascii="仿宋_GB2312" w:hAnsi="仿宋_GB2312" w:cs="仿宋_GB2312" w:eastAsia="仿宋_GB2312"/>
                <w:sz w:val="21"/>
              </w:rPr>
              <w:t>本项目服务人员对接触到的各类账号、数据、文件、资料和信息等应严格保密，未经招标人书面授权，不得向任何公司和个人泄露；如出现相关信息泄露，将依法追究相关责任。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项目团队人员：项目经理1名，产品经理1名，研发人员至少2名，要求项目经理、产品经理、研发人员在建设期驻场。 ★技术支持及维护人员：2名，要求技术支持及维护人员在运维期驻场，并提供相应驻场运维承诺函。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登记平台建设期90日历日，试运行90日历日。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采购人指点地点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1）由甲方负责组织验收；验收合格须交接项目实施的全部资料，并填写政府采购项目验收报告单。验收须以合同、采购文件及响应文件、澄清、及国家相应的标准、规范等为依据。 2）在甲方要求的期限内，乙方提交成果不具备验收条件的或验收不合格的，经甲方书面同意后可以根据实际情况，给予乙方一定的宽限期进行完善和修正。在宽限期内验收合格的，不视为违约，交付期限相应予以顺延；宽限期满仍不具备验收条件或验收不合格的，按“违约责任”条款处理 3）验收说明。①初步验收。由项目单位组织，承建单位和监理单位参与，根据需要可邀请专家参加，对承建单位按照合同约定，完成能满足系统运行需要的建设内容等情况，开展初步验收并形成验收意见。按照合同约定，完成陕西省公共数据资源登记平台部署及上线，并具备试运行条件，即可开展项目初步验收。②最终验收。由项目单位、承建单位、监理单位、测试评估等相关单位及专家参与，对项目是否符合批复文件要求，是否达到设计要求、建设目标、质量水平等方面情况，开展最终验收并形成验收意见。③档案验收。竣工验收前，项目建设单位向省档案局提出档案专项验收申请，启动档案专项验收，形成档案验收情况说明。④竣工验收。项目单位、承建单位、监理单位、测试评估等相关单位参与，对项目是否符合批复文件要求，是否达到设计要求、资金绩效、质量水平等方面情况，开展竣工验收并形成验收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签订合同后30个工作日内，由中标人书面提出支付申请函及拟支付金额等额的符合采购人财务管理要求的相应发票，达到付款条件，采购人确认后启动支付流程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项目初步验收通过后30个工作日内，由中标人书面提出支付申请函及拟支付金额等额的符合采购人财务管理要求的相应发票，达到付款条件，采购人确认后启动支付流程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项目最终验收通过后，采购人收到中标人开具的合格等额普通发票的30个工作日内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1）依据《中华人民共和国民法典》、《中华人民共和国政府采购法》的相关条款执行。 2）成交供应商未按合同要求履行，不符合磋商技术要求，成交供应商必须无条件更换人员或设备，提高技术，完善质量，否则，采购人有权终止合同，并对成交供应商的违约行为进行追究。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报价要求 1）合同总价包括：项目实施、设备采购、试运行及运维期内产生的一切费用及人员培训等费用（含税）。 2）合同总价一次包死，不受市场价格、工作量变化等其它因素的影响。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经营主体</w:t>
            </w:r>
          </w:p>
        </w:tc>
        <w:tc>
          <w:tcPr>
            <w:tcW w:type="dxa" w:w="3322"/>
          </w:tcPr>
          <w:p>
            <w:pPr>
              <w:pStyle w:val="null3"/>
            </w:pPr>
            <w:r>
              <w:rPr>
                <w:rFonts w:ascii="仿宋_GB2312" w:hAnsi="仿宋_GB2312" w:cs="仿宋_GB2312" w:eastAsia="仿宋_GB2312"/>
              </w:rPr>
              <w:t>供应商为合法注册的法人或其他组供应商具有独立承担民事责任能力的法人、其他组织或自然人，并出具合法有效的营业执照或事业单位法人证书等国家规定的相关证明，自然人参与的提供其身份证明；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法定代表人授权书及被授权人身份证（法定代表人直接参与，只须提交其身份证明）</w:t>
            </w:r>
          </w:p>
        </w:tc>
        <w:tc>
          <w:tcPr>
            <w:tcW w:type="dxa" w:w="3322"/>
          </w:tcPr>
          <w:p>
            <w:pPr>
              <w:pStyle w:val="null3"/>
            </w:pPr>
            <w:r>
              <w:rPr>
                <w:rFonts w:ascii="仿宋_GB2312" w:hAnsi="仿宋_GB2312" w:cs="仿宋_GB2312" w:eastAsia="仿宋_GB2312"/>
              </w:rPr>
              <w:t>法定代表人授权书及被授权人身份证（法定代表人直接参与，只须提交其身份证明）；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月至今至少一个月的纳税证明或完税证明（任意税种，时间以税款所属日期为准）证明应有税务机关或代收机关的公章或业务专用章）；依法免税的单位应提供相关文件证明；供应商为零申报企业提供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本项目不接受联合体磋商（提供非联合体承诺书）；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单位负责人为同一人或者存在控股、管理关系的不同单位不得同时磋商（提供供应商企业关系关联承诺书）；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以采购代理机构现场网查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磋商保证金交纳凭证（附开户许可证或基本账户存款信息）。</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供应商名称与获取磋商文件的单位名称一致的</w:t>
            </w:r>
          </w:p>
        </w:tc>
        <w:tc>
          <w:tcPr>
            <w:tcW w:type="dxa" w:w="1661"/>
          </w:tcPr>
          <w:p>
            <w:pPr>
              <w:pStyle w:val="null3"/>
            </w:pPr>
            <w:r>
              <w:rPr>
                <w:rFonts w:ascii="仿宋_GB2312" w:hAnsi="仿宋_GB2312" w:cs="仿宋_GB2312" w:eastAsia="仿宋_GB2312"/>
              </w:rPr>
              <w:t>响应文件封面 分项报价表.docx 商务要求偏离表.docx 磋商方案说明.docx 中小企业声明函 残疾人福利性单位声明函 标的清单 其他资料.docx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磋商响应文件按照磋商文件规定要求签署、盖章的</w:t>
            </w:r>
          </w:p>
        </w:tc>
        <w:tc>
          <w:tcPr>
            <w:tcW w:type="dxa" w:w="1661"/>
          </w:tcPr>
          <w:p>
            <w:pPr>
              <w:pStyle w:val="null3"/>
            </w:pPr>
            <w:r>
              <w:rPr>
                <w:rFonts w:ascii="仿宋_GB2312" w:hAnsi="仿宋_GB2312" w:cs="仿宋_GB2312" w:eastAsia="仿宋_GB2312"/>
              </w:rPr>
              <w:t>响应文件封面 分项报价表.docx 商务要求偏离表.docx 磋商方案说明.docx 中小企业声明函 残疾人福利性单位声明函 标的清单 其他资料.docx 报价表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具有有效的响应有效期；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重大负偏离</w:t>
            </w:r>
          </w:p>
        </w:tc>
        <w:tc>
          <w:tcPr>
            <w:tcW w:type="dxa" w:w="3322"/>
          </w:tcPr>
          <w:p>
            <w:pPr>
              <w:pStyle w:val="null3"/>
            </w:pPr>
            <w:r>
              <w:rPr>
                <w:rFonts w:ascii="仿宋_GB2312" w:hAnsi="仿宋_GB2312" w:cs="仿宋_GB2312" w:eastAsia="仿宋_GB2312"/>
              </w:rPr>
              <w:t>磋商响应文件未出现重大负偏离的。</w:t>
            </w:r>
          </w:p>
        </w:tc>
        <w:tc>
          <w:tcPr>
            <w:tcW w:type="dxa" w:w="1661"/>
          </w:tcPr>
          <w:p>
            <w:pPr>
              <w:pStyle w:val="null3"/>
            </w:pPr>
            <w:r>
              <w:rPr>
                <w:rFonts w:ascii="仿宋_GB2312" w:hAnsi="仿宋_GB2312" w:cs="仿宋_GB2312" w:eastAsia="仿宋_GB2312"/>
              </w:rPr>
              <w:t>响应文件封面 分项报价表.docx 商务要求偏离表.docx 磋商方案说明.docx 中小企业声明函 残疾人福利性单位声明函 标的清单 其他资料.docx 报价表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供应商提供2022年1月1日至今（以合同签订时间为准）类似项目业绩，每提供1项计1分，最高3分。 备注：提供业绩资料扫描件并加盖供应商公章。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供应商针对本项目提供的系统设计方案，方案至少包含：①建设目标与内容（包括不限于建设目标、建设内容、建设规模、建设周期等）；②现状分析（包括不限于业务现状分析、业务应用系统现状分析、应用支撑系统现状分析、数据资源现状分析、网络安全现状分析、运行维护现状分析、信息基础设施现状分析等）及对应的需求分析（包含不限于业务需求分析、应用系统功能需求分析、应用支撑需求分析、数据资源需求分析、网络安全需求分析、运维需求分析、系统性能分析、基础设施需求分析等）；③建设方案（包含不限于架构设计、数据架构、技术架构、网络拓扑、部署架构、系统内外部关联关系等）；④详细应用系统设计方案（针对详细建设描述，包括不限于公共数据资源登记平台系统架构、门户/用户/管理/交互功能模块详细设计、内外部系统接口设计及集成、国产化适配设计、身份/签章应用支撑设计、数据资源设计、基础设施设计、运维维护设计、系统备份设计等内容）；⑤数据资源共享方案（针对公共数据资源对接共享，包括不限于数据需求、数据供给、数据资源目录设计、数据资源共享等）。 评审依据：上述内容无缺少、无瑕疵、满足采购文件要求计27分（①项内容分值为4分，②项内容分值为5分，③项内容分值为6分，④项内容分值为7分，⑤项内容分值为5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供应商针对本项目提供详细的实施方案，内容至少包含：①项目组织管理及协调；②工作流程节点梳理及工作制度；③供货及实施计划；④风险管理和控制措施。 评审依据：上述内容无缺少、无瑕疵、满足采购文件要求计16分（各单项内容分值为4分）；方案内容每有一处瑕疵扣1分，单项内容分值扣完为止，未提供不得分。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1、供应商所投产品货源渠道来源正规，能提供产品合法来源渠道的证明文件，提供的计1分，未提供不计分。 2、供应商针对本项目提供详细的质量保障方案，方案至少包含：①质量目标；②组织保障措施；③技术保障措施。满分9分，未提供不计分。 评审依据：上述内容无缺少、无瑕疵、满足采购文件要求计10分（1项内容分值为1分，2项中各单项内容分值为3分）；方案内容每有一处瑕疵扣1分，单项内容分值扣完为止，未提供不得分。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提供具体方案，方案包含：①人员配备数量及清单；②人员职责与分工；③团队人员专业性，团队人员至少需具备软件设计师证书、注册信息安全工程师证书等，缺少一项证书的扣1分。④团队人员工作经验。评审依据：上述内容无缺少、无瑕疵、满足采购文件要求计11分（①项内容分值为3分，②项内容分值为3分，③项内容分值为2分，④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供应商针对本项目提供培训方案，方案至少包含：①培训计划；②培训内容；③培训形式和目标。 评审依据：上述内容无缺少、无瑕疵、满足采购文件要求计6分（各单项内容分值为2分）；方案内容每有一处瑕疵扣1分，单项内容分值扣完为止，未提供不得分。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具有完善的售后服务方案，包含至少包含：①售后服务内容（包含但不限于一年期软件售后服务和三年期硬件售后服务）、售后机构完善程度；②响应时限、解决问题的能力；③紧急故障处理预案等；④对后期服务的保证措施。 评审依据：上述内容无缺少、无瑕疵、满足采购文件要求计10分（各单项内容分值为2.5分）；方案内容每有一处瑕疵扣1分，单项内容分值扣完为止，未提供不得分。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信息安全 及保密</w:t>
            </w:r>
          </w:p>
        </w:tc>
        <w:tc>
          <w:tcPr>
            <w:tcW w:type="dxa" w:w="2492"/>
          </w:tcPr>
          <w:p>
            <w:pPr>
              <w:pStyle w:val="null3"/>
            </w:pPr>
            <w:r>
              <w:rPr>
                <w:rFonts w:ascii="仿宋_GB2312" w:hAnsi="仿宋_GB2312" w:cs="仿宋_GB2312" w:eastAsia="仿宋_GB2312"/>
              </w:rPr>
              <w:t>1、供应商针对本项目提供信息安全及保密的承诺函加盖公章，计1分。 2、供应商针对本项目提供信息安全及保密方案，方案至少包含：①供应商自身的信息安全及保密的管理制度；②针对本项目的信息安全及保密措施。 评审依据：上述内容无缺少、无瑕疵、满足采购文件要求计7分（1项内容分值为1分，2项中各单项内容分值为3分）；方案内容每有一处瑕疵扣1分，单项内容分值扣完为止，未提供不得分。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