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版本号：DRZB2025-ZC-20720251212001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2026年货物贸易境外重点展会（一）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DRZB2025-ZC-207</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2026年货物贸易境外重点展会（一）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DRZB2025-ZC-207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2026年货物贸易境外重点展会（一）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包1：俄罗斯国际家居及全品类消费品博览会，具体详见采购文件。 包2：第9届埃及石油天然气展，具体详见采购文件。 包3：阿联酋迪拜制药展览会，具体详见采购文件。 包4：巴西圣保罗食品展，具体详见采购文件。 包5：沙特国际汽车零部件、汽车技术及服务展，具体详见采购文件。 包6：汉诺威工业博览会，具体详见采购文件。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采购包1（俄罗斯国际家居及全品类消费品博览会目）：属于专门面向小微企业采购。</w:t>
      </w:r>
    </w:p>
    <w:p>
      <w:pPr>
        <w:pStyle w:val="null3"/>
      </w:pPr>
      <w:r>
        <w:rPr>
          <w:rFonts w:ascii="仿宋_GB2312" w:hAnsi="仿宋_GB2312" w:cs="仿宋_GB2312" w:eastAsia="仿宋_GB2312"/>
        </w:rPr>
        <w:t>采购包3（阿联酋迪拜制药展览会）：属于专门面向小微企业采购。</w:t>
      </w:r>
    </w:p>
    <w:p>
      <w:pPr>
        <w:pStyle w:val="null3"/>
      </w:pPr>
      <w:r>
        <w:rPr>
          <w:rFonts w:ascii="仿宋_GB2312" w:hAnsi="仿宋_GB2312" w:cs="仿宋_GB2312" w:eastAsia="仿宋_GB2312"/>
        </w:rPr>
        <w:t>采购包4（巴西圣保罗食品展）：属于专门面向小微企业采购。</w:t>
      </w:r>
    </w:p>
    <w:p>
      <w:pPr>
        <w:pStyle w:val="null3"/>
      </w:pPr>
      <w:r>
        <w:rPr>
          <w:rFonts w:ascii="仿宋_GB2312" w:hAnsi="仿宋_GB2312" w:cs="仿宋_GB2312" w:eastAsia="仿宋_GB2312"/>
        </w:rPr>
        <w:t>采购包5（沙特国际汽车零部件、汽车技术及服务展）：属于专门面向小微企业采购。</w:t>
      </w:r>
    </w:p>
    <w:p>
      <w:pPr>
        <w:pStyle w:val="null3"/>
      </w:pPr>
      <w:r>
        <w:rPr>
          <w:rFonts w:ascii="仿宋_GB2312" w:hAnsi="仿宋_GB2312" w:cs="仿宋_GB2312" w:eastAsia="仿宋_GB2312"/>
        </w:rPr>
        <w:t>采购包6（汉诺威工业博览会）：属于专门面向小微企业采购。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授权代表身份证及被授权人开标前六个月内任意一个月的社保缴纳证明材料；</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10、中小企业声明函：本项目专门面向小微企业采购，供应商须提供中小企业声明函；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授权代表身份证及被授权人开标前六个月内任意一个月的社保缴纳证明材料；</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10、非联合体声明：本项目不接受联合体磋商，提供非联合体磋商声明。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授权代表身份证及被授权人开标前六个月内任意一个月的社保缴纳证明材料；</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10、中小企业声明函：本项目专门面向小微企业采购，供应商须提供中小企业声明函；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授权代表身份证及被授权人开标前六个月内任意一个月的社保缴纳证明材料；</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10、中小企业声明函：本项目专门面向小微企业采购，供应商须提供中小企业声明函；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授权代表身份证及被授权人开标前六个月内任意一个月的社保缴纳证明材料；</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10、中小企业声明函：本项目专门面向小微企业采购，供应商须提供中小企业声明函；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授权代表身份证及被授权人开标前六个月内任意一个月的社保缴纳证明材料；</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10、中小企业声明函：本项目专门面向小微企业采购，供应商须提供中小企业声明函；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采购包3：160,000.00元</w:t>
            </w:r>
          </w:p>
          <w:p>
            <w:pPr>
              <w:pStyle w:val="null3"/>
            </w:pPr>
            <w:r>
              <w:rPr>
                <w:rFonts w:ascii="仿宋_GB2312" w:hAnsi="仿宋_GB2312" w:cs="仿宋_GB2312" w:eastAsia="仿宋_GB2312"/>
              </w:rPr>
              <w:t>采购包4：200,000.00元</w:t>
            </w:r>
          </w:p>
          <w:p>
            <w:pPr>
              <w:pStyle w:val="null3"/>
            </w:pPr>
            <w:r>
              <w:rPr>
                <w:rFonts w:ascii="仿宋_GB2312" w:hAnsi="仿宋_GB2312" w:cs="仿宋_GB2312" w:eastAsia="仿宋_GB2312"/>
              </w:rPr>
              <w:t>采购包5：180,000.00元</w:t>
            </w:r>
          </w:p>
          <w:p>
            <w:pPr>
              <w:pStyle w:val="null3"/>
            </w:pPr>
            <w:r>
              <w:rPr>
                <w:rFonts w:ascii="仿宋_GB2312" w:hAnsi="仿宋_GB2312" w:cs="仿宋_GB2312" w:eastAsia="仿宋_GB2312"/>
              </w:rPr>
              <w:t>采购包6：200,000.00元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采购包1保证金金额：3,801.00元</w:t>
            </w:r>
          </w:p>
          <w:p>
            <w:pPr>
              <w:pStyle w:val="null3"/>
            </w:pPr>
            <w:r>
              <w:rPr>
                <w:rFonts w:ascii="仿宋_GB2312" w:hAnsi="仿宋_GB2312" w:cs="仿宋_GB2312" w:eastAsia="仿宋_GB2312"/>
              </w:rPr>
              <w:t>采购包2保证金金额：3,802.00元</w:t>
            </w:r>
          </w:p>
          <w:p>
            <w:pPr>
              <w:pStyle w:val="null3"/>
            </w:pPr>
            <w:r>
              <w:rPr>
                <w:rFonts w:ascii="仿宋_GB2312" w:hAnsi="仿宋_GB2312" w:cs="仿宋_GB2312" w:eastAsia="仿宋_GB2312"/>
              </w:rPr>
              <w:t>采购包3保证金金额：3,103.00元</w:t>
            </w:r>
          </w:p>
          <w:p>
            <w:pPr>
              <w:pStyle w:val="null3"/>
            </w:pPr>
            <w:r>
              <w:rPr>
                <w:rFonts w:ascii="仿宋_GB2312" w:hAnsi="仿宋_GB2312" w:cs="仿宋_GB2312" w:eastAsia="仿宋_GB2312"/>
              </w:rPr>
              <w:t>采购包4保证金金额：3,804.00元</w:t>
            </w:r>
          </w:p>
          <w:p>
            <w:pPr>
              <w:pStyle w:val="null3"/>
            </w:pPr>
            <w:r>
              <w:rPr>
                <w:rFonts w:ascii="仿宋_GB2312" w:hAnsi="仿宋_GB2312" w:cs="仿宋_GB2312" w:eastAsia="仿宋_GB2312"/>
              </w:rPr>
              <w:t>采购包5保证金金额：3,405.00元</w:t>
            </w:r>
          </w:p>
          <w:p>
            <w:pPr>
              <w:pStyle w:val="null3"/>
            </w:pPr>
            <w:r>
              <w:rPr>
                <w:rFonts w:ascii="仿宋_GB2312" w:hAnsi="仿宋_GB2312" w:cs="仿宋_GB2312" w:eastAsia="仿宋_GB2312"/>
              </w:rPr>
              <w:t>采购包6保证金金额：3,806.00元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之前，向采购代理机构一次付清招标代理服务费。代理服务费参照国家计委颁发的《招标代理服务收费管理暂行办法》(计价格[2002]1980号)和国家发展和改革委员发改价格〔2015〕299号规定，经协商由中标人/成交供应商向采购代理机构支付招标代理服务费，单个采购包代理费不足叁仟元的则按照叁仟元支付。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采购人负责项目验收，具体以双方签订合同为准。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采购人负责项目验收，具体以双方签订合同为准。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采购人负责项目验收，具体以双方签订合同为准。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采购人负责项目验收，具体以双方签订合同为准。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采购人负责项目验收，具体以双方签订合同为准。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采购人负责项目验收，具体以双方签订合同为准。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联系人：韩钊、张海燕、赵璐、苏庆春、曹静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2026年货物贸易境外重点展会（一） 包1：俄罗斯国际家居及全品类消费品博览会目，具体详见采购文件。 包2：第9届埃及石油天然气展，具体详见采购文件。 包3：阿联酋迪拜制药展览会，具体详见采购文件。 包4：巴西圣保罗食品展，具体详见采购文件。 包5：沙特国际汽车零部件、汽车技术及服务展，具体详见采购文件。 包6：汉诺威工业博览会，具体详见采购文件。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公共布展及第三方服务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公共布展及第三方服务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公共布展及第三方服务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公共布展及第三方服务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公共布展及第三方服务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公共布展及第三方服务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标的名称：公共布展及第三方服务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俄罗斯国际家居及全品类消费品博览会项目</w:t>
            </w:r>
          </w:p>
          <w:p>
            <w:pPr>
              <w:pStyle w:val="null3"/>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俄罗斯</w:t>
                  </w:r>
                </w:p>
              </w:tc>
              <w:tc>
                <w:tcPr>
                  <w:tcW w:type="dxa" w:w="426"/>
                </w:tcPr>
                <w:p>
                  <w:pPr>
                    <w:pStyle w:val="null3"/>
                  </w:pPr>
                  <w:r>
                    <w:rPr>
                      <w:rFonts w:ascii="仿宋_GB2312" w:hAnsi="仿宋_GB2312" w:cs="仿宋_GB2312" w:eastAsia="仿宋_GB2312"/>
                    </w:rPr>
                    <w:t>莫斯科</w:t>
                  </w:r>
                </w:p>
              </w:tc>
              <w:tc>
                <w:tcPr>
                  <w:tcW w:type="dxa" w:w="426"/>
                </w:tcPr>
                <w:p>
                  <w:pPr>
                    <w:pStyle w:val="null3"/>
                  </w:pPr>
                  <w:r>
                    <w:rPr>
                      <w:rFonts w:ascii="仿宋_GB2312" w:hAnsi="仿宋_GB2312" w:cs="仿宋_GB2312" w:eastAsia="仿宋_GB2312"/>
                    </w:rPr>
                    <w:t>俄罗斯国际家居及全品类消费品博览会</w:t>
                  </w:r>
                </w:p>
              </w:tc>
              <w:tc>
                <w:tcPr>
                  <w:tcW w:type="dxa" w:w="426"/>
                </w:tcPr>
                <w:p>
                  <w:pPr>
                    <w:pStyle w:val="null3"/>
                  </w:pPr>
                  <w:r>
                    <w:rPr>
                      <w:rFonts w:ascii="仿宋_GB2312" w:hAnsi="仿宋_GB2312" w:cs="仿宋_GB2312" w:eastAsia="仿宋_GB2312"/>
                    </w:rPr>
                    <w:t>3.31-4.3</w:t>
                  </w:r>
                </w:p>
              </w:tc>
              <w:tc>
                <w:tcPr>
                  <w:tcW w:type="dxa" w:w="426"/>
                </w:tcPr>
                <w:p>
                  <w:pPr>
                    <w:pStyle w:val="null3"/>
                  </w:pPr>
                  <w:r>
                    <w:rPr>
                      <w:rFonts w:ascii="仿宋_GB2312" w:hAnsi="仿宋_GB2312" w:cs="仿宋_GB2312" w:eastAsia="仿宋_GB2312"/>
                    </w:rPr>
                    <w:t>消费品</w:t>
                  </w:r>
                </w:p>
              </w:tc>
              <w:tc>
                <w:tcPr>
                  <w:tcW w:type="dxa" w:w="426"/>
                </w:tcPr>
                <w:p>
                  <w:pPr>
                    <w:pStyle w:val="null3"/>
                  </w:pPr>
                  <w:r>
                    <w:rPr>
                      <w:rFonts w:ascii="仿宋_GB2312" w:hAnsi="仿宋_GB2312" w:cs="仿宋_GB2312" w:eastAsia="仿宋_GB2312"/>
                    </w:rPr>
                    <w:t>20（其中包含公共布展费10万元）</w:t>
                  </w:r>
                </w:p>
              </w:tc>
            </w:tr>
          </w:tbl>
          <w:p>
            <w:pPr>
              <w:pStyle w:val="null3"/>
            </w:pPr>
            <w:r>
              <w:rPr>
                <w:rFonts w:ascii="仿宋_GB2312" w:hAnsi="仿宋_GB2312" w:cs="仿宋_GB2312" w:eastAsia="仿宋_GB2312"/>
              </w:rPr>
              <w:t xml:space="preserve">（说明：该项目具体行程以最终实际行程为准） </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并组织我省企业参加展会。其中组织企业数不少于10家（以实际企业法人予以认定，少于10家不予支持）；每家企业补贴1个标准展位，参展企业中无进出口业绩企业不得超过参展企业总数的50%。</w:t>
            </w:r>
          </w:p>
          <w:p>
            <w:pPr>
              <w:pStyle w:val="null3"/>
            </w:pPr>
            <w:r>
              <w:rPr>
                <w:rFonts w:ascii="仿宋_GB2312" w:hAnsi="仿宋_GB2312" w:cs="仿宋_GB2312" w:eastAsia="仿宋_GB2312"/>
              </w:rPr>
              <w:t>2.负责组织参展企业人员有关商务礼仪、谈判技巧、产品报价、出国纪律等方面内容的培训，负责办理参展企业人员出国手续，组织企业人员按时参加展会，并负责安排参展人员食宿及交通、展会期间翻译等事项，承办单位必须不少于2人全程参与展会的组织；</w:t>
            </w:r>
          </w:p>
          <w:p>
            <w:pPr>
              <w:pStyle w:val="null3"/>
            </w:pPr>
            <w:r>
              <w:rPr>
                <w:rFonts w:ascii="仿宋_GB2312" w:hAnsi="仿宋_GB2312" w:cs="仿宋_GB2312" w:eastAsia="仿宋_GB2312"/>
              </w:rPr>
              <w:t>3.负责做好参展企业的展品运输及报关、报检等相关手续；</w:t>
            </w:r>
          </w:p>
          <w:p>
            <w:pPr>
              <w:pStyle w:val="null3"/>
            </w:pPr>
            <w:r>
              <w:rPr>
                <w:rFonts w:ascii="仿宋_GB2312" w:hAnsi="仿宋_GB2312" w:cs="仿宋_GB2312" w:eastAsia="仿宋_GB2312"/>
              </w:rPr>
              <w:t>4.负责做好公共布展，其中每家企业公共布展补助费不超过5000元，公共布展费用补助上限为10万元；</w:t>
            </w:r>
          </w:p>
          <w:p>
            <w:pPr>
              <w:pStyle w:val="null3"/>
            </w:pPr>
            <w:r>
              <w:rPr>
                <w:rFonts w:ascii="仿宋_GB2312" w:hAnsi="仿宋_GB2312" w:cs="仿宋_GB2312" w:eastAsia="仿宋_GB2312"/>
              </w:rPr>
              <w:t>5.负责先行垫付展位费，标准内的运输费及报关、报检费用和标准内的公共布展费用以及人员境外食宿补贴，待展会结束后由商务厅按标准核销；</w:t>
            </w:r>
          </w:p>
          <w:p>
            <w:pPr>
              <w:pStyle w:val="null3"/>
            </w:pPr>
            <w:r>
              <w:rPr>
                <w:rFonts w:ascii="仿宋_GB2312" w:hAnsi="仿宋_GB2312" w:cs="仿宋_GB2312" w:eastAsia="仿宋_GB2312"/>
              </w:rPr>
              <w:t>6.承办单位服务费上限为10万元。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标的名称：公共布展及第三方服务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第9届埃及石油天然气展项目</w:t>
            </w:r>
          </w:p>
          <w:p>
            <w:pPr>
              <w:pStyle w:val="null3"/>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埃及</w:t>
                  </w:r>
                </w:p>
              </w:tc>
              <w:tc>
                <w:tcPr>
                  <w:tcW w:type="dxa" w:w="426"/>
                </w:tcPr>
                <w:p>
                  <w:pPr>
                    <w:pStyle w:val="null3"/>
                  </w:pPr>
                  <w:r>
                    <w:rPr>
                      <w:rFonts w:ascii="仿宋_GB2312" w:hAnsi="仿宋_GB2312" w:cs="仿宋_GB2312" w:eastAsia="仿宋_GB2312"/>
                    </w:rPr>
                    <w:t>开罗</w:t>
                  </w:r>
                </w:p>
              </w:tc>
              <w:tc>
                <w:tcPr>
                  <w:tcW w:type="dxa" w:w="426"/>
                </w:tcPr>
                <w:p>
                  <w:pPr>
                    <w:pStyle w:val="null3"/>
                  </w:pPr>
                  <w:r>
                    <w:rPr>
                      <w:rFonts w:ascii="仿宋_GB2312" w:hAnsi="仿宋_GB2312" w:cs="仿宋_GB2312" w:eastAsia="仿宋_GB2312"/>
                    </w:rPr>
                    <w:t>第9届埃及石油天然气展</w:t>
                  </w:r>
                </w:p>
              </w:tc>
              <w:tc>
                <w:tcPr>
                  <w:tcW w:type="dxa" w:w="426"/>
                </w:tcPr>
                <w:p>
                  <w:pPr>
                    <w:pStyle w:val="null3"/>
                  </w:pPr>
                  <w:r>
                    <w:rPr>
                      <w:rFonts w:ascii="仿宋_GB2312" w:hAnsi="仿宋_GB2312" w:cs="仿宋_GB2312" w:eastAsia="仿宋_GB2312"/>
                    </w:rPr>
                    <w:t>3.30-4.1</w:t>
                  </w:r>
                </w:p>
              </w:tc>
              <w:tc>
                <w:tcPr>
                  <w:tcW w:type="dxa" w:w="426"/>
                </w:tcPr>
                <w:p>
                  <w:pPr>
                    <w:pStyle w:val="null3"/>
                  </w:pPr>
                  <w:r>
                    <w:rPr>
                      <w:rFonts w:ascii="仿宋_GB2312" w:hAnsi="仿宋_GB2312" w:cs="仿宋_GB2312" w:eastAsia="仿宋_GB2312"/>
                    </w:rPr>
                    <w:t>石油天然气设备</w:t>
                  </w:r>
                </w:p>
              </w:tc>
              <w:tc>
                <w:tcPr>
                  <w:tcW w:type="dxa" w:w="426"/>
                </w:tcPr>
                <w:p>
                  <w:pPr>
                    <w:pStyle w:val="null3"/>
                  </w:pPr>
                  <w:r>
                    <w:rPr>
                      <w:rFonts w:ascii="仿宋_GB2312" w:hAnsi="仿宋_GB2312" w:cs="仿宋_GB2312" w:eastAsia="仿宋_GB2312"/>
                    </w:rPr>
                    <w:t>20（其中包含公共布展费10万元）</w:t>
                  </w:r>
                </w:p>
              </w:tc>
            </w:tr>
          </w:tbl>
          <w:p>
            <w:pPr>
              <w:pStyle w:val="null3"/>
            </w:pPr>
            <w:r>
              <w:rPr>
                <w:rFonts w:ascii="仿宋_GB2312" w:hAnsi="仿宋_GB2312" w:cs="仿宋_GB2312" w:eastAsia="仿宋_GB2312"/>
              </w:rPr>
              <w:t xml:space="preserve">（说明：该项目具体行程以最终实际行程为准） </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并组织我省企业参加展会。其中组织企业数不少于10家（以实际企业法人予以认定，少于10家不予支持）；每家企业补贴1个标准展位，参展企业中无进出口业绩企业不得超过参展企业总数的50%。</w:t>
            </w:r>
          </w:p>
          <w:p>
            <w:pPr>
              <w:pStyle w:val="null3"/>
            </w:pPr>
            <w:r>
              <w:rPr>
                <w:rFonts w:ascii="仿宋_GB2312" w:hAnsi="仿宋_GB2312" w:cs="仿宋_GB2312" w:eastAsia="仿宋_GB2312"/>
              </w:rPr>
              <w:t>2.负责组织参展企业人员有关商务礼仪、谈判技巧、产品报价、出国纪律等方面内容的培训，负责办理参展企业人员出国手续，组织企业人员按时参加展会，并负责安排参展人员食宿及交通、展会期间翻译等事项，承办单位必须不少于2人全程参与展会的组织；</w:t>
            </w:r>
          </w:p>
          <w:p>
            <w:pPr>
              <w:pStyle w:val="null3"/>
            </w:pPr>
            <w:r>
              <w:rPr>
                <w:rFonts w:ascii="仿宋_GB2312" w:hAnsi="仿宋_GB2312" w:cs="仿宋_GB2312" w:eastAsia="仿宋_GB2312"/>
              </w:rPr>
              <w:t>3.负责做好参展企业的展品运输及报关、报检等相关手续；</w:t>
            </w:r>
          </w:p>
          <w:p>
            <w:pPr>
              <w:pStyle w:val="null3"/>
            </w:pPr>
            <w:r>
              <w:rPr>
                <w:rFonts w:ascii="仿宋_GB2312" w:hAnsi="仿宋_GB2312" w:cs="仿宋_GB2312" w:eastAsia="仿宋_GB2312"/>
              </w:rPr>
              <w:t>4.负责做好公共布展，其中每家企业公共布展补助费不超过5000元，公共布展费用补助上限为10万元；</w:t>
            </w:r>
          </w:p>
          <w:p>
            <w:pPr>
              <w:pStyle w:val="null3"/>
            </w:pPr>
            <w:r>
              <w:rPr>
                <w:rFonts w:ascii="仿宋_GB2312" w:hAnsi="仿宋_GB2312" w:cs="仿宋_GB2312" w:eastAsia="仿宋_GB2312"/>
              </w:rPr>
              <w:t>5.负责先行垫付展位费，标准内的运输费及报关、报检费用和标准内的公共布展费用以及人员境外食宿补贴，待展会结束后由商务厅按标准核销；</w:t>
            </w:r>
          </w:p>
          <w:p>
            <w:pPr>
              <w:pStyle w:val="null3"/>
            </w:pPr>
            <w:r>
              <w:rPr>
                <w:rFonts w:ascii="仿宋_GB2312" w:hAnsi="仿宋_GB2312" w:cs="仿宋_GB2312" w:eastAsia="仿宋_GB2312"/>
              </w:rPr>
              <w:t>6.承办单位服务费上限为10万元。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标的名称：公共布展及第三方服务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阿联酋迪拜制药展览会项目</w:t>
            </w:r>
          </w:p>
          <w:p>
            <w:pPr>
              <w:pStyle w:val="null3"/>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阿联酋</w:t>
                  </w:r>
                </w:p>
              </w:tc>
              <w:tc>
                <w:tcPr>
                  <w:tcW w:type="dxa" w:w="426"/>
                </w:tcPr>
                <w:p>
                  <w:pPr>
                    <w:pStyle w:val="null3"/>
                  </w:pPr>
                  <w:r>
                    <w:rPr>
                      <w:rFonts w:ascii="仿宋_GB2312" w:hAnsi="仿宋_GB2312" w:cs="仿宋_GB2312" w:eastAsia="仿宋_GB2312"/>
                    </w:rPr>
                    <w:t>迪拜</w:t>
                  </w:r>
                </w:p>
              </w:tc>
              <w:tc>
                <w:tcPr>
                  <w:tcW w:type="dxa" w:w="426"/>
                </w:tcPr>
                <w:p>
                  <w:pPr>
                    <w:pStyle w:val="null3"/>
                  </w:pPr>
                  <w:r>
                    <w:rPr>
                      <w:rFonts w:ascii="仿宋_GB2312" w:hAnsi="仿宋_GB2312" w:cs="仿宋_GB2312" w:eastAsia="仿宋_GB2312"/>
                    </w:rPr>
                    <w:t>阿联酋迪拜制药展览会</w:t>
                  </w:r>
                </w:p>
              </w:tc>
              <w:tc>
                <w:tcPr>
                  <w:tcW w:type="dxa" w:w="426"/>
                </w:tcPr>
                <w:p>
                  <w:pPr>
                    <w:pStyle w:val="null3"/>
                  </w:pPr>
                  <w:r>
                    <w:rPr>
                      <w:rFonts w:ascii="仿宋_GB2312" w:hAnsi="仿宋_GB2312" w:cs="仿宋_GB2312" w:eastAsia="仿宋_GB2312"/>
                    </w:rPr>
                    <w:t>3.24-3.26</w:t>
                  </w:r>
                </w:p>
              </w:tc>
              <w:tc>
                <w:tcPr>
                  <w:tcW w:type="dxa" w:w="426"/>
                </w:tcPr>
                <w:p>
                  <w:pPr>
                    <w:pStyle w:val="null3"/>
                  </w:pPr>
                  <w:r>
                    <w:rPr>
                      <w:rFonts w:ascii="仿宋_GB2312" w:hAnsi="仿宋_GB2312" w:cs="仿宋_GB2312" w:eastAsia="仿宋_GB2312"/>
                    </w:rPr>
                    <w:t>制药、医疗器械、医药加工服务</w:t>
                  </w:r>
                </w:p>
              </w:tc>
              <w:tc>
                <w:tcPr>
                  <w:tcW w:type="dxa" w:w="426"/>
                </w:tcPr>
                <w:p>
                  <w:pPr>
                    <w:pStyle w:val="null3"/>
                  </w:pPr>
                  <w:r>
                    <w:rPr>
                      <w:rFonts w:ascii="仿宋_GB2312" w:hAnsi="仿宋_GB2312" w:cs="仿宋_GB2312" w:eastAsia="仿宋_GB2312"/>
                    </w:rPr>
                    <w:t>16（其中包含公共布展费6万元）</w:t>
                  </w:r>
                </w:p>
              </w:tc>
            </w:tr>
          </w:tbl>
          <w:p>
            <w:pPr>
              <w:pStyle w:val="null3"/>
            </w:pPr>
            <w:r>
              <w:rPr>
                <w:rFonts w:ascii="仿宋_GB2312" w:hAnsi="仿宋_GB2312" w:cs="仿宋_GB2312" w:eastAsia="仿宋_GB2312"/>
              </w:rPr>
              <w:t xml:space="preserve">（说明：该项目具体行程以最终实际行程为准） </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并组织我省企业参加展会。其中组织企业数不少于10家（以实际企业法人予以认定，少于10家不予支持）；每家企业补贴1个标准展位，参展企业中无进出口业绩企业不得超过参展企业总数的50%。</w:t>
            </w:r>
          </w:p>
          <w:p>
            <w:pPr>
              <w:pStyle w:val="null3"/>
            </w:pPr>
            <w:r>
              <w:rPr>
                <w:rFonts w:ascii="仿宋_GB2312" w:hAnsi="仿宋_GB2312" w:cs="仿宋_GB2312" w:eastAsia="仿宋_GB2312"/>
              </w:rPr>
              <w:t>2.负责组织参展企业人员有关商务礼仪、谈判技巧、产品报价、出国纪律等方面内容的培训，负责办理参展企业人员出国手续，组织企业人员按时参加展会，并负责安排参展人员食宿及交通、展会期间翻译等事项，承办单位必须不少于2人全程参与展会的组织；</w:t>
            </w:r>
          </w:p>
          <w:p>
            <w:pPr>
              <w:pStyle w:val="null3"/>
            </w:pPr>
            <w:r>
              <w:rPr>
                <w:rFonts w:ascii="仿宋_GB2312" w:hAnsi="仿宋_GB2312" w:cs="仿宋_GB2312" w:eastAsia="仿宋_GB2312"/>
              </w:rPr>
              <w:t>3.负责做好参展企业的展品运输及报关、报检等相关手续；</w:t>
            </w:r>
          </w:p>
          <w:p>
            <w:pPr>
              <w:pStyle w:val="null3"/>
            </w:pPr>
            <w:r>
              <w:rPr>
                <w:rFonts w:ascii="仿宋_GB2312" w:hAnsi="仿宋_GB2312" w:cs="仿宋_GB2312" w:eastAsia="仿宋_GB2312"/>
              </w:rPr>
              <w:t>4.负责做好公共布展，其中每家企业公共布展补助费不超过5000元，公共布展费用补助上限为6万元；</w:t>
            </w:r>
          </w:p>
          <w:p>
            <w:pPr>
              <w:pStyle w:val="null3"/>
            </w:pPr>
            <w:r>
              <w:rPr>
                <w:rFonts w:ascii="仿宋_GB2312" w:hAnsi="仿宋_GB2312" w:cs="仿宋_GB2312" w:eastAsia="仿宋_GB2312"/>
              </w:rPr>
              <w:t>5.负责先行垫付展位费，标准内的运输费及报关、报检费用和标准内的公共布展费用以及人员境外食宿补贴，待展会结束后由商务厅按标准核销；</w:t>
            </w:r>
          </w:p>
          <w:p>
            <w:pPr>
              <w:pStyle w:val="null3"/>
            </w:pPr>
            <w:r>
              <w:rPr>
                <w:rFonts w:ascii="仿宋_GB2312" w:hAnsi="仿宋_GB2312" w:cs="仿宋_GB2312" w:eastAsia="仿宋_GB2312"/>
              </w:rPr>
              <w:t>6.承办单位服务费上限为10万元。</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标的名称：公共布展及第三方服务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巴西圣保罗食品展项目</w:t>
            </w:r>
          </w:p>
          <w:p>
            <w:pPr>
              <w:pStyle w:val="null3"/>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巴西</w:t>
                  </w:r>
                </w:p>
              </w:tc>
              <w:tc>
                <w:tcPr>
                  <w:tcW w:type="dxa" w:w="426"/>
                </w:tcPr>
                <w:p>
                  <w:pPr>
                    <w:pStyle w:val="null3"/>
                  </w:pPr>
                  <w:r>
                    <w:rPr>
                      <w:rFonts w:ascii="仿宋_GB2312" w:hAnsi="仿宋_GB2312" w:cs="仿宋_GB2312" w:eastAsia="仿宋_GB2312"/>
                    </w:rPr>
                    <w:t>圣保罗</w:t>
                  </w:r>
                </w:p>
              </w:tc>
              <w:tc>
                <w:tcPr>
                  <w:tcW w:type="dxa" w:w="426"/>
                </w:tcPr>
                <w:p>
                  <w:pPr>
                    <w:pStyle w:val="null3"/>
                  </w:pPr>
                  <w:r>
                    <w:rPr>
                      <w:rFonts w:ascii="仿宋_GB2312" w:hAnsi="仿宋_GB2312" w:cs="仿宋_GB2312" w:eastAsia="仿宋_GB2312"/>
                    </w:rPr>
                    <w:t>巴西圣保罗食品展</w:t>
                  </w:r>
                </w:p>
              </w:tc>
              <w:tc>
                <w:tcPr>
                  <w:tcW w:type="dxa" w:w="426"/>
                </w:tcPr>
                <w:p>
                  <w:pPr>
                    <w:pStyle w:val="null3"/>
                  </w:pPr>
                  <w:r>
                    <w:rPr>
                      <w:rFonts w:ascii="仿宋_GB2312" w:hAnsi="仿宋_GB2312" w:cs="仿宋_GB2312" w:eastAsia="仿宋_GB2312"/>
                    </w:rPr>
                    <w:t>4.7-9</w:t>
                  </w:r>
                </w:p>
              </w:tc>
              <w:tc>
                <w:tcPr>
                  <w:tcW w:type="dxa" w:w="426"/>
                </w:tcPr>
                <w:p>
                  <w:pPr>
                    <w:pStyle w:val="null3"/>
                  </w:pPr>
                  <w:r>
                    <w:rPr>
                      <w:rFonts w:ascii="仿宋_GB2312" w:hAnsi="仿宋_GB2312" w:cs="仿宋_GB2312" w:eastAsia="仿宋_GB2312"/>
                    </w:rPr>
                    <w:t>食品饮料及果蔬</w:t>
                  </w:r>
                </w:p>
              </w:tc>
              <w:tc>
                <w:tcPr>
                  <w:tcW w:type="dxa" w:w="426"/>
                </w:tcPr>
                <w:p>
                  <w:pPr>
                    <w:pStyle w:val="null3"/>
                  </w:pPr>
                  <w:r>
                    <w:rPr>
                      <w:rFonts w:ascii="仿宋_GB2312" w:hAnsi="仿宋_GB2312" w:cs="仿宋_GB2312" w:eastAsia="仿宋_GB2312"/>
                    </w:rPr>
                    <w:t>20（其中包含公共布展费10万元）</w:t>
                  </w:r>
                </w:p>
              </w:tc>
            </w:tr>
          </w:tbl>
          <w:p>
            <w:pPr>
              <w:pStyle w:val="null3"/>
            </w:pPr>
            <w:r>
              <w:rPr>
                <w:rFonts w:ascii="仿宋_GB2312" w:hAnsi="仿宋_GB2312" w:cs="仿宋_GB2312" w:eastAsia="仿宋_GB2312"/>
              </w:rPr>
              <w:t xml:space="preserve">（说明：该项目具体行程以最终实际行程为准） </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并组织我省企业参加展会。其中组织企业数不少于10家（以实际企业法人予以认定，少于10家不予支持）；每家企业补贴1个标准展位，参展企业中无进出口业绩企业不得超过参展企业总数的50%。</w:t>
            </w:r>
          </w:p>
          <w:p>
            <w:pPr>
              <w:pStyle w:val="null3"/>
            </w:pPr>
            <w:r>
              <w:rPr>
                <w:rFonts w:ascii="仿宋_GB2312" w:hAnsi="仿宋_GB2312" w:cs="仿宋_GB2312" w:eastAsia="仿宋_GB2312"/>
              </w:rPr>
              <w:t>2.负责组织参展企业人员有关商务礼仪、谈判技巧、产品报价、出国纪律等方面内容的培训，负责办理参展企业人员出国手续，组织企业人员按时参加展会，并负责安排参展人员食宿及交通、展会期间翻译等事项，承办单位必须不少于2人全程参与展会的组织；</w:t>
            </w:r>
          </w:p>
          <w:p>
            <w:pPr>
              <w:pStyle w:val="null3"/>
            </w:pPr>
            <w:r>
              <w:rPr>
                <w:rFonts w:ascii="仿宋_GB2312" w:hAnsi="仿宋_GB2312" w:cs="仿宋_GB2312" w:eastAsia="仿宋_GB2312"/>
              </w:rPr>
              <w:t>3.负责做好参展企业的展品运输及报关、报检等相关手续；</w:t>
            </w:r>
          </w:p>
          <w:p>
            <w:pPr>
              <w:pStyle w:val="null3"/>
            </w:pPr>
            <w:r>
              <w:rPr>
                <w:rFonts w:ascii="仿宋_GB2312" w:hAnsi="仿宋_GB2312" w:cs="仿宋_GB2312" w:eastAsia="仿宋_GB2312"/>
              </w:rPr>
              <w:t>4.负责做好公共布展，其中每家企业公共布展补助费不超过5000元，公共布展费用补助上限为10万元；</w:t>
            </w:r>
          </w:p>
          <w:p>
            <w:pPr>
              <w:pStyle w:val="null3"/>
            </w:pPr>
            <w:r>
              <w:rPr>
                <w:rFonts w:ascii="仿宋_GB2312" w:hAnsi="仿宋_GB2312" w:cs="仿宋_GB2312" w:eastAsia="仿宋_GB2312"/>
              </w:rPr>
              <w:t xml:space="preserve">    5.负责先行垫付展位费，标准内的运输费及报关、报检费用和标准内的公共布展费用以及人员境外食宿补贴，待展会结束后由商务厅按标准核销；</w:t>
            </w:r>
          </w:p>
          <w:p>
            <w:pPr>
              <w:pStyle w:val="null3"/>
            </w:pPr>
            <w:r>
              <w:rPr>
                <w:rFonts w:ascii="仿宋_GB2312" w:hAnsi="仿宋_GB2312" w:cs="仿宋_GB2312" w:eastAsia="仿宋_GB2312"/>
              </w:rPr>
              <w:t>6.承办单位服务费上限为10万元。</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标的名称：公共布展及第三方服务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沙特国际汽车零部件、汽车技术及服务展项目</w:t>
            </w:r>
          </w:p>
          <w:p>
            <w:pPr>
              <w:pStyle w:val="null3"/>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沙特阿拉伯</w:t>
                  </w:r>
                </w:p>
              </w:tc>
              <w:tc>
                <w:tcPr>
                  <w:tcW w:type="dxa" w:w="426"/>
                </w:tcPr>
                <w:p>
                  <w:pPr>
                    <w:pStyle w:val="null3"/>
                  </w:pPr>
                  <w:r>
                    <w:rPr>
                      <w:rFonts w:ascii="仿宋_GB2312" w:hAnsi="仿宋_GB2312" w:cs="仿宋_GB2312" w:eastAsia="仿宋_GB2312"/>
                    </w:rPr>
                    <w:t>利雅得</w:t>
                  </w:r>
                </w:p>
              </w:tc>
              <w:tc>
                <w:tcPr>
                  <w:tcW w:type="dxa" w:w="426"/>
                </w:tcPr>
                <w:p>
                  <w:pPr>
                    <w:pStyle w:val="null3"/>
                  </w:pPr>
                  <w:r>
                    <w:rPr>
                      <w:rFonts w:ascii="仿宋_GB2312" w:hAnsi="仿宋_GB2312" w:cs="仿宋_GB2312" w:eastAsia="仿宋_GB2312"/>
                    </w:rPr>
                    <w:t>沙特国际汽车零部件、汽车技术及服务展</w:t>
                  </w:r>
                </w:p>
              </w:tc>
              <w:tc>
                <w:tcPr>
                  <w:tcW w:type="dxa" w:w="426"/>
                </w:tcPr>
                <w:p>
                  <w:pPr>
                    <w:pStyle w:val="null3"/>
                  </w:pPr>
                  <w:r>
                    <w:rPr>
                      <w:rFonts w:ascii="仿宋_GB2312" w:hAnsi="仿宋_GB2312" w:cs="仿宋_GB2312" w:eastAsia="仿宋_GB2312"/>
                    </w:rPr>
                    <w:t>4.20-22</w:t>
                  </w:r>
                </w:p>
              </w:tc>
              <w:tc>
                <w:tcPr>
                  <w:tcW w:type="dxa" w:w="426"/>
                </w:tcPr>
                <w:p>
                  <w:pPr>
                    <w:pStyle w:val="null3"/>
                  </w:pPr>
                  <w:r>
                    <w:rPr>
                      <w:rFonts w:ascii="仿宋_GB2312" w:hAnsi="仿宋_GB2312" w:cs="仿宋_GB2312" w:eastAsia="仿宋_GB2312"/>
                    </w:rPr>
                    <w:t>汽车零配件</w:t>
                  </w:r>
                </w:p>
              </w:tc>
              <w:tc>
                <w:tcPr>
                  <w:tcW w:type="dxa" w:w="426"/>
                </w:tcPr>
                <w:p>
                  <w:pPr>
                    <w:pStyle w:val="null3"/>
                  </w:pPr>
                  <w:r>
                    <w:rPr>
                      <w:rFonts w:ascii="仿宋_GB2312" w:hAnsi="仿宋_GB2312" w:cs="仿宋_GB2312" w:eastAsia="仿宋_GB2312"/>
                    </w:rPr>
                    <w:t>18（其中包含公共布展费8万元）</w:t>
                  </w:r>
                </w:p>
              </w:tc>
            </w:tr>
          </w:tbl>
          <w:p>
            <w:pPr>
              <w:pStyle w:val="null3"/>
            </w:pPr>
            <w:r>
              <w:rPr>
                <w:rFonts w:ascii="仿宋_GB2312" w:hAnsi="仿宋_GB2312" w:cs="仿宋_GB2312" w:eastAsia="仿宋_GB2312"/>
              </w:rPr>
              <w:t xml:space="preserve">（说明：该项目具体行程以最终实际行程为准） </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并组织我省企业参加展会。其中组织企业数不少于10家（以实际企业法人予以认定，少于10家不予支持）；每家企业补贴1个标准展位，参展企业中无进出口业绩企业不得超过参展企业总数的50%。</w:t>
            </w:r>
          </w:p>
          <w:p>
            <w:pPr>
              <w:pStyle w:val="null3"/>
            </w:pPr>
            <w:r>
              <w:rPr>
                <w:rFonts w:ascii="仿宋_GB2312" w:hAnsi="仿宋_GB2312" w:cs="仿宋_GB2312" w:eastAsia="仿宋_GB2312"/>
              </w:rPr>
              <w:t>2.负责组织参展企业人员有关商务礼仪、谈判技巧、产品报价、出国纪律等方面内容的培训，负责办理参展企业人员出国手续，组织企业人员按时参加展会，并负责安排参展人员食宿及交通、展会期间翻译等事项，承办单位必须不少于2人全程参与展会的组织；</w:t>
            </w:r>
          </w:p>
          <w:p>
            <w:pPr>
              <w:pStyle w:val="null3"/>
            </w:pPr>
            <w:r>
              <w:rPr>
                <w:rFonts w:ascii="仿宋_GB2312" w:hAnsi="仿宋_GB2312" w:cs="仿宋_GB2312" w:eastAsia="仿宋_GB2312"/>
              </w:rPr>
              <w:t>3.负责做好参展企业的展品运输及报关、报检等相关手续；</w:t>
            </w:r>
          </w:p>
          <w:p>
            <w:pPr>
              <w:pStyle w:val="null3"/>
            </w:pPr>
            <w:r>
              <w:rPr>
                <w:rFonts w:ascii="仿宋_GB2312" w:hAnsi="仿宋_GB2312" w:cs="仿宋_GB2312" w:eastAsia="仿宋_GB2312"/>
              </w:rPr>
              <w:t>4.负责做好公共布展，其中每家企业公共布展补助费不超过5000元，公共布展费用补助上限为8万元；</w:t>
            </w:r>
          </w:p>
          <w:p>
            <w:pPr>
              <w:pStyle w:val="null3"/>
            </w:pPr>
            <w:r>
              <w:rPr>
                <w:rFonts w:ascii="仿宋_GB2312" w:hAnsi="仿宋_GB2312" w:cs="仿宋_GB2312" w:eastAsia="仿宋_GB2312"/>
              </w:rPr>
              <w:t>5.负责先行垫付展位费，标准内的运输费及报关、报检费用和标准内的公共布展费用以及人员境外食宿补贴，待展会结束后由商务厅按标准核销；</w:t>
            </w:r>
          </w:p>
          <w:p>
            <w:pPr>
              <w:pStyle w:val="null3"/>
            </w:pPr>
            <w:r>
              <w:rPr>
                <w:rFonts w:ascii="仿宋_GB2312" w:hAnsi="仿宋_GB2312" w:cs="仿宋_GB2312" w:eastAsia="仿宋_GB2312"/>
              </w:rPr>
              <w:t>6.承办单位服务费上限为10万元。</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标的名称：公共布展及第三方服务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汉诺威工业博览会项目</w:t>
            </w:r>
          </w:p>
          <w:p>
            <w:pPr>
              <w:pStyle w:val="null3"/>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德国</w:t>
                  </w:r>
                </w:p>
              </w:tc>
              <w:tc>
                <w:tcPr>
                  <w:tcW w:type="dxa" w:w="426"/>
                </w:tcPr>
                <w:p>
                  <w:pPr>
                    <w:pStyle w:val="null3"/>
                  </w:pPr>
                  <w:r>
                    <w:rPr>
                      <w:rFonts w:ascii="仿宋_GB2312" w:hAnsi="仿宋_GB2312" w:cs="仿宋_GB2312" w:eastAsia="仿宋_GB2312"/>
                    </w:rPr>
                    <w:t>汉诺威</w:t>
                  </w:r>
                </w:p>
              </w:tc>
              <w:tc>
                <w:tcPr>
                  <w:tcW w:type="dxa" w:w="426"/>
                </w:tcPr>
                <w:p>
                  <w:pPr>
                    <w:pStyle w:val="null3"/>
                  </w:pPr>
                  <w:r>
                    <w:rPr>
                      <w:rFonts w:ascii="仿宋_GB2312" w:hAnsi="仿宋_GB2312" w:cs="仿宋_GB2312" w:eastAsia="仿宋_GB2312"/>
                    </w:rPr>
                    <w:t>汉诺威工业博览会</w:t>
                  </w:r>
                </w:p>
              </w:tc>
              <w:tc>
                <w:tcPr>
                  <w:tcW w:type="dxa" w:w="426"/>
                </w:tcPr>
                <w:p>
                  <w:pPr>
                    <w:pStyle w:val="null3"/>
                  </w:pPr>
                  <w:r>
                    <w:rPr>
                      <w:rFonts w:ascii="仿宋_GB2312" w:hAnsi="仿宋_GB2312" w:cs="仿宋_GB2312" w:eastAsia="仿宋_GB2312"/>
                    </w:rPr>
                    <w:t>4.20-24</w:t>
                  </w:r>
                </w:p>
              </w:tc>
              <w:tc>
                <w:tcPr>
                  <w:tcW w:type="dxa" w:w="426"/>
                </w:tcPr>
                <w:p>
                  <w:pPr>
                    <w:pStyle w:val="null3"/>
                  </w:pPr>
                  <w:r>
                    <w:rPr>
                      <w:rFonts w:ascii="仿宋_GB2312" w:hAnsi="仿宋_GB2312" w:cs="仿宋_GB2312" w:eastAsia="仿宋_GB2312"/>
                    </w:rPr>
                    <w:t>工业机械及自动化</w:t>
                  </w:r>
                </w:p>
              </w:tc>
              <w:tc>
                <w:tcPr>
                  <w:tcW w:type="dxa" w:w="426"/>
                </w:tcPr>
                <w:p>
                  <w:pPr>
                    <w:pStyle w:val="null3"/>
                  </w:pPr>
                  <w:r>
                    <w:rPr>
                      <w:rFonts w:ascii="仿宋_GB2312" w:hAnsi="仿宋_GB2312" w:cs="仿宋_GB2312" w:eastAsia="仿宋_GB2312"/>
                    </w:rPr>
                    <w:t>20（其中包含公共布展费10万元）</w:t>
                  </w:r>
                </w:p>
              </w:tc>
            </w:tr>
          </w:tbl>
          <w:p>
            <w:pPr>
              <w:pStyle w:val="null3"/>
            </w:pPr>
            <w:r>
              <w:rPr>
                <w:rFonts w:ascii="仿宋_GB2312" w:hAnsi="仿宋_GB2312" w:cs="仿宋_GB2312" w:eastAsia="仿宋_GB2312"/>
              </w:rPr>
              <w:t xml:space="preserve">（说明：该项目具体行程以最终实际行程为准） </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并组织我省企业参加展会。其中组织企业数不少于10家（以实际企业法人予以认定，少于10家不予支持）；每家企业补贴1个标准展位，参展企业中无进出口业绩企业不得超过参展企业总数的50%。</w:t>
            </w:r>
          </w:p>
          <w:p>
            <w:pPr>
              <w:pStyle w:val="null3"/>
            </w:pPr>
            <w:r>
              <w:rPr>
                <w:rFonts w:ascii="仿宋_GB2312" w:hAnsi="仿宋_GB2312" w:cs="仿宋_GB2312" w:eastAsia="仿宋_GB2312"/>
              </w:rPr>
              <w:t>2.负责组织参展企业人员有关商务礼仪、谈判技巧、产品报价、出国纪律等方面内容的培训，负责办理参展企业人员出国手续，组织企业人员按时参加展会，并负责安排参展人员食宿及交通、展会期间翻译等事项，承办单位必须不少于2人全程参与展会的组织；</w:t>
            </w:r>
          </w:p>
          <w:p>
            <w:pPr>
              <w:pStyle w:val="null3"/>
            </w:pPr>
            <w:r>
              <w:rPr>
                <w:rFonts w:ascii="仿宋_GB2312" w:hAnsi="仿宋_GB2312" w:cs="仿宋_GB2312" w:eastAsia="仿宋_GB2312"/>
              </w:rPr>
              <w:t>3.负责做好参展企业的展品运输及报关、报检等相关手续；</w:t>
            </w:r>
          </w:p>
          <w:p>
            <w:pPr>
              <w:pStyle w:val="null3"/>
            </w:pPr>
            <w:r>
              <w:rPr>
                <w:rFonts w:ascii="仿宋_GB2312" w:hAnsi="仿宋_GB2312" w:cs="仿宋_GB2312" w:eastAsia="仿宋_GB2312"/>
              </w:rPr>
              <w:t>4.负责做好公共布展，其中每家企业公共布展补助费不超过5000元，公共布展费用补助上限为10万元；</w:t>
            </w:r>
          </w:p>
          <w:p>
            <w:pPr>
              <w:pStyle w:val="null3"/>
            </w:pPr>
            <w:r>
              <w:rPr>
                <w:rFonts w:ascii="仿宋_GB2312" w:hAnsi="仿宋_GB2312" w:cs="仿宋_GB2312" w:eastAsia="仿宋_GB2312"/>
              </w:rPr>
              <w:t>5.负责先行垫付展位费，标准内的运输费及报关、报检费用和标准内的公共布展费用以及人员境外食宿补贴，待展会结束后由商务厅按标准核销；</w:t>
            </w:r>
          </w:p>
          <w:p>
            <w:pPr>
              <w:pStyle w:val="null3"/>
            </w:pPr>
            <w:r>
              <w:rPr>
                <w:rFonts w:ascii="仿宋_GB2312" w:hAnsi="仿宋_GB2312" w:cs="仿宋_GB2312" w:eastAsia="仿宋_GB2312"/>
              </w:rPr>
              <w:t>6.承办单位服务费上限为10万元。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合同签订之日起至展会结束后30日（需按采购人要求提供活动相关资料）。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国家相关标准、行业标准、地方标准或者其他标准、规范。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国家相关标准、行业标准、地方标准或者其他标准、规范。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国家相关标准、行业标准、地方标准或者其他标准、规范。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国家相关标准、行业标准、地方标准或者其他标准、规范。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国家相关标准、行业标准、地方标准或者其他标准、规范。</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国家相关标准、行业标准、地方标准或者其他标准、规范。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展会结束后，经甲方验收合格并提交相关资料后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展会结束后，经甲方验收合格并提交相关资料后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展会结束后，经甲方验收合格并提交相关资料后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展会结束后，经甲方验收合格并提交相关资料后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展会结束后，经甲方验收合格并提交相关资料后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展会结束后，经甲方验收合格并提交相关资料后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以双方签订合同为准。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以双方签订合同为准。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以双方签订合同为准。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以双方签订合同为准。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以双方签订合同为准。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同时，线下提交响应文件正本壹套、副本壹套（响应文件双面打印）密封递交。若系统电子响应文件与纸质响应文件不一致的，以系统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资格证明文件-包1.docx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资格证明文件-包3.docx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资格证明文件-包3.docx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资格证明文件-包4.docx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资格证明文件-包4.docx 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资格证明文件-包5.docx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资格证明文件-包5.docx 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资格证明文件-包6.docx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资格证明文件-包6.docx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法定代表人直接参加磋商的，须出具法定代表人身份证明书及身份证；授权代表参加磋商的，须出具法定代表人授权书、授权代表身份证及被授权人开标前六个月内任意一个月的社保缴纳证明材料；</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本项目专门面向小微企业采购，供应商须提供中小企业声明函；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法定代表人直接参加磋商的，须出具法定代表人身份证明书及身份证；授权代表参加磋商的，须出具法定代表人授权书、授权代表身份证及被授权人开标前六个月内任意一个月的社保缴纳证明材料；</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法定代表人直接参加磋商的，须出具法定代表人身份证明书及身份证；授权代表参加磋商的，须出具法定代表人授权书、授权代表身份证及被授权人开标前六个月内任意一个月的社保缴纳证明材料；</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本项目专门面向小微企业采购，供应商须提供中小企业声明函；</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法定代表人直接参加磋商的，须出具法定代表人身份证明书及身份证；授权代表参加磋商的，须出具法定代表人授权书、授权代表身份证及被授权人开标前六个月内任意一个月的社保缴纳证明材料；</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本项目专门面向小微企业采购，供应商须提供中小企业声明函；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资格证明文件-包4.docx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资格证明文件-包5.docx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资格证明文件-包5.docx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资格证明文件-包5.docx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资格证明文件-包5.docx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法定代表人直接参加磋商的，须出具法定代表人身份证明书及身份证；授权代表参加磋商的，须出具法定代表人授权书、授权代表身份证及被授权人开标前六个月内任意一个月的社保缴纳证明材料；</w:t>
            </w:r>
          </w:p>
        </w:tc>
        <w:tc>
          <w:tcPr>
            <w:tcW w:type="dxa" w:w="1661"/>
          </w:tcPr>
          <w:p>
            <w:pPr>
              <w:pStyle w:val="null3"/>
            </w:pPr>
            <w:r>
              <w:rPr>
                <w:rFonts w:ascii="仿宋_GB2312" w:hAnsi="仿宋_GB2312" w:cs="仿宋_GB2312" w:eastAsia="仿宋_GB2312"/>
              </w:rPr>
              <w:t>资格证明文件-包5.docx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资格证明文件-包5.docx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资格证明文件-包5.docx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本项目专门面向小微企业采购，供应商须提供中小企业声明函；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资格证明文件-包5.docx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资格证明文件-包6.docx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资格证明文件-包6.docx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资格证明文件-包6.docx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资格证明文件-包6.docx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法定代表人直接参加磋商的，须出具法定代表人身份证明书及身份证；授权代表参加磋商的，须出具法定代表人授权书、授权代表身份证及被授权人开标前六个月内任意一个月的社保缴纳证明材料；</w:t>
            </w:r>
          </w:p>
        </w:tc>
        <w:tc>
          <w:tcPr>
            <w:tcW w:type="dxa" w:w="1661"/>
          </w:tcPr>
          <w:p>
            <w:pPr>
              <w:pStyle w:val="null3"/>
            </w:pPr>
            <w:r>
              <w:rPr>
                <w:rFonts w:ascii="仿宋_GB2312" w:hAnsi="仿宋_GB2312" w:cs="仿宋_GB2312" w:eastAsia="仿宋_GB2312"/>
              </w:rPr>
              <w:t>资格证明文件-包6.docx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资格证明文件-包6.docx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资格证明文件-包6.docx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本项目专门面向小微企业采购，供应商须提供中小企业声明函；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资格证明文件-包6.docx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报价一览表（首次）-包1.docx 分项报价表（第一次）-包1.docx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6会务资料准备-包1.docx 8类似业绩-包1.docx 中小企业声明函 报价一览表（首次）-包1.docx 2项目整体方案-包1.docx 4进度及质量保障措施-包1.docx 1项目理解、重难点分析-包1.docx 保证金缴纳凭证-包1.docx 供应商认为有必要说明的其他资料-包1.docx 商务偏离表-包1.docx 3展会布展方案-包1.docx 响应文件封面 残疾人福利性单位声明函 5服务保障方案-包1.docx 标的清单 分项报价表（第一次）-包1.docx 服务偏离表-包1.docx 资格证明文件-包1.docx 7项目团队人员配备方案-包1.docx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报价一览表（首次）-包1.docx 分项报价表（第一次）-包1.docx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6会务资料准备-包1.docx 8类似业绩-包1.docx 中小企业声明函 报价一览表（首次）-包1.docx 2项目整体方案-包1.docx 4进度及质量保障措施-包1.docx 1项目理解、重难点分析-包1.docx 保证金缴纳凭证-包1.docx 供应商认为有必要说明的其他资料-包1.docx 商务偏离表-包1.docx 3展会布展方案-包1.docx 响应文件封面 残疾人福利性单位声明函 5服务保障方案-包1.docx 标的清单 分项报价表（第一次）-包1.docx 服务偏离表-包1.docx 资格证明文件-包1.docx 7项目团队人员配备方案-包1.docx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6会务资料准备-包1.docx 8类似业绩-包1.docx 中小企业声明函 报价一览表（首次）-包1.docx 2项目整体方案-包1.docx 4进度及质量保障措施-包1.docx 1项目理解、重难点分析-包1.docx 保证金缴纳凭证-包1.docx 供应商认为有必要说明的其他资料-包1.docx 商务偏离表-包1.docx 3展会布展方案-包1.docx 响应文件封面 残疾人福利性单位声明函 5服务保障方案-包1.docx 标的清单 分项报价表（第一次）-包1.docx 服务偏离表-包1.docx 资格证明文件-包1.docx 7项目团队人员配备方案-包1.docx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分项报价表（第一次）-包2.docx 标的清单 报价表 报价一览表（首次）-包2.docx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服务偏离表-包2.docx 商务偏离表-包2.docx 5服务保障方案-包2.docx 中小企业声明函 6会务资料准备-包2.docx 2项目整体方案-包2.docx 1项目理解、重难点分析-包2.docx 报价一览表（首次）-包2.docx 4进度及质量保障措施-包2.docx 资格证明文件-包2.docx 响应文件封面 分项报价表（第一次）-包2.docx 8类似业绩-包2.docx 保证金缴纳凭证-包2.docx 3展会布展方案-包2.docx 残疾人福利性单位声明函 7项目团队人员配备方案-包2.docx 标的清单 响应函 监狱企业的证明文件 供应商认为有必要说明的其他资料-包2.docx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分项报价表（第一次）-包2.docx 标的清单 报价一览表（首次）-包2.docx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服务偏离表-包2.docx 商务偏离表-包2.docx 5服务保障方案-包2.docx 中小企业声明函 6会务资料准备-包2.docx 2项目整体方案-包2.docx 1项目理解、重难点分析-包2.docx 报价一览表（首次）-包2.docx 4进度及质量保障措施-包2.docx 资格证明文件-包2.docx 响应文件封面 分项报价表（第一次）-包2.docx 8类似业绩-包2.docx 保证金缴纳凭证-包2.docx 3展会布展方案-包2.docx 残疾人福利性单位声明函 7项目团队人员配备方案-包2.docx 标的清单 响应函 监狱企业的证明文件 供应商认为有必要说明的其他资料-包2.docx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服务偏离表-包2.docx 商务偏离表-包2.docx 5服务保障方案-包2.docx 中小企业声明函 6会务资料准备-包2.docx 2项目整体方案-包2.docx 1项目理解、重难点分析-包2.docx 报价一览表（首次）-包2.docx 4进度及质量保障措施-包2.docx 资格证明文件-包2.docx 响应文件封面 分项报价表（第一次）-包2.docx 8类似业绩-包2.docx 保证金缴纳凭证-包2.docx 3展会布展方案-包2.docx 残疾人福利性单位声明函 7项目团队人员配备方案-包2.docx 标的清单 响应函 监狱企业的证明文件 供应商认为有必要说明的其他资料-包2.docx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分项报价表（第一次）-包3.docx 报价一览表（首次）-包3.docx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3展会布展方案-包3.docx 中小企业声明函 服务偏离表-包3.docx 7项目团队人员配备方案-包3.docx 分项报价表（第一次）-包3.docx 保证金缴纳凭证-包3.docx 响应文件封面 6会务资料准备-包3.docx 供应商认为有必要说明的其他资料-包3.docx 残疾人福利性单位声明函 5服务保障方案-包3.docx 标的清单 8类似业绩-包3.docx 资格证明文件-包3.docx 响应函 商务偏离表-包3.docx 监狱企业的证明文件 报价一览表（首次）-包3.docx 2项目整体方案-包3.docx 4进度及质量保障措施-包3.docx 1项目理解、重难点分析-包3.docx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标的清单 分项报价表（第一次）-包3.docx 报价一览表（首次）-包3.docx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3展会布展方案-包3.docx 中小企业声明函 服务偏离表-包3.docx 7项目团队人员配备方案-包3.docx 分项报价表（第一次）-包3.docx 保证金缴纳凭证-包3.docx 响应文件封面 6会务资料准备-包3.docx 供应商认为有必要说明的其他资料-包3.docx 残疾人福利性单位声明函 5服务保障方案-包3.docx 标的清单 8类似业绩-包3.docx 资格证明文件-包3.docx 响应函 商务偏离表-包3.docx 监狱企业的证明文件 报价一览表（首次）-包3.docx 2项目整体方案-包3.docx 4进度及质量保障措施-包3.docx 1项目理解、重难点分析-包3.docx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3展会布展方案-包3.docx 中小企业声明函 服务偏离表-包3.docx 7项目团队人员配备方案-包3.docx 分项报价表（第一次）-包3.docx 保证金缴纳凭证-包3.docx 响应文件封面 6会务资料准备-包3.docx 供应商认为有必要说明的其他资料-包3.docx 残疾人福利性单位声明函 5服务保障方案-包3.docx 标的清单 8类似业绩-包3.docx 资格证明文件-包3.docx 响应函 商务偏离表-包3.docx 监狱企业的证明文件 报价一览表（首次）-包3.docx 2项目整体方案-包3.docx 4进度及质量保障措施-包3.docx 1项目理解、重难点分析-包3.docx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报价一览表（首次）-包4.docx 分项报价表（第一次）-包4.docx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保证金缴纳凭证-包4.docx 中小企业声明函 3展会布展方案-包4.docx 4进度及质量保障措施-包4.docx 1项目理解、重难点分析-包4.docx 报价一览表（首次）-包4.docx 6会务资料准备-包4.docx 2项目整体方案-包4.docx 8类似业绩-包4.docx 商务偏离表-包4.docx 响应文件封面 残疾人福利性单位声明函 供应商认为有必要说明的其他资料-包4.docx 资格证明文件-包4.docx 标的清单 5服务保障方案-包4.docx 响应函 服务偏离表-包4.docx 分项报价表（第一次）-包4.docx 监狱企业的证明文件 7项目团队人员配备方案-包4.docx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标的清单 报价一览表（首次）-包4.docx 分项报价表（第一次）-包4.docx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保证金缴纳凭证-包4.docx 中小企业声明函 3展会布展方案-包4.docx 4进度及质量保障措施-包4.docx 1项目理解、重难点分析-包4.docx 报价一览表（首次）-包4.docx 6会务资料准备-包4.docx 2项目整体方案-包4.docx 8类似业绩-包4.docx 商务偏离表-包4.docx 响应文件封面 残疾人福利性单位声明函 供应商认为有必要说明的其他资料-包4.docx 资格证明文件-包4.docx 标的清单 5服务保障方案-包4.docx 响应函 服务偏离表-包4.docx 分项报价表（第一次）-包4.docx 监狱企业的证明文件 7项目团队人员配备方案-包4.docx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保证金缴纳凭证-包4.docx 中小企业声明函 3展会布展方案-包4.docx 4进度及质量保障措施-包4.docx 1项目理解、重难点分析-包4.docx 报价一览表（首次）-包4.docx 6会务资料准备-包4.docx 2项目整体方案-包4.docx 8类似业绩-包4.docx 商务偏离表-包4.docx 响应文件封面 残疾人福利性单位声明函 供应商认为有必要说明的其他资料-包4.docx 资格证明文件-包4.docx 标的清单 5服务保障方案-包4.docx 响应函 服务偏离表-包4.docx 分项报价表（第一次）-包4.docx 监狱企业的证明文件 7项目团队人员配备方案-包4.docx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分项报价表（第一次）-包5.docx 报价一览表（首次）-包5.docx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商务偏离表-包5.docx 供应商认为有必要说明的其他资料-包5.docx 服务偏离表-包5.docx 资格证明文件-包5.docx 1项目理解、重难点分析-包5.docx 中小企业声明函 4进度及质量保障措施-包5.docx 报价一览表（首次）-包5.docx 5服务保障方案-包5.docx 响应文件封面 7项目团队人员配备方案-包5.docx 分项报价表（第一次）-包5.docx 3展会布展方案-包5.docx 8类似业绩-包5.docx 残疾人福利性单位声明函 保证金缴纳凭证-包5.docx 标的清单 2项目整体方案-包5.docx 6会务资料准备-包5.docx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分项报价表（第一次）-包5.docx 报价一览表（首次）-包5.docx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商务偏离表-包5.docx 供应商认为有必要说明的其他资料-包5.docx 服务偏离表-包5.docx 资格证明文件-包5.docx 1项目理解、重难点分析-包5.docx 中小企业声明函 4进度及质量保障措施-包5.docx 报价一览表（首次）-包5.docx 5服务保障方案-包5.docx 响应文件封面 7项目团队人员配备方案-包5.docx 分项报价表（第一次）-包5.docx 3展会布展方案-包5.docx 8类似业绩-包5.docx 残疾人福利性单位声明函 保证金缴纳凭证-包5.docx 标的清单 2项目整体方案-包5.docx 6会务资料准备-包5.docx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保证金缴纳凭证-包5.docx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商务偏离表-包5.docx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商务偏离表-包5.docx 供应商认为有必要说明的其他资料-包5.docx 服务偏离表-包5.docx 资格证明文件-包5.docx 1项目理解、重难点分析-包5.docx 中小企业声明函 4进度及质量保障措施-包5.docx 报价一览表（首次）-包5.docx 5服务保障方案-包5.docx 响应文件封面 7项目团队人员配备方案-包5.docx 分项报价表（第一次）-包5.docx 3展会布展方案-包5.docx 8类似业绩-包5.docx 残疾人福利性单位声明函 保证金缴纳凭证-包5.docx 标的清单 2项目整体方案-包5.docx 6会务资料准备-包5.docx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报价一览表（首次）-包6.docx 分项报价表（第一次）-包6.docx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3展会布展方案-包6.docx 中小企业声明函 7项目团队人员配备方案-包6.docx 服务偏离表-包6.docx 分项报价表（第一次）-包6.docx 保证金缴纳凭证-包6.docx 供应商认为有必要说明的其他资料-包6.docx 响应文件封面 6会务资料准备-包6.docx 2项目整体方案-包6.docx 1项目理解、重难点分析-包6.docx 报价一览表（首次）-包6.docx 残疾人福利性单位声明函 商务偏离表-包6.docx 8类似业绩-包6.docx 标的清单 5服务保障方案-包6.docx 响应函 4进度及质量保障措施-包6.docx 监狱企业的证明文件 资格证明文件-包6.docx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报价一览表（首次）-包6.docx 标的清单 分项报价表（第一次）-包6.docx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3展会布展方案-包6.docx 中小企业声明函 7项目团队人员配备方案-包6.docx 服务偏离表-包6.docx 分项报价表（第一次）-包6.docx 保证金缴纳凭证-包6.docx 供应商认为有必要说明的其他资料-包6.docx 响应文件封面 6会务资料准备-包6.docx 2项目整体方案-包6.docx 1项目理解、重难点分析-包6.docx 报价一览表（首次）-包6.docx 残疾人福利性单位声明函 商务偏离表-包6.docx 8类似业绩-包6.docx 标的清单 5服务保障方案-包6.docx 响应函 4进度及质量保障措施-包6.docx 监狱企业的证明文件 资格证明文件-包6.docx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保证金缴纳凭证-包6.docx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商务偏离表-包6.docx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3展会布展方案-包6.docx 中小企业声明函 7项目团队人员配备方案-包6.docx 服务偏离表-包6.docx 分项报价表（第一次）-包6.docx 保证金缴纳凭证-包6.docx 供应商认为有必要说明的其他资料-包6.docx 响应文件封面 6会务资料准备-包6.docx 2项目整体方案-包6.docx 1项目理解、重难点分析-包6.docx 报价一览表（首次）-包6.docx 残疾人福利性单位声明函 商务偏离表-包6.docx 8类似业绩-包6.docx 标的清单 5服务保障方案-包6.docx 响应函 4进度及质量保障措施-包6.docx 监狱企业的证明文件 资格证明文件-包6.docx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一、评审内容 针对本项目提供项目理解、重难点分析，包括但不限于①项目背景、项目需求理解、项目需求分析、项目目标；②项目重点难点分析、应对措施。 二、评审标准 1、完整性：方案须全面，对评审内容中的各项要求有详细描述； 2、可实施性：切合本项目实际情况，实施步骤清晰、合理； 3、针对性：方案能够紧扣项目实际情况，内容科学合理。 三、赋分依据（满分6分） ①项目背景、项目需求理解、项目需求分析、项目目标：每完全满足一个评审标准得1分，满分3分。 ②项目重点难点分析、应对措施：每完全满足一个评审标准得1分，满分3分。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1项目理解、重难点分析-包1.docx</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一、评审内容 针对本项目提供项目整体方案，包括但不限于①参展企业人员培训方案；②参展企业人员出国手续办理计划及方案；③宣传物料制作；④展品运输及报关；⑤项目实施计划及安排；⑥参展沟通协调机制；⑦撤展方案；⑧后期验收方案。 二、评审标准 1、完整性：方案须全面，对评审内容中的各项要求有详细描述； 2、可实施性：切合本项目实际情况，实施步骤清晰、合理； 3、针对性：方案能够紧扣项目实际情况，内容科学合理。 三、赋分依据（满分24分） ①参展企业人员培训方案：每完全满足一个评审标准得1分，满分3分。 ②参展企业人员出国手续办理计划及方案：每完全满足一个评审标准得1分，满分3分。 ③宣传物料制作：每完全满足一个评审标准得1分，满分3分。 ④展品运输及报关：每完全满足一个评审标准得1分，满分3分。 ⑤项目实施计划及安排：每完全满足一个评审标准得1分，满分3分。 ⑥参展沟通协调机制：每完全满足一个评审标准得1分，满分3分。 ⑦撤展方案：每完全满足一个评审标准得1分，满分3分。 ⑧后期验收方案：每完全满足一个评审标准得1分，满分3分。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2项目整体方案-包1.docx</w:t>
            </w:r>
          </w:p>
        </w:tc>
      </w:tr>
      <w:tr>
        <w:tc>
          <w:tcPr>
            <w:tcW w:type="dxa" w:w="831"/>
            <w:vMerge/>
          </w:tcPr>
          <w:p/>
        </w:tc>
        <w:tc>
          <w:tcPr>
            <w:tcW w:type="dxa" w:w="1661"/>
          </w:tcPr>
          <w:p>
            <w:pPr>
              <w:pStyle w:val="null3"/>
            </w:pPr>
            <w:r>
              <w:rPr>
                <w:rFonts w:ascii="仿宋_GB2312" w:hAnsi="仿宋_GB2312" w:cs="仿宋_GB2312" w:eastAsia="仿宋_GB2312"/>
              </w:rPr>
              <w:t>展会布展方案</w:t>
            </w:r>
          </w:p>
        </w:tc>
        <w:tc>
          <w:tcPr>
            <w:tcW w:type="dxa" w:w="2492"/>
          </w:tcPr>
          <w:p>
            <w:pPr>
              <w:pStyle w:val="null3"/>
            </w:pPr>
            <w:r>
              <w:rPr>
                <w:rFonts w:ascii="仿宋_GB2312" w:hAnsi="仿宋_GB2312" w:cs="仿宋_GB2312" w:eastAsia="仿宋_GB2312"/>
              </w:rPr>
              <w:t>一、评审内容 针对本项目提供展会布展方案，包括但不限于①展位设计方案；②展位搭建方案。 二、评审标准 1、完整性：方案须全面，对评审内容中的各项要求有详细描述； 2、可实施性：切合本项目实际情况，实施步骤清晰、合理； 3、针对性：方案能够紧扣项目实际情况，内容科学合理。 三、赋分依据（满分6分） ①展位设计方案：每完全满足一个评审标准得1分，满分3分。 ②展位搭建方案：每完全满足一个评审标准得1分，满分3分。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3展会布展方案-包1.docx</w:t>
            </w:r>
          </w:p>
        </w:tc>
      </w:tr>
      <w:tr>
        <w:tc>
          <w:tcPr>
            <w:tcW w:type="dxa" w:w="831"/>
            <w:vMerge/>
          </w:tcPr>
          <w:p/>
        </w:tc>
        <w:tc>
          <w:tcPr>
            <w:tcW w:type="dxa" w:w="1661"/>
          </w:tcPr>
          <w:p>
            <w:pPr>
              <w:pStyle w:val="null3"/>
            </w:pPr>
            <w:r>
              <w:rPr>
                <w:rFonts w:ascii="仿宋_GB2312" w:hAnsi="仿宋_GB2312" w:cs="仿宋_GB2312" w:eastAsia="仿宋_GB2312"/>
              </w:rPr>
              <w:t>进度及质量保障措施</w:t>
            </w:r>
          </w:p>
        </w:tc>
        <w:tc>
          <w:tcPr>
            <w:tcW w:type="dxa" w:w="2492"/>
          </w:tcPr>
          <w:p>
            <w:pPr>
              <w:pStyle w:val="null3"/>
            </w:pPr>
            <w:r>
              <w:rPr>
                <w:rFonts w:ascii="仿宋_GB2312" w:hAnsi="仿宋_GB2312" w:cs="仿宋_GB2312" w:eastAsia="仿宋_GB2312"/>
              </w:rPr>
              <w:t>一、评审内容 针对本项目提供进度及质量保障措施，包括但不限于：①项目进度保障措施；②服务质量保障措施。 二、评审标准 1、完整性：方案须全面，对评审内容中的各项要求有详细描述； 2、可实施性：切合本项目实际情况，实施步骤清晰、合理； 3、针对性：方案能够紧扣项目实际情况，内容科学合理。 三、赋分依据（满分6分） ①项目进度保障措施：每完全满足一个评审标准得1分，满分3分。 ②服务质量保障措施：每完全满足一个评审标准得1分，满分3分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4进度及质量保障措施-包1.docx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针对本项目提供服务保障方案，包括但不限于①参展人员食宿保障；②交通出行保障；③安全保障措施；④翻译语种保障方案。 二、评审标准 1、完整性：方案须全面，对评审内容中的各项要求有详细描述； 2、可实施性：切合本项目实际情况，实施步骤清晰、合理； 3、针对性：方案能够紧扣项目实际情况，内容科学合理。 三、赋分依据（满分12分） ①参展人员食宿保障：每完全满足一个评审标准得1分，满分3分。 ②交通出行保障：每完全满足一个评审标准得1分，满分3分。 ③安全保障措施：每完全满足一个评审标准得1分，满分3分。 ④翻译语种保障方案：每完全满足一个评审标准得1分，满分3分。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5服务保障方案-包1.docx</w:t>
            </w:r>
          </w:p>
        </w:tc>
      </w:tr>
      <w:tr>
        <w:tc>
          <w:tcPr>
            <w:tcW w:type="dxa" w:w="831"/>
            <w:vMerge/>
          </w:tcPr>
          <w:p/>
        </w:tc>
        <w:tc>
          <w:tcPr>
            <w:tcW w:type="dxa" w:w="1661"/>
          </w:tcPr>
          <w:p>
            <w:pPr>
              <w:pStyle w:val="null3"/>
            </w:pPr>
            <w:r>
              <w:rPr>
                <w:rFonts w:ascii="仿宋_GB2312" w:hAnsi="仿宋_GB2312" w:cs="仿宋_GB2312" w:eastAsia="仿宋_GB2312"/>
              </w:rPr>
              <w:t>会务资料准备</w:t>
            </w:r>
          </w:p>
        </w:tc>
        <w:tc>
          <w:tcPr>
            <w:tcW w:type="dxa" w:w="2492"/>
          </w:tcPr>
          <w:p>
            <w:pPr>
              <w:pStyle w:val="null3"/>
            </w:pPr>
            <w:r>
              <w:rPr>
                <w:rFonts w:ascii="仿宋_GB2312" w:hAnsi="仿宋_GB2312" w:cs="仿宋_GB2312" w:eastAsia="仿宋_GB2312"/>
              </w:rPr>
              <w:t>一、评审内容 针对本项目提供会务资料准备及服务保障，包括但不限于①会务资料的设计及制作；②针对特殊要求的专项保障。 二、评审标准 1、完整性：方案须全面，对评审内容中的各项要求有详细描述； 2、可实施性：切合本项目实际情况，实施步骤清晰、合理； 3、针对性：方案能够紧扣项目实际情况，内容科学合理。 三、赋分依据（满分9分） ①会务资料的设计及制作：每完全满足一个评审标准得1分，满分3分。 ②针对特殊要求的专项保障：每完全满足一个评审标准得1分，满分3分。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6会务资料准备-包1.docx</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一、评审内容 针对本项目提供项目团队人员配备方案方案，包括但不限于：①项目服务团队架构；②项目人员岗位划分及职责；③项目人员管理制度；④翻译人员配备及服务方案。 二、评审标准 1、完整性：方案须全面，对评审内容中的各项要求有详细描述； 2、可实施性：切合本项目实际情况，实施步骤清晰、合理； 3、针对性：方案能够紧扣项目实际情况，内容科学合理。 三、赋分依据（满分12分） ①项目服务团队架构：每完全满足一个评审标准得1分，满分3分； ②项目人员岗位划分及职责：每完全满足一个评审标准得1分，满分3分； ③项目人员管理制度：每完全满足一个评审标准得1分，满分3分。 ④翻译人员配备及服务方案：每完全满足一个评审标准得1分，满分3分。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7项目团队人员配备方案-包1.docx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供应商提供2022年01月01日至今类似业绩（以合同签订日期为准），每提供1个得1分，满分5分。 注：提供合同复印件并加盖公章。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8类似业绩-包1.docx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报价一览表（首次）-包1.docx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分项报价表（第一次）-包1.docx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一、评审内容 针对本项目提供项目理解、重难点分析，包括但不限于①项目背景、项目需求理解、项目需求分析、项目目标；②项目重点难点分析、应对措施。 二、评审标准 1、完整性：方案须全面，对评审内容中的各项要求有详细描述； 2、可实施性：切合本项目实际情况，实施步骤清晰、合理； 3、针对性：方案能够紧扣项目实际情况，内容科学合理。 三、赋分依据（满分6分） ①项目背景、项目需求理解、项目需求分析、项目目标：每完全满足一个评审标准得1分，满分3分。 ②项目重点难点分析、应对措施：每完全满足一个评审标准得1分，满分3分。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1项目理解、重难点分析-包2.docx</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一、评审内容 针对本项目提供项目整体方案，包括但不限于①参展企业人员培训方案；②参展企业人员出国手续办理计划及方案；③宣传物料制作；④展品运输及报关；⑤项目实施计划及安排；⑥参展沟通协调机制；⑦撤展方案；⑧后期验收方案。 二、评审标准 1、完整性：方案须全面，对评审内容中的各项要求有详细描述； 2、可实施性：切合本项目实际情况，实施步骤清晰、合理； 3、针对性：方案能够紧扣项目实际情况，内容科学合理。 三、赋分依据（满分24分） ①参展企业人员培训方案：每完全满足一个评审标准得1分，满分3分。 ②参展企业人员出国手续办理计划及方案：每完全满足一个评审标准得1分，满分3分。 ③宣传物料制作：每完全满足一个评审标准得1分，满分3分。 ④展品运输及报关：每完全满足一个评审标准得1分，满分3分。 ⑤项目实施计划及安排：每完全满足一个评审标准得1分，满分3分。 ⑥参展沟通协调机制：每完全满足一个评审标准得1分，满分3分。 ⑦撤展方案：每完全满足一个评审标准得1分，满分3分。 ⑧后期验收方案：每完全满足一个评审标准得1分，满分3分。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2项目整体方案-包2.docx</w:t>
            </w:r>
          </w:p>
        </w:tc>
      </w:tr>
      <w:tr>
        <w:tc>
          <w:tcPr>
            <w:tcW w:type="dxa" w:w="831"/>
            <w:vMerge/>
          </w:tcPr>
          <w:p/>
        </w:tc>
        <w:tc>
          <w:tcPr>
            <w:tcW w:type="dxa" w:w="1661"/>
          </w:tcPr>
          <w:p>
            <w:pPr>
              <w:pStyle w:val="null3"/>
            </w:pPr>
            <w:r>
              <w:rPr>
                <w:rFonts w:ascii="仿宋_GB2312" w:hAnsi="仿宋_GB2312" w:cs="仿宋_GB2312" w:eastAsia="仿宋_GB2312"/>
              </w:rPr>
              <w:t>展会布展方案</w:t>
            </w:r>
          </w:p>
        </w:tc>
        <w:tc>
          <w:tcPr>
            <w:tcW w:type="dxa" w:w="2492"/>
          </w:tcPr>
          <w:p>
            <w:pPr>
              <w:pStyle w:val="null3"/>
            </w:pPr>
            <w:r>
              <w:rPr>
                <w:rFonts w:ascii="仿宋_GB2312" w:hAnsi="仿宋_GB2312" w:cs="仿宋_GB2312" w:eastAsia="仿宋_GB2312"/>
              </w:rPr>
              <w:t>一、评审内容 针对本项目提供展会布展方案，包括但不限于①展位设计方案；②展位搭建方案。 二、评审标准 1、完整性：方案须全面，对评审内容中的各项要求有详细描述； 2、可实施性：切合本项目实际情况，实施步骤清晰、合理； 3、针对性：方案能够紧扣项目实际情况，内容科学合理。 三、赋分依据（满分6分） ①展位设计方案：每完全满足一个评审标准得1分，满分3分。 ②展位搭建方案：每完全满足一个评审标准得1分，满分3分。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3展会布展方案-包2.docx</w:t>
            </w:r>
          </w:p>
        </w:tc>
      </w:tr>
      <w:tr>
        <w:tc>
          <w:tcPr>
            <w:tcW w:type="dxa" w:w="831"/>
            <w:vMerge/>
          </w:tcPr>
          <w:p/>
        </w:tc>
        <w:tc>
          <w:tcPr>
            <w:tcW w:type="dxa" w:w="1661"/>
          </w:tcPr>
          <w:p>
            <w:pPr>
              <w:pStyle w:val="null3"/>
            </w:pPr>
            <w:r>
              <w:rPr>
                <w:rFonts w:ascii="仿宋_GB2312" w:hAnsi="仿宋_GB2312" w:cs="仿宋_GB2312" w:eastAsia="仿宋_GB2312"/>
              </w:rPr>
              <w:t>进度及质量保障措施</w:t>
            </w:r>
          </w:p>
        </w:tc>
        <w:tc>
          <w:tcPr>
            <w:tcW w:type="dxa" w:w="2492"/>
          </w:tcPr>
          <w:p>
            <w:pPr>
              <w:pStyle w:val="null3"/>
            </w:pPr>
            <w:r>
              <w:rPr>
                <w:rFonts w:ascii="仿宋_GB2312" w:hAnsi="仿宋_GB2312" w:cs="仿宋_GB2312" w:eastAsia="仿宋_GB2312"/>
              </w:rPr>
              <w:t>一、评审内容 针对本项目提供进度及质量保障措施，包括但不限于：①项目进度保障措施；②服务质量保障措施。 二、评审标准 1、完整性：方案须全面，对评审内容中的各项要求有详细描述； 2、可实施性：切合本项目实际情况，实施步骤清晰、合理； 3、针对性：方案能够紧扣项目实际情况，内容科学合理。 三、赋分依据（满分6分） ①项目进度保障措施：每完全满足一个评审标准得1分，满分3分。 ②服务质量保障措施：每完全满足一个评审标准得1分，满分3分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4进度及质量保障措施-包2.docx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针对本项目提供服务保障方案，包括但不限于①参展人员食宿保障；②交通出行保障；③安全保障措施；④翻译语种保障方案。 二、评审标准 1、完整性：方案须全面，对评审内容中的各项要求有详细描述； 2、可实施性：切合本项目实际情况，实施步骤清晰、合理； 3、针对性：方案能够紧扣项目实际情况，内容科学合理。 三、赋分依据（满分12分） ①参展人员食宿保障：每完全满足一个评审标准得1分，满分3分。 ②交通出行保障：每完全满足一个评审标准得1分，满分3分。 ③安全保障措施：每完全满足一个评审标准得1分，满分3分。 ④翻译语种保障方案：每完全满足一个评审标准得1分，满分3分。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5服务保障方案-包2.docx</w:t>
            </w:r>
          </w:p>
        </w:tc>
      </w:tr>
      <w:tr>
        <w:tc>
          <w:tcPr>
            <w:tcW w:type="dxa" w:w="831"/>
            <w:vMerge/>
          </w:tcPr>
          <w:p/>
        </w:tc>
        <w:tc>
          <w:tcPr>
            <w:tcW w:type="dxa" w:w="1661"/>
          </w:tcPr>
          <w:p>
            <w:pPr>
              <w:pStyle w:val="null3"/>
            </w:pPr>
            <w:r>
              <w:rPr>
                <w:rFonts w:ascii="仿宋_GB2312" w:hAnsi="仿宋_GB2312" w:cs="仿宋_GB2312" w:eastAsia="仿宋_GB2312"/>
              </w:rPr>
              <w:t>会务资料准备</w:t>
            </w:r>
          </w:p>
        </w:tc>
        <w:tc>
          <w:tcPr>
            <w:tcW w:type="dxa" w:w="2492"/>
          </w:tcPr>
          <w:p>
            <w:pPr>
              <w:pStyle w:val="null3"/>
            </w:pPr>
            <w:r>
              <w:rPr>
                <w:rFonts w:ascii="仿宋_GB2312" w:hAnsi="仿宋_GB2312" w:cs="仿宋_GB2312" w:eastAsia="仿宋_GB2312"/>
              </w:rPr>
              <w:t>一、评审内容 针对本项目提供会务资料准备及服务保障，包括但不限于①会务资料的设计及制作；②针对特殊要求的专项保障。 二、评审标准 1、完整性：方案须全面，对评审内容中的各项要求有详细描述； 2、可实施性：切合本项目实际情况，实施步骤清晰、合理； 3、针对性：方案能够紧扣项目实际情况，内容科学合理。 三、赋分依据（满分9分） ①会务资料的设计及制作：每完全满足一个评审标准得1分，满分3分。 ②针对特殊要求的专项保障：每完全满足一个评审标准得1分，满分3分。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6会务资料准备-包2.docx</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一、评审内容 针对本项目提供项目团队人员配备方案方案，包括但不限于：①项目服务团队架构；②项目人员岗位划分及职责；③项目人员管理制度；④翻译人员配备及服务方案。 二、评审标准 1、完整性：方案须全面，对评审内容中的各项要求有详细描述； 2、可实施性：切合本项目实际情况，实施步骤清晰、合理； 3、针对性：方案能够紧扣项目实际情况，内容科学合理。 三、赋分依据（满分12分） ①项目服务团队架构：每完全满足一个评审标准得1分，满分3分； ②项目人员岗位划分及职责：每完全满足一个评审标准得1分，满分3分； ③项目人员管理制度：每完全满足一个评审标准得1分，满分3分。 ④翻译人员配备及服务方案：每完全满足一个评审标准得1分，满分3分。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7项目团队人员配备方案-包2.docx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供应商提供2022年01月01日至今类似业绩（以合同签订日期为准），每提供1个得1分，满分5分。 注：提供合同复印件并加盖公章。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8类似业绩-包2.docx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报价一览表（首次）-包2.docx</w:t>
            </w:r>
          </w:p>
          <w:p>
            <w:pPr>
              <w:pStyle w:val="null3"/>
            </w:pPr>
            <w:r>
              <w:rPr>
                <w:rFonts w:ascii="仿宋_GB2312" w:hAnsi="仿宋_GB2312" w:cs="仿宋_GB2312" w:eastAsia="仿宋_GB2312"/>
              </w:rPr>
              <w:t>分项报价表（第一次）-包2.docx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一、评审内容 针对本项目提供项目理解、重难点分析，包括但不限于①项目背景、项目需求理解、项目需求分析、项目目标；②项目重点难点分析、应对措施。 二、评审标准 1、完整性：方案须全面，对评审内容中的各项要求有详细描述； 2、可实施性：切合本项目实际情况，实施步骤清晰、合理； 3、针对性：方案能够紧扣项目实际情况，内容科学合理。 三、赋分依据（满分6分） ①项目背景、项目需求理解、项目需求分析、项目目标：每完全满足一个评审标准得1分，满分3分。 ②项目重点难点分析、应对措施：每完全满足一个评审标准得1分，满分3分。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1项目理解、重难点分析-包3.docx</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一、评审内容 针对本项目提供项目整体方案，包括但不限于①参展企业人员培训方案；②参展企业人员出国手续办理计划及方案；③宣传物料制作；④展品运输及报关；⑤项目实施计划及安排；⑥参展沟通协调机制；⑦撤展方案；⑧后期验收方案。 二、评审标准 1、完整性：方案须全面，对评审内容中的各项要求有详细描述； 2、可实施性：切合本项目实际情况，实施步骤清晰、合理； 3、针对性：方案能够紧扣项目实际情况，内容科学合理。 三、赋分依据（满分24分） ①参展企业人员培训方案：每完全满足一个评审标准得1分，满分3分。 ②参展企业人员出国手续办理计划及方案：每完全满足一个评审标准得1分，满分3分。 ③宣传物料制作：每完全满足一个评审标准得1分，满分3分。 ④展品运输及报关：每完全满足一个评审标准得1分，满分3分。 ⑤项目实施计划及安排：每完全满足一个评审标准得1分，满分3分。 ⑥参展沟通协调机制：每完全满足一个评审标准得1分，满分3分。 ⑦撤展方案：每完全满足一个评审标准得1分，满分3分。 ⑧后期验收方案：每完全满足一个评审标准得1分，满分3分。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2项目整体方案-包3.docx</w:t>
            </w:r>
          </w:p>
        </w:tc>
      </w:tr>
      <w:tr>
        <w:tc>
          <w:tcPr>
            <w:tcW w:type="dxa" w:w="831"/>
            <w:vMerge/>
          </w:tcPr>
          <w:p/>
        </w:tc>
        <w:tc>
          <w:tcPr>
            <w:tcW w:type="dxa" w:w="1661"/>
          </w:tcPr>
          <w:p>
            <w:pPr>
              <w:pStyle w:val="null3"/>
            </w:pPr>
            <w:r>
              <w:rPr>
                <w:rFonts w:ascii="仿宋_GB2312" w:hAnsi="仿宋_GB2312" w:cs="仿宋_GB2312" w:eastAsia="仿宋_GB2312"/>
              </w:rPr>
              <w:t>展会布展方案</w:t>
            </w:r>
          </w:p>
        </w:tc>
        <w:tc>
          <w:tcPr>
            <w:tcW w:type="dxa" w:w="2492"/>
          </w:tcPr>
          <w:p>
            <w:pPr>
              <w:pStyle w:val="null3"/>
            </w:pPr>
            <w:r>
              <w:rPr>
                <w:rFonts w:ascii="仿宋_GB2312" w:hAnsi="仿宋_GB2312" w:cs="仿宋_GB2312" w:eastAsia="仿宋_GB2312"/>
              </w:rPr>
              <w:t>一、评审内容 针对本项目提供展会布展方案，包括但不限于①展位设计方案；②展位搭建方案。 二、评审标准 1、完整性：方案须全面，对评审内容中的各项要求有详细描述； 2、可实施性：切合本项目实际情况，实施步骤清晰、合理； 3、针对性：方案能够紧扣项目实际情况，内容科学合理。 三、赋分依据（满分6分） ①展位设计方案：每完全满足一个评审标准得1分，满分3分。 ②展位搭建方案：每完全满足一个评审标准得1分，满分3分。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3展会布展方案-包3.docx</w:t>
            </w:r>
          </w:p>
        </w:tc>
      </w:tr>
      <w:tr>
        <w:tc>
          <w:tcPr>
            <w:tcW w:type="dxa" w:w="831"/>
            <w:vMerge/>
          </w:tcPr>
          <w:p/>
        </w:tc>
        <w:tc>
          <w:tcPr>
            <w:tcW w:type="dxa" w:w="1661"/>
          </w:tcPr>
          <w:p>
            <w:pPr>
              <w:pStyle w:val="null3"/>
            </w:pPr>
            <w:r>
              <w:rPr>
                <w:rFonts w:ascii="仿宋_GB2312" w:hAnsi="仿宋_GB2312" w:cs="仿宋_GB2312" w:eastAsia="仿宋_GB2312"/>
              </w:rPr>
              <w:t>进度及质量保障措施</w:t>
            </w:r>
          </w:p>
        </w:tc>
        <w:tc>
          <w:tcPr>
            <w:tcW w:type="dxa" w:w="2492"/>
          </w:tcPr>
          <w:p>
            <w:pPr>
              <w:pStyle w:val="null3"/>
            </w:pPr>
            <w:r>
              <w:rPr>
                <w:rFonts w:ascii="仿宋_GB2312" w:hAnsi="仿宋_GB2312" w:cs="仿宋_GB2312" w:eastAsia="仿宋_GB2312"/>
              </w:rPr>
              <w:t>一、评审内容 针对本项目提供进度及质量保障措施，包括但不限于：①项目进度保障措施；②服务质量保障措施。 二、评审标准 1、完整性：方案须全面，对评审内容中的各项要求有详细描述； 2、可实施性：切合本项目实际情况，实施步骤清晰、合理； 3、针对性：方案能够紧扣项目实际情况，内容科学合理。 三、赋分依据（满分6分） ①项目进度保障措施：每完全满足一个评审标准得1分，满分3分。 ②服务质量保障措施：每完全满足一个评审标准得1分，满分3分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4进度及质量保障措施-包3.docx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针对本项目提供服务保障方案，包括但不限于①参展人员食宿保障；②交通出行保障；③安全保障措施；④翻译语种保障方案。 二、评审标准 1、完整性：方案须全面，对评审内容中的各项要求有详细描述； 2、可实施性：切合本项目实际情况，实施步骤清晰、合理； 3、针对性：方案能够紧扣项目实际情况，内容科学合理。 三、赋分依据（满分12分） ①参展人员食宿保障：每完全满足一个评审标准得1分，满分3分。 ②交通出行保障：每完全满足一个评审标准得1分，满分3分。 ③安全保障措施：每完全满足一个评审标准得1分，满分3分。 ④翻译语种保障方案：每完全满足一个评审标准得1分，满分3分。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5服务保障方案-包3.docx</w:t>
            </w:r>
          </w:p>
        </w:tc>
      </w:tr>
      <w:tr>
        <w:tc>
          <w:tcPr>
            <w:tcW w:type="dxa" w:w="831"/>
            <w:vMerge/>
          </w:tcPr>
          <w:p/>
        </w:tc>
        <w:tc>
          <w:tcPr>
            <w:tcW w:type="dxa" w:w="1661"/>
          </w:tcPr>
          <w:p>
            <w:pPr>
              <w:pStyle w:val="null3"/>
            </w:pPr>
            <w:r>
              <w:rPr>
                <w:rFonts w:ascii="仿宋_GB2312" w:hAnsi="仿宋_GB2312" w:cs="仿宋_GB2312" w:eastAsia="仿宋_GB2312"/>
              </w:rPr>
              <w:t>会务资料准备</w:t>
            </w:r>
          </w:p>
        </w:tc>
        <w:tc>
          <w:tcPr>
            <w:tcW w:type="dxa" w:w="2492"/>
          </w:tcPr>
          <w:p>
            <w:pPr>
              <w:pStyle w:val="null3"/>
            </w:pPr>
            <w:r>
              <w:rPr>
                <w:rFonts w:ascii="仿宋_GB2312" w:hAnsi="仿宋_GB2312" w:cs="仿宋_GB2312" w:eastAsia="仿宋_GB2312"/>
              </w:rPr>
              <w:t>一、评审内容 针对本项目提供会务资料准备及服务保障，包括但不限于①会务资料的设计及制作；②针对特殊要求的专项保障。 二、评审标准 1、完整性：方案须全面，对评审内容中的各项要求有详细描述； 2、可实施性：切合本项目实际情况，实施步骤清晰、合理； 3、针对性：方案能够紧扣项目实际情况，内容科学合理。 三、赋分依据（满分9分） ①会务资料的设计及制作：每完全满足一个评审标准得1分，满分3分。 ②针对特殊要求的专项保障：每完全满足一个评审标准得1分，满分3分。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6会务资料准备-包3.docx</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一、评审内容 针对本项目提供项目团队人员配备方案方案，包括但不限于：①项目服务团队架构；②项目人员岗位划分及职责；③项目人员管理制度；④翻译人员配备及服务方案。 二、评审标准 1、完整性：方案须全面，对评审内容中的各项要求有详细描述； 2、可实施性：切合本项目实际情况，实施步骤清晰、合理； 3、针对性：方案能够紧扣项目实际情况，内容科学合理。 三、赋分依据（满分12分） ①项目服务团队架构：每完全满足一个评审标准得1分，满分3分； ②项目人员岗位划分及职责：每完全满足一个评审标准得1分，满分3分； ③项目人员管理制度：每完全满足一个评审标准得1分，满分3分。 ④翻译人员配备及服务方案：每完全满足一个评审标准得1分，满分3分。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7项目团队人员配备方案-包3.docx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供应商提供2022年01月01日至今类似业绩（以合同签订日期为准），每提供1个得1分，满分5分。 注：提供合同复印件并加盖公章。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8类似业绩-包3.docx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报价一览表（首次）-包3.docx</w:t>
            </w:r>
          </w:p>
          <w:p>
            <w:pPr>
              <w:pStyle w:val="null3"/>
            </w:pPr>
            <w:r>
              <w:rPr>
                <w:rFonts w:ascii="仿宋_GB2312" w:hAnsi="仿宋_GB2312" w:cs="仿宋_GB2312" w:eastAsia="仿宋_GB2312"/>
              </w:rPr>
              <w:t>分项报价表（第一次）-包3.docx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一、评审内容 针对本项目提供项目理解、重难点分析，包括但不限于①项目背景、项目需求理解、项目需求分析、项目目标；②项目重点难点分析、应对措施。 二、评审标准 1、完整性：方案须全面，对评审内容中的各项要求有详细描述； 2、可实施性：切合本项目实际情况，实施步骤清晰、合理； 3、针对性：方案能够紧扣项目实际情况，内容科学合理。 三、赋分依据（满分6分） ①项目背景、项目需求理解、项目需求分析、项目目标：每完全满足一个评审标准得1分，满分3分。 ②项目重点难点分析、应对措施：每完全满足一个评审标准得1分，满分3分。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1项目理解、重难点分析-包4.docx</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一、评审内容 针对本项目提供项目整体方案，包括但不限于①参展企业人员培训方案；②参展企业人员出国手续办理计划及方案；③宣传物料制作；④展品运输及报关；⑤项目实施计划及安排；⑥参展沟通协调机制；⑦撤展方案；⑧后期验收方案。 二、评审标准 1、完整性：方案须全面，对评审内容中的各项要求有详细描述； 2、可实施性：切合本项目实际情况，实施步骤清晰、合理； 3、针对性：方案能够紧扣项目实际情况，内容科学合理。 三、赋分依据（满分24分） ①参展企业人员培训方案：每完全满足一个评审标准得1分，满分3分。 ②参展企业人员出国手续办理计划及方案：每完全满足一个评审标准得1分，满分3分。 ③宣传物料制作：每完全满足一个评审标准得1分，满分3分。 ④展品运输及报关：每完全满足一个评审标准得1分，满分3分。 ⑤项目实施计划及安排：每完全满足一个评审标准得1分，满分3分。 ⑥参展沟通协调机制：每完全满足一个评审标准得1分，满分3分。 ⑦撤展方案：每完全满足一个评审标准得1分，满分3分。 ⑧后期验收方案：每完全满足一个评审标准得1分，满分3分。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2项目整体方案-包4.docx</w:t>
            </w:r>
          </w:p>
        </w:tc>
      </w:tr>
      <w:tr>
        <w:tc>
          <w:tcPr>
            <w:tcW w:type="dxa" w:w="831"/>
            <w:vMerge/>
          </w:tcPr>
          <w:p/>
        </w:tc>
        <w:tc>
          <w:tcPr>
            <w:tcW w:type="dxa" w:w="1661"/>
          </w:tcPr>
          <w:p>
            <w:pPr>
              <w:pStyle w:val="null3"/>
            </w:pPr>
            <w:r>
              <w:rPr>
                <w:rFonts w:ascii="仿宋_GB2312" w:hAnsi="仿宋_GB2312" w:cs="仿宋_GB2312" w:eastAsia="仿宋_GB2312"/>
              </w:rPr>
              <w:t>展会布展方案</w:t>
            </w:r>
          </w:p>
        </w:tc>
        <w:tc>
          <w:tcPr>
            <w:tcW w:type="dxa" w:w="2492"/>
          </w:tcPr>
          <w:p>
            <w:pPr>
              <w:pStyle w:val="null3"/>
            </w:pPr>
            <w:r>
              <w:rPr>
                <w:rFonts w:ascii="仿宋_GB2312" w:hAnsi="仿宋_GB2312" w:cs="仿宋_GB2312" w:eastAsia="仿宋_GB2312"/>
              </w:rPr>
              <w:t>一、评审内容 针对本项目提供展会布展方案，包括但不限于①展位设计方案；②展位搭建方案。 二、评审标准 1、完整性：方案须全面，对评审内容中的各项要求有详细描述； 2、可实施性：切合本项目实际情况，实施步骤清晰、合理； 3、针对性：方案能够紧扣项目实际情况，内容科学合理。 三、赋分依据（满分6分） ①展位设计方案：每完全满足一个评审标准得1分，满分3分。 ②展位搭建方案：每完全满足一个评审标准得1分，满分3分。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3展会布展方案-包4.docx</w:t>
            </w:r>
          </w:p>
        </w:tc>
      </w:tr>
      <w:tr>
        <w:tc>
          <w:tcPr>
            <w:tcW w:type="dxa" w:w="831"/>
            <w:vMerge/>
          </w:tcPr>
          <w:p/>
        </w:tc>
        <w:tc>
          <w:tcPr>
            <w:tcW w:type="dxa" w:w="1661"/>
          </w:tcPr>
          <w:p>
            <w:pPr>
              <w:pStyle w:val="null3"/>
            </w:pPr>
            <w:r>
              <w:rPr>
                <w:rFonts w:ascii="仿宋_GB2312" w:hAnsi="仿宋_GB2312" w:cs="仿宋_GB2312" w:eastAsia="仿宋_GB2312"/>
              </w:rPr>
              <w:t>进度及质量保障措施</w:t>
            </w:r>
          </w:p>
        </w:tc>
        <w:tc>
          <w:tcPr>
            <w:tcW w:type="dxa" w:w="2492"/>
          </w:tcPr>
          <w:p>
            <w:pPr>
              <w:pStyle w:val="null3"/>
            </w:pPr>
            <w:r>
              <w:rPr>
                <w:rFonts w:ascii="仿宋_GB2312" w:hAnsi="仿宋_GB2312" w:cs="仿宋_GB2312" w:eastAsia="仿宋_GB2312"/>
              </w:rPr>
              <w:t>一、评审内容 针对本项目提供进度及质量保障措施，包括但不限于：①项目进度保障措施；②服务质量保障措施。 二、评审标准 1、完整性：方案须全面，对评审内容中的各项要求有详细描述； 2、可实施性：切合本项目实际情况，实施步骤清晰、合理； 3、针对性：方案能够紧扣项目实际情况，内容科学合理。 三、赋分依据（满分6分） ①项目进度保障措施：每完全满足一个评审标准得1分，满分3分。 ②服务质量保障措施：每完全满足一个评审标准得1分，满分3分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4进度及质量保障措施-包4.docx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针对本项目提供服务保障方案，包括但不限于①参展人员食宿保障；②交通出行保障；③安全保障措施；④翻译语种保障方案。 二、评审标准 1、完整性：方案须全面，对评审内容中的各项要求有详细描述； 2、可实施性：切合本项目实际情况，实施步骤清晰、合理； 3、针对性：方案能够紧扣项目实际情况，内容科学合理。 三、赋分依据（满分12分） ①参展人员食宿保障：每完全满足一个评审标准得1分，满分3分。 ②交通出行保障：每完全满足一个评审标准得1分，满分3分。 ③安全保障措施：每完全满足一个评审标准得1分，满分3分。 ④翻译语种保障方案：每完全满足一个评审标准得1分，满分3分。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5服务保障方案-包4.docx</w:t>
            </w:r>
          </w:p>
        </w:tc>
      </w:tr>
      <w:tr>
        <w:tc>
          <w:tcPr>
            <w:tcW w:type="dxa" w:w="831"/>
            <w:vMerge/>
          </w:tcPr>
          <w:p/>
        </w:tc>
        <w:tc>
          <w:tcPr>
            <w:tcW w:type="dxa" w:w="1661"/>
          </w:tcPr>
          <w:p>
            <w:pPr>
              <w:pStyle w:val="null3"/>
            </w:pPr>
            <w:r>
              <w:rPr>
                <w:rFonts w:ascii="仿宋_GB2312" w:hAnsi="仿宋_GB2312" w:cs="仿宋_GB2312" w:eastAsia="仿宋_GB2312"/>
              </w:rPr>
              <w:t>会务资料准备</w:t>
            </w:r>
          </w:p>
        </w:tc>
        <w:tc>
          <w:tcPr>
            <w:tcW w:type="dxa" w:w="2492"/>
          </w:tcPr>
          <w:p>
            <w:pPr>
              <w:pStyle w:val="null3"/>
            </w:pPr>
            <w:r>
              <w:rPr>
                <w:rFonts w:ascii="仿宋_GB2312" w:hAnsi="仿宋_GB2312" w:cs="仿宋_GB2312" w:eastAsia="仿宋_GB2312"/>
              </w:rPr>
              <w:t>一、评审内容 针对本项目提供会务资料准备及服务保障，包括但不限于①会务资料的设计及制作；②针对特殊要求的专项保障。 二、评审标准 1、完整性：方案须全面，对评审内容中的各项要求有详细描述； 2、可实施性：切合本项目实际情况，实施步骤清晰、合理； 3、针对性：方案能够紧扣项目实际情况，内容科学合理。 三、赋分依据（满分9分） ①会务资料的设计及制作：每完全满足一个评审标准得1分，满分3分。 ②针对特殊要求的专项保障：每完全满足一个评审标准得1分，满分3分。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6会务资料准备-包4.docx</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一、评审内容 针对本项目提供项目团队人员配备方案方案，包括但不限于：①项目服务团队架构；②项目人员岗位划分及职责；③项目人员管理制度；④翻译人员配备及服务方案。 二、评审标准 1、完整性：方案须全面，对评审内容中的各项要求有详细描述； 2、可实施性：切合本项目实际情况，实施步骤清晰、合理； 3、针对性：方案能够紧扣项目实际情况，内容科学合理。 三、赋分依据（满分12分） ①项目服务团队架构：每完全满足一个评审标准得1分，满分3分； ②项目人员岗位划分及职责：每完全满足一个评审标准得1分，满分3分； ③项目人员管理制度：每完全满足一个评审标准得1分，满分3分。 ④翻译人员配备及服务方案：每完全满足一个评审标准得1分，满分3分。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7项目团队人员配备方案-包4.docx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供应商提供2022年01月01日至今类似业绩（以合同签订日期为准），每提供1个得1分，满分5分。 注：提供合同复印件并加盖公章。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8类似业绩-包4.docx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报价一览表（首次）-包4.docx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分项报价表（第一次）-包4.docx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一、评审内容 针对本项目提供项目理解、重难点分析，包括但不限于①项目背景、项目需求理解、项目需求分析、项目目标；②项目重点难点分析、应对措施。 二、评审标准 1、完整性：方案须全面，对评审内容中的各项要求有详细描述； 2、可实施性：切合本项目实际情况，实施步骤清晰、合理； 3、针对性：方案能够紧扣项目实际情况，内容科学合理。 三、赋分依据（满分6分） ①项目背景、项目需求理解、项目需求分析、项目目标：每完全满足一个评审标准得1分，满分3分。 ②项目重点难点分析、应对措施：每完全满足一个评审标准得1分，满分3分。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1项目理解、重难点分析-包5.docx</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一、评审内容 针对本项目提供项目整体方案，包括但不限于①参展企业人员培训方案；②参展企业人员出国手续办理计划及方案；③宣传物料制作；④展品运输及报关；⑤项目实施计划及安排；⑥参展沟通协调机制；⑦撤展方案；⑧后期验收方案。 二、评审标准 1、完整性：方案须全面，对评审内容中的各项要求有详细描述； 2、可实施性：切合本项目实际情况，实施步骤清晰、合理； 3、针对性：方案能够紧扣项目实际情况，内容科学合理。 三、赋分依据（满分24分） ①参展企业人员培训方案：每完全满足一个评审标准得1分，满分3分。 ②参展企业人员出国手续办理计划及方案：每完全满足一个评审标准得1分，满分3分。 ③宣传物料制作：每完全满足一个评审标准得1分，满分3分。 ④展品运输及报关：每完全满足一个评审标准得1分，满分3分。 ⑤项目实施计划及安排：每完全满足一个评审标准得1分，满分3分。 ⑥参展沟通协调机制：每完全满足一个评审标准得1分，满分3分。 ⑦撤展方案：每完全满足一个评审标准得1分，满分3分。 ⑧后期验收方案：每完全满足一个评审标准得1分，满分3分。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2项目整体方案-包5.docx</w:t>
            </w:r>
          </w:p>
        </w:tc>
      </w:tr>
      <w:tr>
        <w:tc>
          <w:tcPr>
            <w:tcW w:type="dxa" w:w="831"/>
            <w:vMerge/>
          </w:tcPr>
          <w:p/>
        </w:tc>
        <w:tc>
          <w:tcPr>
            <w:tcW w:type="dxa" w:w="1661"/>
          </w:tcPr>
          <w:p>
            <w:pPr>
              <w:pStyle w:val="null3"/>
            </w:pPr>
            <w:r>
              <w:rPr>
                <w:rFonts w:ascii="仿宋_GB2312" w:hAnsi="仿宋_GB2312" w:cs="仿宋_GB2312" w:eastAsia="仿宋_GB2312"/>
              </w:rPr>
              <w:t>展会布展方案</w:t>
            </w:r>
          </w:p>
        </w:tc>
        <w:tc>
          <w:tcPr>
            <w:tcW w:type="dxa" w:w="2492"/>
          </w:tcPr>
          <w:p>
            <w:pPr>
              <w:pStyle w:val="null3"/>
            </w:pPr>
            <w:r>
              <w:rPr>
                <w:rFonts w:ascii="仿宋_GB2312" w:hAnsi="仿宋_GB2312" w:cs="仿宋_GB2312" w:eastAsia="仿宋_GB2312"/>
              </w:rPr>
              <w:t>一、评审内容 针对本项目提供展会布展方案，包括但不限于①展位设计方案；②展位搭建方案。 二、评审标准 1、完整性：方案须全面，对评审内容中的各项要求有详细描述； 2、可实施性：切合本项目实际情况，实施步骤清晰、合理； 3、针对性：方案能够紧扣项目实际情况，内容科学合理。 三、赋分依据（满分6分） ①展位设计方案：每完全满足一个评审标准得1分，满分3分。 ②展位搭建方案：每完全满足一个评审标准得1分，满分3分。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3展会布展方案-包5.docx</w:t>
            </w:r>
          </w:p>
        </w:tc>
      </w:tr>
      <w:tr>
        <w:tc>
          <w:tcPr>
            <w:tcW w:type="dxa" w:w="831"/>
            <w:vMerge/>
          </w:tcPr>
          <w:p/>
        </w:tc>
        <w:tc>
          <w:tcPr>
            <w:tcW w:type="dxa" w:w="1661"/>
          </w:tcPr>
          <w:p>
            <w:pPr>
              <w:pStyle w:val="null3"/>
            </w:pPr>
            <w:r>
              <w:rPr>
                <w:rFonts w:ascii="仿宋_GB2312" w:hAnsi="仿宋_GB2312" w:cs="仿宋_GB2312" w:eastAsia="仿宋_GB2312"/>
              </w:rPr>
              <w:t>进度及质量保障措施</w:t>
            </w:r>
          </w:p>
        </w:tc>
        <w:tc>
          <w:tcPr>
            <w:tcW w:type="dxa" w:w="2492"/>
          </w:tcPr>
          <w:p>
            <w:pPr>
              <w:pStyle w:val="null3"/>
            </w:pPr>
            <w:r>
              <w:rPr>
                <w:rFonts w:ascii="仿宋_GB2312" w:hAnsi="仿宋_GB2312" w:cs="仿宋_GB2312" w:eastAsia="仿宋_GB2312"/>
              </w:rPr>
              <w:t>一、评审内容 针对本项目提供进度及质量保障措施，包括但不限于：①项目进度保障措施；②服务质量保障措施。 二、评审标准 1、完整性：方案须全面，对评审内容中的各项要求有详细描述； 2、可实施性：切合本项目实际情况，实施步骤清晰、合理； 3、针对性：方案能够紧扣项目实际情况，内容科学合理。 三、赋分依据（满分6分） ①项目进度保障措施：每完全满足一个评审标准得1分，满分3分。 ②服务质量保障措施：每完全满足一个评审标准得1分，满分3分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4进度及质量保障措施-包5.docx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针对本项目提供服务保障方案，包括但不限于①参展人员食宿保障；②交通出行保障；③安全保障措施；④翻译语种保障方案。 二、评审标准 1、完整性：方案须全面，对评审内容中的各项要求有详细描述； 2、可实施性：切合本项目实际情况，实施步骤清晰、合理； 3、针对性：方案能够紧扣项目实际情况，内容科学合理。 三、赋分依据（满分12分） ①参展人员食宿保障：每完全满足一个评审标准得1分，满分3分。 ②交通出行保障：每完全满足一个评审标准得1分，满分3分。 ③安全保障措施：每完全满足一个评审标准得1分，满分3分。 ④翻译语种保障方案：每完全满足一个评审标准得1分，满分3分。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5服务保障方案-包5.docx</w:t>
            </w:r>
          </w:p>
        </w:tc>
      </w:tr>
      <w:tr>
        <w:tc>
          <w:tcPr>
            <w:tcW w:type="dxa" w:w="831"/>
            <w:vMerge/>
          </w:tcPr>
          <w:p/>
        </w:tc>
        <w:tc>
          <w:tcPr>
            <w:tcW w:type="dxa" w:w="1661"/>
          </w:tcPr>
          <w:p>
            <w:pPr>
              <w:pStyle w:val="null3"/>
            </w:pPr>
            <w:r>
              <w:rPr>
                <w:rFonts w:ascii="仿宋_GB2312" w:hAnsi="仿宋_GB2312" w:cs="仿宋_GB2312" w:eastAsia="仿宋_GB2312"/>
              </w:rPr>
              <w:t>会务资料准备</w:t>
            </w:r>
          </w:p>
        </w:tc>
        <w:tc>
          <w:tcPr>
            <w:tcW w:type="dxa" w:w="2492"/>
          </w:tcPr>
          <w:p>
            <w:pPr>
              <w:pStyle w:val="null3"/>
            </w:pPr>
            <w:r>
              <w:rPr>
                <w:rFonts w:ascii="仿宋_GB2312" w:hAnsi="仿宋_GB2312" w:cs="仿宋_GB2312" w:eastAsia="仿宋_GB2312"/>
              </w:rPr>
              <w:t>一、评审内容 针对本项目提供会务资料准备及服务保障，包括但不限于①会务资料的设计及制作；②针对特殊要求的专项保障。 二、评审标准 1、完整性：方案须全面，对评审内容中的各项要求有详细描述； 2、可实施性：切合本项目实际情况，实施步骤清晰、合理； 3、针对性：方案能够紧扣项目实际情况，内容科学合理。 三、赋分依据（满分9分） ①会务资料的设计及制作：每完全满足一个评审标准得1分，满分3分。 ②针对特殊要求的专项保障：每完全满足一个评审标准得1分，满分3分。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6会务资料准备-包5.docx</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一、评审内容 针对本项目提供项目团队人员配备方案方案，包括但不限于：①项目服务团队架构；②项目人员岗位划分及职责；③项目人员管理制度；④翻译人员配备及服务方案。 二、评审标准 1、完整性：方案须全面，对评审内容中的各项要求有详细描述； 2、可实施性：切合本项目实际情况，实施步骤清晰、合理； 3、针对性：方案能够紧扣项目实际情况，内容科学合理。 三、赋分依据（满分12分） ①项目服务团队架构：每完全满足一个评审标准得1分，满分3分； ②项目人员岗位划分及职责：每完全满足一个评审标准得1分，满分3分； ③项目人员管理制度：每完全满足一个评审标准得1分，满分3分。 ④翻译人员配备及服务方案：每完全满足一个评审标准得1分，满分3分。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7项目团队人员配备方案-包5.docx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供应商提供2022年01月01日至今类似业绩（以合同签订日期为准），每提供1个得1分，满分5分。 注：提供合同复印件并加盖公章。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8类似业绩-包5.docx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分项报价表（第一次）-包5.docx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报价一览表（首次）-包5.docx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一、评审内容 针对本项目提供项目理解、重难点分析，包括但不限于①项目背景、项目需求理解、项目需求分析、项目目标；②项目重点难点分析、应对措施。 二、评审标准 1、完整性：方案须全面，对评审内容中的各项要求有详细描述； 2、可实施性：切合本项目实际情况，实施步骤清晰、合理； 3、针对性：方案能够紧扣项目实际情况，内容科学合理。 三、赋分依据（满分6分） ①项目背景、项目需求理解、项目需求分析、项目目标：每完全满足一个评审标准得1分，满分3分。 ②项目重点难点分析、应对措施：每完全满足一个评审标准得1分，满分3分。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1项目理解、重难点分析-包6.docx</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一、评审内容 针对本项目提供项目整体方案，包括但不限于①参展企业人员培训方案；②参展企业人员出国手续办理计划及方案；③宣传物料制作；④展品运输及报关；⑤项目实施计划及安排；⑥参展沟通协调机制；⑦撤展方案；⑧后期验收方案。 二、评审标准 1、完整性：方案须全面，对评审内容中的各项要求有详细描述； 2、可实施性：切合本项目实际情况，实施步骤清晰、合理； 3、针对性：方案能够紧扣项目实际情况，内容科学合理。 三、赋分依据（满分24分） ①参展企业人员培训方案：每完全满足一个评审标准得1分，满分3分。 ②参展企业人员出国手续办理计划及方案：每完全满足一个评审标准得1分，满分3分。 ③宣传物料制作：每完全满足一个评审标准得1分，满分3分。 ④展品运输及报关：每完全满足一个评审标准得1分，满分3分。 ⑤项目实施计划及安排：每完全满足一个评审标准得1分，满分3分。 ⑥参展沟通协调机制：每完全满足一个评审标准得1分，满分3分。 ⑦撤展方案：每完全满足一个评审标准得1分，满分3分。 ⑧后期验收方案：每完全满足一个评审标准得1分，满分3分。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2项目整体方案-包6.docx</w:t>
            </w:r>
          </w:p>
        </w:tc>
      </w:tr>
      <w:tr>
        <w:tc>
          <w:tcPr>
            <w:tcW w:type="dxa" w:w="831"/>
            <w:vMerge/>
          </w:tcPr>
          <w:p/>
        </w:tc>
        <w:tc>
          <w:tcPr>
            <w:tcW w:type="dxa" w:w="1661"/>
          </w:tcPr>
          <w:p>
            <w:pPr>
              <w:pStyle w:val="null3"/>
            </w:pPr>
            <w:r>
              <w:rPr>
                <w:rFonts w:ascii="仿宋_GB2312" w:hAnsi="仿宋_GB2312" w:cs="仿宋_GB2312" w:eastAsia="仿宋_GB2312"/>
              </w:rPr>
              <w:t>展会布展方案</w:t>
            </w:r>
          </w:p>
        </w:tc>
        <w:tc>
          <w:tcPr>
            <w:tcW w:type="dxa" w:w="2492"/>
          </w:tcPr>
          <w:p>
            <w:pPr>
              <w:pStyle w:val="null3"/>
            </w:pPr>
            <w:r>
              <w:rPr>
                <w:rFonts w:ascii="仿宋_GB2312" w:hAnsi="仿宋_GB2312" w:cs="仿宋_GB2312" w:eastAsia="仿宋_GB2312"/>
              </w:rPr>
              <w:t>一、评审内容 针对本项目提供展会布展方案，包括但不限于①展位设计方案；②展位搭建方案。 二、评审标准 1、完整性：方案须全面，对评审内容中的各项要求有详细描述； 2、可实施性：切合本项目实际情况，实施步骤清晰、合理； 3、针对性：方案能够紧扣项目实际情况，内容科学合理。 三、赋分依据（满分6分） ①展位设计方案：每完全满足一个评审标准得1分，满分3分。 ②展位搭建方案：每完全满足一个评审标准得1分，满分3分。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3展会布展方案-包6.docx</w:t>
            </w:r>
          </w:p>
        </w:tc>
      </w:tr>
      <w:tr>
        <w:tc>
          <w:tcPr>
            <w:tcW w:type="dxa" w:w="831"/>
            <w:vMerge/>
          </w:tcPr>
          <w:p/>
        </w:tc>
        <w:tc>
          <w:tcPr>
            <w:tcW w:type="dxa" w:w="1661"/>
          </w:tcPr>
          <w:p>
            <w:pPr>
              <w:pStyle w:val="null3"/>
            </w:pPr>
            <w:r>
              <w:rPr>
                <w:rFonts w:ascii="仿宋_GB2312" w:hAnsi="仿宋_GB2312" w:cs="仿宋_GB2312" w:eastAsia="仿宋_GB2312"/>
              </w:rPr>
              <w:t>进度及质量保障措施</w:t>
            </w:r>
          </w:p>
        </w:tc>
        <w:tc>
          <w:tcPr>
            <w:tcW w:type="dxa" w:w="2492"/>
          </w:tcPr>
          <w:p>
            <w:pPr>
              <w:pStyle w:val="null3"/>
            </w:pPr>
            <w:r>
              <w:rPr>
                <w:rFonts w:ascii="仿宋_GB2312" w:hAnsi="仿宋_GB2312" w:cs="仿宋_GB2312" w:eastAsia="仿宋_GB2312"/>
              </w:rPr>
              <w:t>一、评审内容 针对本项目提供进度及质量保障措施，包括但不限于：①项目进度保障措施；②服务质量保障措施。 二、评审标准 1、完整性：方案须全面，对评审内容中的各项要求有详细描述； 2、可实施性：切合本项目实际情况，实施步骤清晰、合理； 3、针对性：方案能够紧扣项目实际情况，内容科学合理。 三、赋分依据（满分6分） ①项目进度保障措施：每完全满足一个评审标准得1分，满分3分。 ②服务质量保障措施：每完全满足一个评审标准得1分，满分3分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4进度及质量保障措施-包6.docx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针对本项目提供服务保障方案，包括但不限于①参展人员食宿保障；②交通出行保障；③安全保障措施；④翻译语种保障方案。 二、评审标准 1、完整性：方案须全面，对评审内容中的各项要求有详细描述； 2、可实施性：切合本项目实际情况，实施步骤清晰、合理； 3、针对性：方案能够紧扣项目实际情况，内容科学合理。 三、赋分依据（满分12分） ①参展人员食宿保障：每完全满足一个评审标准得1分，满分3分。 ②交通出行保障：每完全满足一个评审标准得1分，满分3分。 ③安全保障措施：每完全满足一个评审标准得1分，满分3分。 ④翻译语种保障方案：每完全满足一个评审标准得1分，满分3分。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5服务保障方案-包6.docx</w:t>
            </w:r>
          </w:p>
        </w:tc>
      </w:tr>
      <w:tr>
        <w:tc>
          <w:tcPr>
            <w:tcW w:type="dxa" w:w="831"/>
            <w:vMerge/>
          </w:tcPr>
          <w:p/>
        </w:tc>
        <w:tc>
          <w:tcPr>
            <w:tcW w:type="dxa" w:w="1661"/>
          </w:tcPr>
          <w:p>
            <w:pPr>
              <w:pStyle w:val="null3"/>
            </w:pPr>
            <w:r>
              <w:rPr>
                <w:rFonts w:ascii="仿宋_GB2312" w:hAnsi="仿宋_GB2312" w:cs="仿宋_GB2312" w:eastAsia="仿宋_GB2312"/>
              </w:rPr>
              <w:t>会务资料准备</w:t>
            </w:r>
          </w:p>
        </w:tc>
        <w:tc>
          <w:tcPr>
            <w:tcW w:type="dxa" w:w="2492"/>
          </w:tcPr>
          <w:p>
            <w:pPr>
              <w:pStyle w:val="null3"/>
            </w:pPr>
            <w:r>
              <w:rPr>
                <w:rFonts w:ascii="仿宋_GB2312" w:hAnsi="仿宋_GB2312" w:cs="仿宋_GB2312" w:eastAsia="仿宋_GB2312"/>
              </w:rPr>
              <w:t>一、评审内容 针对本项目提供会务资料准备及服务保障，包括但不限于①会务资料的设计及制作；②针对特殊要求的专项保障。 二、评审标准 1、完整性：方案须全面，对评审内容中的各项要求有详细描述； 2、可实施性：切合本项目实际情况，实施步骤清晰、合理； 3、针对性：方案能够紧扣项目实际情况，内容科学合理。 三、赋分依据（满分9分） ①会务资料的设计及制作：每完全满足一个评审标准得1分，满分3分。 ②针对特殊要求的专项保障：每完全满足一个评审标准得1分，满分3分。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6会务资料准备-包6.docx</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一、评审内容 针对本项目提供项目团队人员配备方案方案，包括但不限于：①项目服务团队架构；②项目人员岗位划分及职责；③项目人员管理制度；④翻译人员配备及服务方案。 二、评审标准 1、完整性：方案须全面，对评审内容中的各项要求有详细描述； 2、可实施性：切合本项目实际情况，实施步骤清晰、合理； 3、针对性：方案能够紧扣项目实际情况，内容科学合理。 三、赋分依据（满分12分） ①项目服务团队架构：每完全满足一个评审标准得1分，满分3分； ②项目人员岗位划分及职责：每完全满足一个评审标准得1分，满分3分； ③项目人员管理制度：每完全满足一个评审标准得1分，满分3分。 ④翻译人员配备及服务方案：每完全满足一个评审标准得1分，满分3分。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7项目团队人员配备方案-包6.docx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供应商提供2022年01月01日至今类似业绩（以合同签订日期为准），每提供1个得1分，满分5分。 注：提供合同复印件并加盖公章。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8类似业绩-包6.docx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分项报价表（第一次）-包6.docx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报价一览表（首次）-包6.docx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详见附件：报价一览表（首次）-包1.docx</w:t>
      </w:r>
    </w:p>
    <w:p>
      <w:pPr>
        <w:pStyle w:val="null3"/>
        <w:ind w:firstLine="960"/>
      </w:pPr>
      <w:r>
        <w:rPr>
          <w:rFonts w:ascii="仿宋_GB2312" w:hAnsi="仿宋_GB2312" w:cs="仿宋_GB2312" w:eastAsia="仿宋_GB2312"/>
        </w:rPr>
        <w:t>详见附件：分项报价表（第一次）-包1.docx</w:t>
      </w:r>
    </w:p>
    <w:p>
      <w:pPr>
        <w:pStyle w:val="null3"/>
        <w:ind w:firstLine="960"/>
      </w:pPr>
      <w:r>
        <w:rPr>
          <w:rFonts w:ascii="仿宋_GB2312" w:hAnsi="仿宋_GB2312" w:cs="仿宋_GB2312" w:eastAsia="仿宋_GB2312"/>
        </w:rPr>
        <w:t>详见附件：资格证明文件-包1.docx</w:t>
      </w:r>
    </w:p>
    <w:p>
      <w:pPr>
        <w:pStyle w:val="null3"/>
        <w:ind w:firstLine="960"/>
      </w:pPr>
      <w:r>
        <w:rPr>
          <w:rFonts w:ascii="仿宋_GB2312" w:hAnsi="仿宋_GB2312" w:cs="仿宋_GB2312" w:eastAsia="仿宋_GB2312"/>
        </w:rPr>
        <w:t>详见附件：服务偏离表-包1.docx</w:t>
      </w:r>
    </w:p>
    <w:p>
      <w:pPr>
        <w:pStyle w:val="null3"/>
        <w:ind w:firstLine="960"/>
      </w:pPr>
      <w:r>
        <w:rPr>
          <w:rFonts w:ascii="仿宋_GB2312" w:hAnsi="仿宋_GB2312" w:cs="仿宋_GB2312" w:eastAsia="仿宋_GB2312"/>
        </w:rPr>
        <w:t>详见附件：商务偏离表-包1.docx</w:t>
      </w:r>
    </w:p>
    <w:p>
      <w:pPr>
        <w:pStyle w:val="null3"/>
        <w:ind w:firstLine="960"/>
      </w:pPr>
      <w:r>
        <w:rPr>
          <w:rFonts w:ascii="仿宋_GB2312" w:hAnsi="仿宋_GB2312" w:cs="仿宋_GB2312" w:eastAsia="仿宋_GB2312"/>
        </w:rPr>
        <w:t>详见附件：1项目理解、重难点分析-包1.docx</w:t>
      </w:r>
    </w:p>
    <w:p>
      <w:pPr>
        <w:pStyle w:val="null3"/>
        <w:ind w:firstLine="960"/>
      </w:pPr>
      <w:r>
        <w:rPr>
          <w:rFonts w:ascii="仿宋_GB2312" w:hAnsi="仿宋_GB2312" w:cs="仿宋_GB2312" w:eastAsia="仿宋_GB2312"/>
        </w:rPr>
        <w:t>详见附件：2项目整体方案-包1.docx</w:t>
      </w:r>
    </w:p>
    <w:p>
      <w:pPr>
        <w:pStyle w:val="null3"/>
        <w:ind w:firstLine="960"/>
      </w:pPr>
      <w:r>
        <w:rPr>
          <w:rFonts w:ascii="仿宋_GB2312" w:hAnsi="仿宋_GB2312" w:cs="仿宋_GB2312" w:eastAsia="仿宋_GB2312"/>
        </w:rPr>
        <w:t>详见附件：3展会布展方案-包1.docx</w:t>
      </w:r>
    </w:p>
    <w:p>
      <w:pPr>
        <w:pStyle w:val="null3"/>
        <w:ind w:firstLine="960"/>
      </w:pPr>
      <w:r>
        <w:rPr>
          <w:rFonts w:ascii="仿宋_GB2312" w:hAnsi="仿宋_GB2312" w:cs="仿宋_GB2312" w:eastAsia="仿宋_GB2312"/>
        </w:rPr>
        <w:t>详见附件：4进度及质量保障措施-包1.docx</w:t>
      </w:r>
    </w:p>
    <w:p>
      <w:pPr>
        <w:pStyle w:val="null3"/>
        <w:ind w:firstLine="960"/>
      </w:pPr>
      <w:r>
        <w:rPr>
          <w:rFonts w:ascii="仿宋_GB2312" w:hAnsi="仿宋_GB2312" w:cs="仿宋_GB2312" w:eastAsia="仿宋_GB2312"/>
        </w:rPr>
        <w:t>详见附件：5服务保障方案-包1.docx</w:t>
      </w:r>
    </w:p>
    <w:p>
      <w:pPr>
        <w:pStyle w:val="null3"/>
        <w:ind w:firstLine="960"/>
      </w:pPr>
      <w:r>
        <w:rPr>
          <w:rFonts w:ascii="仿宋_GB2312" w:hAnsi="仿宋_GB2312" w:cs="仿宋_GB2312" w:eastAsia="仿宋_GB2312"/>
        </w:rPr>
        <w:t>详见附件：6会务资料准备-包1.docx</w:t>
      </w:r>
    </w:p>
    <w:p>
      <w:pPr>
        <w:pStyle w:val="null3"/>
        <w:ind w:firstLine="960"/>
      </w:pPr>
      <w:r>
        <w:rPr>
          <w:rFonts w:ascii="仿宋_GB2312" w:hAnsi="仿宋_GB2312" w:cs="仿宋_GB2312" w:eastAsia="仿宋_GB2312"/>
        </w:rPr>
        <w:t>详见附件：7项目团队人员配备方案-包1.docx</w:t>
      </w:r>
    </w:p>
    <w:p>
      <w:pPr>
        <w:pStyle w:val="null3"/>
        <w:ind w:firstLine="960"/>
      </w:pPr>
      <w:r>
        <w:rPr>
          <w:rFonts w:ascii="仿宋_GB2312" w:hAnsi="仿宋_GB2312" w:cs="仿宋_GB2312" w:eastAsia="仿宋_GB2312"/>
        </w:rPr>
        <w:t>详见附件：8类似业绩-包1.docx</w:t>
      </w:r>
    </w:p>
    <w:p>
      <w:pPr>
        <w:pStyle w:val="null3"/>
        <w:ind w:firstLine="960"/>
      </w:pPr>
      <w:r>
        <w:rPr>
          <w:rFonts w:ascii="仿宋_GB2312" w:hAnsi="仿宋_GB2312" w:cs="仿宋_GB2312" w:eastAsia="仿宋_GB2312"/>
        </w:rPr>
        <w:t>详见附件：供应商认为有必要说明的其他资料-包1.docx</w:t>
      </w:r>
    </w:p>
    <w:p>
      <w:pPr>
        <w:pStyle w:val="null3"/>
        <w:ind w:firstLine="960"/>
      </w:pPr>
      <w:r>
        <w:rPr>
          <w:rFonts w:ascii="仿宋_GB2312" w:hAnsi="仿宋_GB2312" w:cs="仿宋_GB2312" w:eastAsia="仿宋_GB2312"/>
        </w:rPr>
        <w:t>详见附件：保证金缴纳凭证-包1.docx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详见附件：报价一览表（首次）-包2.docx</w:t>
      </w:r>
    </w:p>
    <w:p>
      <w:pPr>
        <w:pStyle w:val="null3"/>
        <w:ind w:firstLine="960"/>
      </w:pPr>
      <w:r>
        <w:rPr>
          <w:rFonts w:ascii="仿宋_GB2312" w:hAnsi="仿宋_GB2312" w:cs="仿宋_GB2312" w:eastAsia="仿宋_GB2312"/>
        </w:rPr>
        <w:t>详见附件：分项报价表（第一次）-包2.docx</w:t>
      </w:r>
    </w:p>
    <w:p>
      <w:pPr>
        <w:pStyle w:val="null3"/>
        <w:ind w:firstLine="960"/>
      </w:pPr>
      <w:r>
        <w:rPr>
          <w:rFonts w:ascii="仿宋_GB2312" w:hAnsi="仿宋_GB2312" w:cs="仿宋_GB2312" w:eastAsia="仿宋_GB2312"/>
        </w:rPr>
        <w:t>详见附件：资格证明文件-包2.docx</w:t>
      </w:r>
    </w:p>
    <w:p>
      <w:pPr>
        <w:pStyle w:val="null3"/>
        <w:ind w:firstLine="960"/>
      </w:pPr>
      <w:r>
        <w:rPr>
          <w:rFonts w:ascii="仿宋_GB2312" w:hAnsi="仿宋_GB2312" w:cs="仿宋_GB2312" w:eastAsia="仿宋_GB2312"/>
        </w:rPr>
        <w:t>详见附件：服务偏离表-包2.docx</w:t>
      </w:r>
    </w:p>
    <w:p>
      <w:pPr>
        <w:pStyle w:val="null3"/>
        <w:ind w:firstLine="960"/>
      </w:pPr>
      <w:r>
        <w:rPr>
          <w:rFonts w:ascii="仿宋_GB2312" w:hAnsi="仿宋_GB2312" w:cs="仿宋_GB2312" w:eastAsia="仿宋_GB2312"/>
        </w:rPr>
        <w:t>详见附件：商务偏离表-包2.docx</w:t>
      </w:r>
    </w:p>
    <w:p>
      <w:pPr>
        <w:pStyle w:val="null3"/>
        <w:ind w:firstLine="960"/>
      </w:pPr>
      <w:r>
        <w:rPr>
          <w:rFonts w:ascii="仿宋_GB2312" w:hAnsi="仿宋_GB2312" w:cs="仿宋_GB2312" w:eastAsia="仿宋_GB2312"/>
        </w:rPr>
        <w:t>详见附件：1项目理解、重难点分析-包2.docx</w:t>
      </w:r>
    </w:p>
    <w:p>
      <w:pPr>
        <w:pStyle w:val="null3"/>
        <w:ind w:firstLine="960"/>
      </w:pPr>
      <w:r>
        <w:rPr>
          <w:rFonts w:ascii="仿宋_GB2312" w:hAnsi="仿宋_GB2312" w:cs="仿宋_GB2312" w:eastAsia="仿宋_GB2312"/>
        </w:rPr>
        <w:t>详见附件：2项目整体方案-包2.docx</w:t>
      </w:r>
    </w:p>
    <w:p>
      <w:pPr>
        <w:pStyle w:val="null3"/>
        <w:ind w:firstLine="960"/>
      </w:pPr>
      <w:r>
        <w:rPr>
          <w:rFonts w:ascii="仿宋_GB2312" w:hAnsi="仿宋_GB2312" w:cs="仿宋_GB2312" w:eastAsia="仿宋_GB2312"/>
        </w:rPr>
        <w:t>详见附件：3展会布展方案-包2.docx</w:t>
      </w:r>
    </w:p>
    <w:p>
      <w:pPr>
        <w:pStyle w:val="null3"/>
        <w:ind w:firstLine="960"/>
      </w:pPr>
      <w:r>
        <w:rPr>
          <w:rFonts w:ascii="仿宋_GB2312" w:hAnsi="仿宋_GB2312" w:cs="仿宋_GB2312" w:eastAsia="仿宋_GB2312"/>
        </w:rPr>
        <w:t>详见附件：4进度及质量保障措施-包2.docx</w:t>
      </w:r>
    </w:p>
    <w:p>
      <w:pPr>
        <w:pStyle w:val="null3"/>
        <w:ind w:firstLine="960"/>
      </w:pPr>
      <w:r>
        <w:rPr>
          <w:rFonts w:ascii="仿宋_GB2312" w:hAnsi="仿宋_GB2312" w:cs="仿宋_GB2312" w:eastAsia="仿宋_GB2312"/>
        </w:rPr>
        <w:t>详见附件：5服务保障方案-包2.docx</w:t>
      </w:r>
    </w:p>
    <w:p>
      <w:pPr>
        <w:pStyle w:val="null3"/>
        <w:ind w:firstLine="960"/>
      </w:pPr>
      <w:r>
        <w:rPr>
          <w:rFonts w:ascii="仿宋_GB2312" w:hAnsi="仿宋_GB2312" w:cs="仿宋_GB2312" w:eastAsia="仿宋_GB2312"/>
        </w:rPr>
        <w:t>详见附件：6会务资料准备-包2.docx</w:t>
      </w:r>
    </w:p>
    <w:p>
      <w:pPr>
        <w:pStyle w:val="null3"/>
        <w:ind w:firstLine="960"/>
      </w:pPr>
      <w:r>
        <w:rPr>
          <w:rFonts w:ascii="仿宋_GB2312" w:hAnsi="仿宋_GB2312" w:cs="仿宋_GB2312" w:eastAsia="仿宋_GB2312"/>
        </w:rPr>
        <w:t>详见附件：7项目团队人员配备方案-包2.docx</w:t>
      </w:r>
    </w:p>
    <w:p>
      <w:pPr>
        <w:pStyle w:val="null3"/>
        <w:ind w:firstLine="960"/>
      </w:pPr>
      <w:r>
        <w:rPr>
          <w:rFonts w:ascii="仿宋_GB2312" w:hAnsi="仿宋_GB2312" w:cs="仿宋_GB2312" w:eastAsia="仿宋_GB2312"/>
        </w:rPr>
        <w:t>详见附件：8类似业绩-包2.docx</w:t>
      </w:r>
    </w:p>
    <w:p>
      <w:pPr>
        <w:pStyle w:val="null3"/>
        <w:ind w:firstLine="960"/>
      </w:pPr>
      <w:r>
        <w:rPr>
          <w:rFonts w:ascii="仿宋_GB2312" w:hAnsi="仿宋_GB2312" w:cs="仿宋_GB2312" w:eastAsia="仿宋_GB2312"/>
        </w:rPr>
        <w:t>详见附件：供应商认为有必要说明的其他资料-包2.docx</w:t>
      </w:r>
    </w:p>
    <w:p>
      <w:pPr>
        <w:pStyle w:val="null3"/>
        <w:ind w:firstLine="960"/>
      </w:pPr>
      <w:r>
        <w:rPr>
          <w:rFonts w:ascii="仿宋_GB2312" w:hAnsi="仿宋_GB2312" w:cs="仿宋_GB2312" w:eastAsia="仿宋_GB2312"/>
        </w:rPr>
        <w:t>详见附件：保证金缴纳凭证-包2.docx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详见附件：报价一览表（首次）-包3.docx</w:t>
      </w:r>
    </w:p>
    <w:p>
      <w:pPr>
        <w:pStyle w:val="null3"/>
        <w:ind w:firstLine="960"/>
      </w:pPr>
      <w:r>
        <w:rPr>
          <w:rFonts w:ascii="仿宋_GB2312" w:hAnsi="仿宋_GB2312" w:cs="仿宋_GB2312" w:eastAsia="仿宋_GB2312"/>
        </w:rPr>
        <w:t>详见附件：分项报价表（第一次）-包3.docx</w:t>
      </w:r>
    </w:p>
    <w:p>
      <w:pPr>
        <w:pStyle w:val="null3"/>
        <w:ind w:firstLine="960"/>
      </w:pPr>
      <w:r>
        <w:rPr>
          <w:rFonts w:ascii="仿宋_GB2312" w:hAnsi="仿宋_GB2312" w:cs="仿宋_GB2312" w:eastAsia="仿宋_GB2312"/>
        </w:rPr>
        <w:t>详见附件：资格证明文件-包3.docx</w:t>
      </w:r>
    </w:p>
    <w:p>
      <w:pPr>
        <w:pStyle w:val="null3"/>
        <w:ind w:firstLine="960"/>
      </w:pPr>
      <w:r>
        <w:rPr>
          <w:rFonts w:ascii="仿宋_GB2312" w:hAnsi="仿宋_GB2312" w:cs="仿宋_GB2312" w:eastAsia="仿宋_GB2312"/>
        </w:rPr>
        <w:t>详见附件：服务偏离表-包3.docx</w:t>
      </w:r>
    </w:p>
    <w:p>
      <w:pPr>
        <w:pStyle w:val="null3"/>
        <w:ind w:firstLine="960"/>
      </w:pPr>
      <w:r>
        <w:rPr>
          <w:rFonts w:ascii="仿宋_GB2312" w:hAnsi="仿宋_GB2312" w:cs="仿宋_GB2312" w:eastAsia="仿宋_GB2312"/>
        </w:rPr>
        <w:t>详见附件：商务偏离表-包3.docx</w:t>
      </w:r>
    </w:p>
    <w:p>
      <w:pPr>
        <w:pStyle w:val="null3"/>
        <w:ind w:firstLine="960"/>
      </w:pPr>
      <w:r>
        <w:rPr>
          <w:rFonts w:ascii="仿宋_GB2312" w:hAnsi="仿宋_GB2312" w:cs="仿宋_GB2312" w:eastAsia="仿宋_GB2312"/>
        </w:rPr>
        <w:t>详见附件：1项目理解、重难点分析-包3.docx</w:t>
      </w:r>
    </w:p>
    <w:p>
      <w:pPr>
        <w:pStyle w:val="null3"/>
        <w:ind w:firstLine="960"/>
      </w:pPr>
      <w:r>
        <w:rPr>
          <w:rFonts w:ascii="仿宋_GB2312" w:hAnsi="仿宋_GB2312" w:cs="仿宋_GB2312" w:eastAsia="仿宋_GB2312"/>
        </w:rPr>
        <w:t>详见附件：2项目整体方案-包3.docx</w:t>
      </w:r>
    </w:p>
    <w:p>
      <w:pPr>
        <w:pStyle w:val="null3"/>
        <w:ind w:firstLine="960"/>
      </w:pPr>
      <w:r>
        <w:rPr>
          <w:rFonts w:ascii="仿宋_GB2312" w:hAnsi="仿宋_GB2312" w:cs="仿宋_GB2312" w:eastAsia="仿宋_GB2312"/>
        </w:rPr>
        <w:t>详见附件：3展会布展方案-包3.docx</w:t>
      </w:r>
    </w:p>
    <w:p>
      <w:pPr>
        <w:pStyle w:val="null3"/>
        <w:ind w:firstLine="960"/>
      </w:pPr>
      <w:r>
        <w:rPr>
          <w:rFonts w:ascii="仿宋_GB2312" w:hAnsi="仿宋_GB2312" w:cs="仿宋_GB2312" w:eastAsia="仿宋_GB2312"/>
        </w:rPr>
        <w:t>详见附件：4进度及质量保障措施-包3.docx</w:t>
      </w:r>
    </w:p>
    <w:p>
      <w:pPr>
        <w:pStyle w:val="null3"/>
        <w:ind w:firstLine="960"/>
      </w:pPr>
      <w:r>
        <w:rPr>
          <w:rFonts w:ascii="仿宋_GB2312" w:hAnsi="仿宋_GB2312" w:cs="仿宋_GB2312" w:eastAsia="仿宋_GB2312"/>
        </w:rPr>
        <w:t>详见附件：5服务保障方案-包3.docx</w:t>
      </w:r>
    </w:p>
    <w:p>
      <w:pPr>
        <w:pStyle w:val="null3"/>
        <w:ind w:firstLine="960"/>
      </w:pPr>
      <w:r>
        <w:rPr>
          <w:rFonts w:ascii="仿宋_GB2312" w:hAnsi="仿宋_GB2312" w:cs="仿宋_GB2312" w:eastAsia="仿宋_GB2312"/>
        </w:rPr>
        <w:t>详见附件：6会务资料准备-包3.docx</w:t>
      </w:r>
    </w:p>
    <w:p>
      <w:pPr>
        <w:pStyle w:val="null3"/>
        <w:ind w:firstLine="960"/>
      </w:pPr>
      <w:r>
        <w:rPr>
          <w:rFonts w:ascii="仿宋_GB2312" w:hAnsi="仿宋_GB2312" w:cs="仿宋_GB2312" w:eastAsia="仿宋_GB2312"/>
        </w:rPr>
        <w:t>详见附件：7项目团队人员配备方案-包3.docx</w:t>
      </w:r>
    </w:p>
    <w:p>
      <w:pPr>
        <w:pStyle w:val="null3"/>
        <w:ind w:firstLine="960"/>
      </w:pPr>
      <w:r>
        <w:rPr>
          <w:rFonts w:ascii="仿宋_GB2312" w:hAnsi="仿宋_GB2312" w:cs="仿宋_GB2312" w:eastAsia="仿宋_GB2312"/>
        </w:rPr>
        <w:t>详见附件：8类似业绩-包3.docx</w:t>
      </w:r>
    </w:p>
    <w:p>
      <w:pPr>
        <w:pStyle w:val="null3"/>
        <w:ind w:firstLine="960"/>
      </w:pPr>
      <w:r>
        <w:rPr>
          <w:rFonts w:ascii="仿宋_GB2312" w:hAnsi="仿宋_GB2312" w:cs="仿宋_GB2312" w:eastAsia="仿宋_GB2312"/>
        </w:rPr>
        <w:t>详见附件：供应商认为有必要说明的其他资料-包3.docx</w:t>
      </w:r>
    </w:p>
    <w:p>
      <w:pPr>
        <w:pStyle w:val="null3"/>
        <w:ind w:firstLine="960"/>
      </w:pPr>
      <w:r>
        <w:rPr>
          <w:rFonts w:ascii="仿宋_GB2312" w:hAnsi="仿宋_GB2312" w:cs="仿宋_GB2312" w:eastAsia="仿宋_GB2312"/>
        </w:rPr>
        <w:t>详见附件：保证金缴纳凭证-包3.docx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详见附件：报价一览表（首次）-包4.docx</w:t>
      </w:r>
    </w:p>
    <w:p>
      <w:pPr>
        <w:pStyle w:val="null3"/>
        <w:ind w:firstLine="960"/>
      </w:pPr>
      <w:r>
        <w:rPr>
          <w:rFonts w:ascii="仿宋_GB2312" w:hAnsi="仿宋_GB2312" w:cs="仿宋_GB2312" w:eastAsia="仿宋_GB2312"/>
        </w:rPr>
        <w:t>详见附件：分项报价表（第一次）-包4.docx</w:t>
      </w:r>
    </w:p>
    <w:p>
      <w:pPr>
        <w:pStyle w:val="null3"/>
        <w:ind w:firstLine="960"/>
      </w:pPr>
      <w:r>
        <w:rPr>
          <w:rFonts w:ascii="仿宋_GB2312" w:hAnsi="仿宋_GB2312" w:cs="仿宋_GB2312" w:eastAsia="仿宋_GB2312"/>
        </w:rPr>
        <w:t>详见附件：资格证明文件-包4.docx</w:t>
      </w:r>
    </w:p>
    <w:p>
      <w:pPr>
        <w:pStyle w:val="null3"/>
        <w:ind w:firstLine="960"/>
      </w:pPr>
      <w:r>
        <w:rPr>
          <w:rFonts w:ascii="仿宋_GB2312" w:hAnsi="仿宋_GB2312" w:cs="仿宋_GB2312" w:eastAsia="仿宋_GB2312"/>
        </w:rPr>
        <w:t>详见附件：服务偏离表-包4.docx</w:t>
      </w:r>
    </w:p>
    <w:p>
      <w:pPr>
        <w:pStyle w:val="null3"/>
        <w:ind w:firstLine="960"/>
      </w:pPr>
      <w:r>
        <w:rPr>
          <w:rFonts w:ascii="仿宋_GB2312" w:hAnsi="仿宋_GB2312" w:cs="仿宋_GB2312" w:eastAsia="仿宋_GB2312"/>
        </w:rPr>
        <w:t>详见附件：商务偏离表-包4.docx</w:t>
      </w:r>
    </w:p>
    <w:p>
      <w:pPr>
        <w:pStyle w:val="null3"/>
        <w:ind w:firstLine="960"/>
      </w:pPr>
      <w:r>
        <w:rPr>
          <w:rFonts w:ascii="仿宋_GB2312" w:hAnsi="仿宋_GB2312" w:cs="仿宋_GB2312" w:eastAsia="仿宋_GB2312"/>
        </w:rPr>
        <w:t>详见附件：1项目理解、重难点分析-包4.docx</w:t>
      </w:r>
    </w:p>
    <w:p>
      <w:pPr>
        <w:pStyle w:val="null3"/>
        <w:ind w:firstLine="960"/>
      </w:pPr>
      <w:r>
        <w:rPr>
          <w:rFonts w:ascii="仿宋_GB2312" w:hAnsi="仿宋_GB2312" w:cs="仿宋_GB2312" w:eastAsia="仿宋_GB2312"/>
        </w:rPr>
        <w:t>详见附件：2项目整体方案-包4.docx</w:t>
      </w:r>
    </w:p>
    <w:p>
      <w:pPr>
        <w:pStyle w:val="null3"/>
        <w:ind w:firstLine="960"/>
      </w:pPr>
      <w:r>
        <w:rPr>
          <w:rFonts w:ascii="仿宋_GB2312" w:hAnsi="仿宋_GB2312" w:cs="仿宋_GB2312" w:eastAsia="仿宋_GB2312"/>
        </w:rPr>
        <w:t>详见附件：3展会布展方案-包4.docx</w:t>
      </w:r>
    </w:p>
    <w:p>
      <w:pPr>
        <w:pStyle w:val="null3"/>
        <w:ind w:firstLine="960"/>
      </w:pPr>
      <w:r>
        <w:rPr>
          <w:rFonts w:ascii="仿宋_GB2312" w:hAnsi="仿宋_GB2312" w:cs="仿宋_GB2312" w:eastAsia="仿宋_GB2312"/>
        </w:rPr>
        <w:t>详见附件：4进度及质量保障措施-包4.docx</w:t>
      </w:r>
    </w:p>
    <w:p>
      <w:pPr>
        <w:pStyle w:val="null3"/>
        <w:ind w:firstLine="960"/>
      </w:pPr>
      <w:r>
        <w:rPr>
          <w:rFonts w:ascii="仿宋_GB2312" w:hAnsi="仿宋_GB2312" w:cs="仿宋_GB2312" w:eastAsia="仿宋_GB2312"/>
        </w:rPr>
        <w:t>详见附件：5服务保障方案-包4.docx</w:t>
      </w:r>
    </w:p>
    <w:p>
      <w:pPr>
        <w:pStyle w:val="null3"/>
        <w:ind w:firstLine="960"/>
      </w:pPr>
      <w:r>
        <w:rPr>
          <w:rFonts w:ascii="仿宋_GB2312" w:hAnsi="仿宋_GB2312" w:cs="仿宋_GB2312" w:eastAsia="仿宋_GB2312"/>
        </w:rPr>
        <w:t>详见附件：6会务资料准备-包4.docx</w:t>
      </w:r>
    </w:p>
    <w:p>
      <w:pPr>
        <w:pStyle w:val="null3"/>
        <w:ind w:firstLine="960"/>
      </w:pPr>
      <w:r>
        <w:rPr>
          <w:rFonts w:ascii="仿宋_GB2312" w:hAnsi="仿宋_GB2312" w:cs="仿宋_GB2312" w:eastAsia="仿宋_GB2312"/>
        </w:rPr>
        <w:t>详见附件：7项目团队人员配备方案-包4.docx</w:t>
      </w:r>
    </w:p>
    <w:p>
      <w:pPr>
        <w:pStyle w:val="null3"/>
        <w:ind w:firstLine="960"/>
      </w:pPr>
      <w:r>
        <w:rPr>
          <w:rFonts w:ascii="仿宋_GB2312" w:hAnsi="仿宋_GB2312" w:cs="仿宋_GB2312" w:eastAsia="仿宋_GB2312"/>
        </w:rPr>
        <w:t>详见附件：8类似业绩-包4.docx</w:t>
      </w:r>
    </w:p>
    <w:p>
      <w:pPr>
        <w:pStyle w:val="null3"/>
        <w:ind w:firstLine="960"/>
      </w:pPr>
      <w:r>
        <w:rPr>
          <w:rFonts w:ascii="仿宋_GB2312" w:hAnsi="仿宋_GB2312" w:cs="仿宋_GB2312" w:eastAsia="仿宋_GB2312"/>
        </w:rPr>
        <w:t>详见附件：供应商认为有必要说明的其他资料-包4.docx</w:t>
      </w:r>
    </w:p>
    <w:p>
      <w:pPr>
        <w:pStyle w:val="null3"/>
        <w:ind w:firstLine="960"/>
      </w:pPr>
      <w:r>
        <w:rPr>
          <w:rFonts w:ascii="仿宋_GB2312" w:hAnsi="仿宋_GB2312" w:cs="仿宋_GB2312" w:eastAsia="仿宋_GB2312"/>
        </w:rPr>
        <w:t>详见附件：保证金缴纳凭证-包4.docx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详见附件：报价一览表（首次）-包5.docx</w:t>
      </w:r>
    </w:p>
    <w:p>
      <w:pPr>
        <w:pStyle w:val="null3"/>
        <w:ind w:firstLine="960"/>
      </w:pPr>
      <w:r>
        <w:rPr>
          <w:rFonts w:ascii="仿宋_GB2312" w:hAnsi="仿宋_GB2312" w:cs="仿宋_GB2312" w:eastAsia="仿宋_GB2312"/>
        </w:rPr>
        <w:t>详见附件：分项报价表（第一次）-包5.docx</w:t>
      </w:r>
    </w:p>
    <w:p>
      <w:pPr>
        <w:pStyle w:val="null3"/>
        <w:ind w:firstLine="960"/>
      </w:pPr>
      <w:r>
        <w:rPr>
          <w:rFonts w:ascii="仿宋_GB2312" w:hAnsi="仿宋_GB2312" w:cs="仿宋_GB2312" w:eastAsia="仿宋_GB2312"/>
        </w:rPr>
        <w:t>详见附件：资格证明文件-包5.docx</w:t>
      </w:r>
    </w:p>
    <w:p>
      <w:pPr>
        <w:pStyle w:val="null3"/>
        <w:ind w:firstLine="960"/>
      </w:pPr>
      <w:r>
        <w:rPr>
          <w:rFonts w:ascii="仿宋_GB2312" w:hAnsi="仿宋_GB2312" w:cs="仿宋_GB2312" w:eastAsia="仿宋_GB2312"/>
        </w:rPr>
        <w:t>详见附件：商务偏离表-包5.docx</w:t>
      </w:r>
    </w:p>
    <w:p>
      <w:pPr>
        <w:pStyle w:val="null3"/>
        <w:ind w:firstLine="960"/>
      </w:pPr>
      <w:r>
        <w:rPr>
          <w:rFonts w:ascii="仿宋_GB2312" w:hAnsi="仿宋_GB2312" w:cs="仿宋_GB2312" w:eastAsia="仿宋_GB2312"/>
        </w:rPr>
        <w:t>详见附件：服务偏离表-包5.docx</w:t>
      </w:r>
    </w:p>
    <w:p>
      <w:pPr>
        <w:pStyle w:val="null3"/>
        <w:ind w:firstLine="960"/>
      </w:pPr>
      <w:r>
        <w:rPr>
          <w:rFonts w:ascii="仿宋_GB2312" w:hAnsi="仿宋_GB2312" w:cs="仿宋_GB2312" w:eastAsia="仿宋_GB2312"/>
        </w:rPr>
        <w:t>详见附件：1项目理解、重难点分析-包5.docx</w:t>
      </w:r>
    </w:p>
    <w:p>
      <w:pPr>
        <w:pStyle w:val="null3"/>
        <w:ind w:firstLine="960"/>
      </w:pPr>
      <w:r>
        <w:rPr>
          <w:rFonts w:ascii="仿宋_GB2312" w:hAnsi="仿宋_GB2312" w:cs="仿宋_GB2312" w:eastAsia="仿宋_GB2312"/>
        </w:rPr>
        <w:t>详见附件：2项目整体方案-包5.docx</w:t>
      </w:r>
    </w:p>
    <w:p>
      <w:pPr>
        <w:pStyle w:val="null3"/>
        <w:ind w:firstLine="960"/>
      </w:pPr>
      <w:r>
        <w:rPr>
          <w:rFonts w:ascii="仿宋_GB2312" w:hAnsi="仿宋_GB2312" w:cs="仿宋_GB2312" w:eastAsia="仿宋_GB2312"/>
        </w:rPr>
        <w:t>详见附件：3展会布展方案-包5.docx</w:t>
      </w:r>
    </w:p>
    <w:p>
      <w:pPr>
        <w:pStyle w:val="null3"/>
        <w:ind w:firstLine="960"/>
      </w:pPr>
      <w:r>
        <w:rPr>
          <w:rFonts w:ascii="仿宋_GB2312" w:hAnsi="仿宋_GB2312" w:cs="仿宋_GB2312" w:eastAsia="仿宋_GB2312"/>
        </w:rPr>
        <w:t>详见附件：4进度及质量保障措施-包5.docx</w:t>
      </w:r>
    </w:p>
    <w:p>
      <w:pPr>
        <w:pStyle w:val="null3"/>
        <w:ind w:firstLine="960"/>
      </w:pPr>
      <w:r>
        <w:rPr>
          <w:rFonts w:ascii="仿宋_GB2312" w:hAnsi="仿宋_GB2312" w:cs="仿宋_GB2312" w:eastAsia="仿宋_GB2312"/>
        </w:rPr>
        <w:t>详见附件：5服务保障方案-包5.docx</w:t>
      </w:r>
    </w:p>
    <w:p>
      <w:pPr>
        <w:pStyle w:val="null3"/>
        <w:ind w:firstLine="960"/>
      </w:pPr>
      <w:r>
        <w:rPr>
          <w:rFonts w:ascii="仿宋_GB2312" w:hAnsi="仿宋_GB2312" w:cs="仿宋_GB2312" w:eastAsia="仿宋_GB2312"/>
        </w:rPr>
        <w:t>详见附件：6会务资料准备-包5.docx</w:t>
      </w:r>
    </w:p>
    <w:p>
      <w:pPr>
        <w:pStyle w:val="null3"/>
        <w:ind w:firstLine="960"/>
      </w:pPr>
      <w:r>
        <w:rPr>
          <w:rFonts w:ascii="仿宋_GB2312" w:hAnsi="仿宋_GB2312" w:cs="仿宋_GB2312" w:eastAsia="仿宋_GB2312"/>
        </w:rPr>
        <w:t>详见附件：7项目团队人员配备方案-包5.docx</w:t>
      </w:r>
    </w:p>
    <w:p>
      <w:pPr>
        <w:pStyle w:val="null3"/>
        <w:ind w:firstLine="960"/>
      </w:pPr>
      <w:r>
        <w:rPr>
          <w:rFonts w:ascii="仿宋_GB2312" w:hAnsi="仿宋_GB2312" w:cs="仿宋_GB2312" w:eastAsia="仿宋_GB2312"/>
        </w:rPr>
        <w:t>详见附件：8类似业绩-包5.docx</w:t>
      </w:r>
    </w:p>
    <w:p>
      <w:pPr>
        <w:pStyle w:val="null3"/>
        <w:ind w:firstLine="960"/>
      </w:pPr>
      <w:r>
        <w:rPr>
          <w:rFonts w:ascii="仿宋_GB2312" w:hAnsi="仿宋_GB2312" w:cs="仿宋_GB2312" w:eastAsia="仿宋_GB2312"/>
        </w:rPr>
        <w:t>详见附件：供应商认为有必要说明的其他资料-包5.docx</w:t>
      </w:r>
    </w:p>
    <w:p>
      <w:pPr>
        <w:pStyle w:val="null3"/>
        <w:ind w:firstLine="960"/>
      </w:pPr>
      <w:r>
        <w:rPr>
          <w:rFonts w:ascii="仿宋_GB2312" w:hAnsi="仿宋_GB2312" w:cs="仿宋_GB2312" w:eastAsia="仿宋_GB2312"/>
        </w:rPr>
        <w:t>详见附件：保证金缴纳凭证-包5.docx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详见附件：报价一览表（首次）-包6.docx</w:t>
      </w:r>
    </w:p>
    <w:p>
      <w:pPr>
        <w:pStyle w:val="null3"/>
        <w:ind w:firstLine="960"/>
      </w:pPr>
      <w:r>
        <w:rPr>
          <w:rFonts w:ascii="仿宋_GB2312" w:hAnsi="仿宋_GB2312" w:cs="仿宋_GB2312" w:eastAsia="仿宋_GB2312"/>
        </w:rPr>
        <w:t>详见附件：分项报价表（第一次）-包6.docx</w:t>
      </w:r>
    </w:p>
    <w:p>
      <w:pPr>
        <w:pStyle w:val="null3"/>
        <w:ind w:firstLine="960"/>
      </w:pPr>
      <w:r>
        <w:rPr>
          <w:rFonts w:ascii="仿宋_GB2312" w:hAnsi="仿宋_GB2312" w:cs="仿宋_GB2312" w:eastAsia="仿宋_GB2312"/>
        </w:rPr>
        <w:t>详见附件：资格证明文件-包6.docx</w:t>
      </w:r>
    </w:p>
    <w:p>
      <w:pPr>
        <w:pStyle w:val="null3"/>
        <w:ind w:firstLine="960"/>
      </w:pPr>
      <w:r>
        <w:rPr>
          <w:rFonts w:ascii="仿宋_GB2312" w:hAnsi="仿宋_GB2312" w:cs="仿宋_GB2312" w:eastAsia="仿宋_GB2312"/>
        </w:rPr>
        <w:t>详见附件：商务偏离表-包6.docx</w:t>
      </w:r>
    </w:p>
    <w:p>
      <w:pPr>
        <w:pStyle w:val="null3"/>
        <w:ind w:firstLine="960"/>
      </w:pPr>
      <w:r>
        <w:rPr>
          <w:rFonts w:ascii="仿宋_GB2312" w:hAnsi="仿宋_GB2312" w:cs="仿宋_GB2312" w:eastAsia="仿宋_GB2312"/>
        </w:rPr>
        <w:t>详见附件：服务偏离表-包6.docx</w:t>
      </w:r>
    </w:p>
    <w:p>
      <w:pPr>
        <w:pStyle w:val="null3"/>
        <w:ind w:firstLine="960"/>
      </w:pPr>
      <w:r>
        <w:rPr>
          <w:rFonts w:ascii="仿宋_GB2312" w:hAnsi="仿宋_GB2312" w:cs="仿宋_GB2312" w:eastAsia="仿宋_GB2312"/>
        </w:rPr>
        <w:t>详见附件：1项目理解、重难点分析-包6.docx</w:t>
      </w:r>
    </w:p>
    <w:p>
      <w:pPr>
        <w:pStyle w:val="null3"/>
        <w:ind w:firstLine="960"/>
      </w:pPr>
      <w:r>
        <w:rPr>
          <w:rFonts w:ascii="仿宋_GB2312" w:hAnsi="仿宋_GB2312" w:cs="仿宋_GB2312" w:eastAsia="仿宋_GB2312"/>
        </w:rPr>
        <w:t>详见附件：2项目整体方案-包6.docx</w:t>
      </w:r>
    </w:p>
    <w:p>
      <w:pPr>
        <w:pStyle w:val="null3"/>
        <w:ind w:firstLine="960"/>
      </w:pPr>
      <w:r>
        <w:rPr>
          <w:rFonts w:ascii="仿宋_GB2312" w:hAnsi="仿宋_GB2312" w:cs="仿宋_GB2312" w:eastAsia="仿宋_GB2312"/>
        </w:rPr>
        <w:t>详见附件：3展会布展方案-包6.docx</w:t>
      </w:r>
    </w:p>
    <w:p>
      <w:pPr>
        <w:pStyle w:val="null3"/>
        <w:ind w:firstLine="960"/>
      </w:pPr>
      <w:r>
        <w:rPr>
          <w:rFonts w:ascii="仿宋_GB2312" w:hAnsi="仿宋_GB2312" w:cs="仿宋_GB2312" w:eastAsia="仿宋_GB2312"/>
        </w:rPr>
        <w:t>详见附件：4进度及质量保障措施-包6.docx</w:t>
      </w:r>
    </w:p>
    <w:p>
      <w:pPr>
        <w:pStyle w:val="null3"/>
        <w:ind w:firstLine="960"/>
      </w:pPr>
      <w:r>
        <w:rPr>
          <w:rFonts w:ascii="仿宋_GB2312" w:hAnsi="仿宋_GB2312" w:cs="仿宋_GB2312" w:eastAsia="仿宋_GB2312"/>
        </w:rPr>
        <w:t>详见附件：5服务保障方案-包6.docx</w:t>
      </w:r>
    </w:p>
    <w:p>
      <w:pPr>
        <w:pStyle w:val="null3"/>
        <w:ind w:firstLine="960"/>
      </w:pPr>
      <w:r>
        <w:rPr>
          <w:rFonts w:ascii="仿宋_GB2312" w:hAnsi="仿宋_GB2312" w:cs="仿宋_GB2312" w:eastAsia="仿宋_GB2312"/>
        </w:rPr>
        <w:t>详见附件：6会务资料准备-包6.docx</w:t>
      </w:r>
    </w:p>
    <w:p>
      <w:pPr>
        <w:pStyle w:val="null3"/>
        <w:ind w:firstLine="960"/>
      </w:pPr>
      <w:r>
        <w:rPr>
          <w:rFonts w:ascii="仿宋_GB2312" w:hAnsi="仿宋_GB2312" w:cs="仿宋_GB2312" w:eastAsia="仿宋_GB2312"/>
        </w:rPr>
        <w:t>详见附件：7项目团队人员配备方案-包6.docx</w:t>
      </w:r>
    </w:p>
    <w:p>
      <w:pPr>
        <w:pStyle w:val="null3"/>
        <w:ind w:firstLine="960"/>
      </w:pPr>
      <w:r>
        <w:rPr>
          <w:rFonts w:ascii="仿宋_GB2312" w:hAnsi="仿宋_GB2312" w:cs="仿宋_GB2312" w:eastAsia="仿宋_GB2312"/>
        </w:rPr>
        <w:t>详见附件：8类似业绩-包6.docx</w:t>
      </w:r>
    </w:p>
    <w:p>
      <w:pPr>
        <w:pStyle w:val="null3"/>
        <w:ind w:firstLine="960"/>
      </w:pPr>
      <w:r>
        <w:rPr>
          <w:rFonts w:ascii="仿宋_GB2312" w:hAnsi="仿宋_GB2312" w:cs="仿宋_GB2312" w:eastAsia="仿宋_GB2312"/>
        </w:rPr>
        <w:t>详见附件：供应商认为有必要说明的其他资料-包6.docx</w:t>
      </w:r>
    </w:p>
    <w:p>
      <w:pPr>
        <w:pStyle w:val="null3"/>
        <w:ind w:firstLine="960"/>
      </w:pPr>
      <w:r>
        <w:rPr>
          <w:rFonts w:ascii="仿宋_GB2312" w:hAnsi="仿宋_GB2312" w:cs="仿宋_GB2312" w:eastAsia="仿宋_GB2312"/>
        </w:rPr>
        <w:t>详见附件：保证金缴纳凭证-包6.docx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