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版本号：TZZB-Z3-2025170C20251212001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2025年度麻腮风联合减毒活疫苗采购项目(四次)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TZZB-Z3-2025170C</w:t>
      </w:r>
      <w:r>
        <w:br/>
      </w:r>
      <w:r>
        <w:br/>
      </w:r>
      <w:r>
        <w:br/>
      </w:r>
      <w:r>
        <w:br/>
      </w:r>
      <w:r>
        <w:br/>
      </w:r>
    </w:p>
    <w:p>
      <w:pPr>
        <w:pStyle w:val="null3"/>
        <w:jc w:val="center"/>
        <w:outlineLvl w:val="5"/>
      </w:pPr>
      <w:r>
        <w:rPr>
          <w:rFonts w:ascii="仿宋_GB2312" w:hAnsi="仿宋_GB2312" w:cs="仿宋_GB2312" w:eastAsia="仿宋_GB2312"/>
          <w:sz w:val="15"/>
          <w:b/>
        </w:rPr>
        <w:t>陕西省疾病预防控制中心</w:t>
      </w:r>
    </w:p>
    <w:p>
      <w:pPr>
        <w:pStyle w:val="null3"/>
        <w:jc w:val="center"/>
        <w:outlineLvl w:val="5"/>
      </w:pPr>
      <w:r>
        <w:rPr>
          <w:rFonts w:ascii="仿宋_GB2312" w:hAnsi="仿宋_GB2312" w:cs="仿宋_GB2312" w:eastAsia="仿宋_GB2312"/>
          <w:sz w:val="15"/>
          <w:b/>
        </w:rPr>
        <w:t>同正项目管理有限公司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2025年度麻腮风联合减毒活疫苗采购项目(四次)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TZZB-Z3-2025170C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2025年度麻腮风联合减毒活疫苗采购项目(四次)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2025年度麻腮风联合减毒活疫苗采购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协商全过程：供应商应授权合法的人员参加协商全过程：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信用信息查询：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2024年度经审计完整有效的财务报告(成立时间至响应文件递交截止时间不足一年的可提供成立后任意时段的资产负债表)，审计报告应当经过注册会计师行业统一监管平台备案赋码。或其响应文件递交截止时间前三个月内基本开户银行出具的资信证明，或信用担保机构出具的响应担保函(以上三种形式的资料提供任何一 种即可)</w:t>
      </w:r>
    </w:p>
    <w:p>
      <w:pPr>
        <w:pStyle w:val="null3"/>
      </w:pPr>
      <w:r>
        <w:rPr>
          <w:rFonts w:ascii="仿宋_GB2312" w:hAnsi="仿宋_GB2312" w:cs="仿宋_GB2312" w:eastAsia="仿宋_GB2312"/>
        </w:rPr>
        <w:t>5、社会保障资金缴纳证明：提供自2024年12月1日以来已缴存的任意1个月的社会保障资金缴存单据或社保机构开具的社会保险参保缴费情况证明；依法不需要缴纳社会保障资金的供应商应提供相关证明文件。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12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特殊资格条件：①供应商若为所投产品制造商的，提供有效期内的药品生产许可证；投供应商若为所投产品经销商的，提供有效期内的药品经营许可证及所投产品制造商的，药品生产许可证（提供有效期内的）；②所投疫苗的药品批准证书（批准文号）及所投疫苗的批签发文件（批签发文件为2023或2024年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采购包1：3,422,400.00元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采购包1：3,422,400.00元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号）及国家发展改革委《关于降低部分建设项目收费标准规范收费行为等有关问题的通知》（发改价格〔2011〕534号）规定收取。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2025年度麻腮风联合减毒活疫苗采购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3,422,400.00</w:t>
      </w:r>
    </w:p>
    <w:p>
      <w:pPr>
        <w:pStyle w:val="null3"/>
      </w:pPr>
      <w:r>
        <w:rPr>
          <w:rFonts w:ascii="仿宋_GB2312" w:hAnsi="仿宋_GB2312" w:cs="仿宋_GB2312" w:eastAsia="仿宋_GB2312"/>
        </w:rPr>
        <w:t>采购包最高限价（元）: 3,422,400.00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2025年度麻腮风联合减毒活疫苗采购</w:t>
            </w:r>
          </w:p>
        </w:tc>
        <w:tc>
          <w:tcPr>
            <w:tcW w:type="dxa" w:w="831"/>
          </w:tcPr>
          <w:p>
            <w:pPr>
              <w:pStyle w:val="null3"/>
              <w:jc w:val="right"/>
            </w:pPr>
            <w:r>
              <w:rPr>
                <w:rFonts w:ascii="仿宋_GB2312" w:hAnsi="仿宋_GB2312" w:cs="仿宋_GB2312" w:eastAsia="仿宋_GB2312"/>
              </w:rPr>
              <w:t>138,000.00</w:t>
            </w:r>
          </w:p>
        </w:tc>
        <w:tc>
          <w:tcPr>
            <w:tcW w:type="dxa" w:w="831"/>
          </w:tcPr>
          <w:p>
            <w:pPr>
              <w:pStyle w:val="null3"/>
              <w:jc w:val="right"/>
            </w:pPr>
            <w:r>
              <w:rPr>
                <w:rFonts w:ascii="仿宋_GB2312" w:hAnsi="仿宋_GB2312" w:cs="仿宋_GB2312" w:eastAsia="仿宋_GB2312"/>
              </w:rPr>
              <w:t>3,422,400.00</w:t>
            </w:r>
          </w:p>
        </w:tc>
        <w:tc>
          <w:tcPr>
            <w:tcW w:type="dxa" w:w="831"/>
          </w:tcPr>
          <w:p>
            <w:pPr>
              <w:pStyle w:val="null3"/>
            </w:pPr>
            <w:r>
              <w:rPr>
                <w:rFonts w:ascii="仿宋_GB2312" w:hAnsi="仿宋_GB2312" w:cs="仿宋_GB2312" w:eastAsia="仿宋_GB2312"/>
              </w:rPr>
              <w:t>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标的名称：2025年度麻腮风联合减毒活疫苗采购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一、技术要求</w:t>
            </w:r>
          </w:p>
          <w:p>
            <w:pPr>
              <w:pStyle w:val="null3"/>
            </w:pPr>
            <w:r>
              <w:rPr>
                <w:rFonts w:ascii="仿宋_GB2312" w:hAnsi="仿宋_GB2312" w:cs="仿宋_GB2312" w:eastAsia="仿宋_GB2312"/>
                <w:sz w:val="24"/>
              </w:rPr>
              <w:t>1.有效成分：麻疹、风疹、腮腺炎减毒活病毒。</w:t>
            </w:r>
          </w:p>
          <w:p>
            <w:pPr>
              <w:pStyle w:val="null3"/>
            </w:pPr>
            <w:r>
              <w:rPr>
                <w:rFonts w:ascii="仿宋_GB2312" w:hAnsi="仿宋_GB2312" w:cs="仿宋_GB2312" w:eastAsia="仿宋_GB2312"/>
                <w:sz w:val="24"/>
              </w:rPr>
              <w:t>2.接种对象：8月龄以上的麻疹、腮腺炎、风疹易感者。</w:t>
            </w:r>
          </w:p>
          <w:p>
            <w:pPr>
              <w:pStyle w:val="null3"/>
            </w:pPr>
            <w:r>
              <w:rPr>
                <w:rFonts w:ascii="仿宋_GB2312" w:hAnsi="仿宋_GB2312" w:cs="仿宋_GB2312" w:eastAsia="仿宋_GB2312"/>
                <w:sz w:val="24"/>
              </w:rPr>
              <w:t>3.作用与用途：接种本疫苗后，可刺激机体产生抗麻疹病毒、腮腺炎病毒、风疹病毒的免疫力。用于预防麻疹、风疹、腮腺炎。</w:t>
            </w:r>
          </w:p>
          <w:p>
            <w:pPr>
              <w:pStyle w:val="null3"/>
            </w:pPr>
            <w:r>
              <w:rPr>
                <w:rFonts w:ascii="仿宋_GB2312" w:hAnsi="仿宋_GB2312" w:cs="仿宋_GB2312" w:eastAsia="仿宋_GB2312"/>
                <w:sz w:val="24"/>
              </w:rPr>
              <w:t>4.规格：复溶后每瓶0.5ml，每1次人用剂量为0.5ml，含麻疹和风疹活病毒均应不低于3.0lgCCID50，含腮腺炎活病毒应不低于3.7lgCCID50。</w:t>
            </w:r>
          </w:p>
          <w:p>
            <w:pPr>
              <w:pStyle w:val="null3"/>
            </w:pPr>
            <w:r>
              <w:rPr>
                <w:rFonts w:ascii="仿宋_GB2312" w:hAnsi="仿宋_GB2312" w:cs="仿宋_GB2312" w:eastAsia="仿宋_GB2312"/>
                <w:sz w:val="24"/>
              </w:rPr>
              <w:t>5.预采购数量：13.8万支</w:t>
            </w:r>
          </w:p>
          <w:p>
            <w:pPr>
              <w:pStyle w:val="null3"/>
            </w:pPr>
            <w:r>
              <w:rPr>
                <w:rFonts w:ascii="仿宋_GB2312" w:hAnsi="仿宋_GB2312" w:cs="仿宋_GB2312" w:eastAsia="仿宋_GB2312"/>
                <w:sz w:val="24"/>
                <w:color w:val="000000"/>
              </w:rPr>
              <w:t>6.预算价格：每支24.8元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w:t>
            </w:r>
            <w:r>
              <w:rPr>
                <w:rFonts w:ascii="仿宋_GB2312" w:hAnsi="仿宋_GB2312" w:cs="仿宋_GB2312" w:eastAsia="仿宋_GB2312"/>
                <w:sz w:val="24"/>
                <w:b/>
              </w:rPr>
              <w:t>服务要求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投标人所投产品须符合《药品生产质量管理规范》，并通过药品生产质量管理规范符合性检查。</w:t>
            </w:r>
          </w:p>
          <w:p>
            <w:pPr>
              <w:pStyle w:val="null3"/>
            </w:pPr>
            <w:r>
              <w:rPr>
                <w:rFonts w:ascii="仿宋_GB2312" w:hAnsi="仿宋_GB2312" w:cs="仿宋_GB2312" w:eastAsia="仿宋_GB2312"/>
                <w:sz w:val="24"/>
              </w:rPr>
              <w:t>2.运输全程需在2-8度冷链温度要求下进行</w:t>
            </w:r>
            <w:r>
              <w:rPr>
                <w:rFonts w:ascii="仿宋_GB2312" w:hAnsi="仿宋_GB2312" w:cs="仿宋_GB2312" w:eastAsia="仿宋_GB2312"/>
                <w:sz w:val="24"/>
              </w:rPr>
              <w:t>。</w:t>
            </w:r>
          </w:p>
          <w:p>
            <w:pPr>
              <w:pStyle w:val="null3"/>
            </w:pPr>
            <w:r>
              <w:rPr>
                <w:rFonts w:ascii="仿宋_GB2312" w:hAnsi="仿宋_GB2312" w:cs="仿宋_GB2312" w:eastAsia="仿宋_GB2312"/>
                <w:sz w:val="24"/>
              </w:rPr>
              <w:t>3.</w:t>
            </w:r>
            <w:r>
              <w:rPr>
                <w:rFonts w:ascii="仿宋_GB2312" w:hAnsi="仿宋_GB2312" w:cs="仿宋_GB2312" w:eastAsia="仿宋_GB2312"/>
                <w:sz w:val="24"/>
              </w:rPr>
              <w:t>根据数量、时间要求配送到省疾控中心指定地点。</w:t>
            </w:r>
          </w:p>
          <w:p>
            <w:pPr>
              <w:pStyle w:val="null3"/>
            </w:pPr>
            <w:r>
              <w:rPr>
                <w:rFonts w:ascii="仿宋_GB2312" w:hAnsi="仿宋_GB2312" w:cs="仿宋_GB2312" w:eastAsia="仿宋_GB2312"/>
                <w:sz w:val="24"/>
              </w:rPr>
              <w:t>4.投标人须提供所投产品的由国家食品药品监督管理局出具的生物制品批签发合格证，并提供相关证明文件(随货附送)。</w:t>
            </w:r>
          </w:p>
          <w:p>
            <w:pPr>
              <w:pStyle w:val="null3"/>
            </w:pPr>
            <w:r>
              <w:rPr>
                <w:rFonts w:ascii="仿宋_GB2312" w:hAnsi="仿宋_GB2312" w:cs="仿宋_GB2312" w:eastAsia="仿宋_GB2312"/>
                <w:sz w:val="24"/>
              </w:rPr>
              <w:t>5.</w:t>
            </w:r>
            <w:r>
              <w:rPr>
                <w:rFonts w:ascii="仿宋_GB2312" w:hAnsi="仿宋_GB2312" w:cs="仿宋_GB2312" w:eastAsia="仿宋_GB2312"/>
                <w:sz w:val="24"/>
              </w:rPr>
              <w:t>投标人交货时须提供疫苗储存、运输全过程的温度监测记录和所配送疫苗的全部追溯码信息。</w:t>
            </w:r>
          </w:p>
          <w:p>
            <w:pPr>
              <w:pStyle w:val="null3"/>
            </w:pPr>
            <w:r>
              <w:rPr>
                <w:rFonts w:ascii="仿宋_GB2312" w:hAnsi="仿宋_GB2312" w:cs="仿宋_GB2312" w:eastAsia="仿宋_GB2312"/>
                <w:sz w:val="24"/>
              </w:rPr>
              <w:t>6投标人提供的产品须在产品有效期内，且距离失效期不少于</w:t>
            </w:r>
            <w:r>
              <w:rPr>
                <w:rFonts w:ascii="仿宋_GB2312" w:hAnsi="仿宋_GB2312" w:cs="仿宋_GB2312" w:eastAsia="仿宋_GB2312"/>
                <w:sz w:val="24"/>
              </w:rPr>
              <w:t>10个月</w:t>
            </w:r>
            <w:r>
              <w:rPr>
                <w:rFonts w:ascii="仿宋_GB2312" w:hAnsi="仿宋_GB2312" w:cs="仿宋_GB2312" w:eastAsia="仿宋_GB2312"/>
                <w:sz w:val="24"/>
              </w:rPr>
              <w:t>。</w:t>
            </w:r>
          </w:p>
          <w:p>
            <w:pPr>
              <w:pStyle w:val="null3"/>
            </w:pPr>
            <w:r>
              <w:rPr>
                <w:rFonts w:ascii="仿宋_GB2312" w:hAnsi="仿宋_GB2312" w:cs="仿宋_GB2312" w:eastAsia="仿宋_GB2312"/>
                <w:sz w:val="24"/>
              </w:rPr>
              <w:t>7.所投产品出现有质量问题(含破损)时，投标人应及时进行退(换)货。</w:t>
            </w:r>
          </w:p>
          <w:p>
            <w:pPr>
              <w:pStyle w:val="null3"/>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对因疫苗质量引起的不良反应投标人应负责相应的经济赔偿。</w:t>
            </w:r>
          </w:p>
          <w:p>
            <w:pPr>
              <w:pStyle w:val="null3"/>
            </w:pPr>
            <w:r>
              <w:rPr>
                <w:rFonts w:ascii="仿宋_GB2312" w:hAnsi="仿宋_GB2312" w:cs="仿宋_GB2312" w:eastAsia="仿宋_GB2312"/>
                <w:sz w:val="24"/>
              </w:rPr>
              <w:t>9.</w:t>
            </w:r>
            <w:r>
              <w:rPr>
                <w:rFonts w:ascii="仿宋_GB2312" w:hAnsi="仿宋_GB2312" w:cs="仿宋_GB2312" w:eastAsia="仿宋_GB2312"/>
                <w:sz w:val="24"/>
              </w:rPr>
              <w:t>投标人须提供所投产品生产厂家服务机构情况</w:t>
            </w:r>
            <w:r>
              <w:rPr>
                <w:rFonts w:ascii="仿宋_GB2312" w:hAnsi="仿宋_GB2312" w:cs="仿宋_GB2312" w:eastAsia="仿宋_GB2312"/>
                <w:sz w:val="24"/>
              </w:rPr>
              <w:t>,包括地址、联系方式、技术人员等。</w:t>
            </w:r>
          </w:p>
          <w:p>
            <w:pPr>
              <w:pStyle w:val="null3"/>
            </w:pPr>
            <w:r>
              <w:rPr>
                <w:rFonts w:ascii="仿宋_GB2312" w:hAnsi="仿宋_GB2312" w:cs="仿宋_GB2312" w:eastAsia="仿宋_GB2312"/>
                <w:sz w:val="24"/>
              </w:rPr>
              <w:t>10.</w:t>
            </w:r>
            <w:r>
              <w:rPr>
                <w:rFonts w:ascii="仿宋_GB2312" w:hAnsi="仿宋_GB2312" w:cs="仿宋_GB2312" w:eastAsia="仿宋_GB2312"/>
                <w:sz w:val="24"/>
              </w:rPr>
              <w:t>在合同执行期间如遇国家或厂家降价，按新价格执行，厂家涨价按中标价执行。投标人须承诺合同执行期间价格变动主动告知招标人，投标文件中提供承诺书加盖公章。</w:t>
            </w:r>
          </w:p>
          <w:p>
            <w:pPr>
              <w:pStyle w:val="null3"/>
            </w:pPr>
            <w:r>
              <w:rPr>
                <w:rFonts w:ascii="仿宋_GB2312" w:hAnsi="仿宋_GB2312" w:cs="仿宋_GB2312" w:eastAsia="仿宋_GB2312"/>
                <w:sz w:val="24"/>
                <w:color w:val="000000"/>
              </w:rPr>
              <w:t>11.因接种本疫苗给受种者造成损害,经调查诊断或鉴定属于预防接种异常反应或者不能排除的，需要对受种者予以补偿的，补偿费用由相关的疫苗生产企业承担。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1.服务期：合同签订之日起至所有疫苗供货完毕之日止； 2.交货期：接采购人通知后 72 小时内送至指定位置；</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根据数量、时间要求配送到省疾控中心指定地点；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验收合格后，达到付款条件起30日内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中标人向招标人提出验收申请，按照采购合同的约定和现行国家标准、行业标准以及企业标准对每一项技术、服务、安全标准的履约情况进行确认。招标人有权根据需要设置出厂检验、到货检验、配套服务检验等多重验收环节。必要时，招标人有权邀请参加本项目的其他投标人或者第三方机构参与验收。参与验收的投标人或者第三方机构的 意见作为验收书的参考资料一并存档。验收结束后，应当出具验收书，列明各项标准的验收 况及项目总体评价，由验收双方共同签署。 特别注意：交货时要求投标人就所投产品提供全中文的操作手册及产品说明书，同时招标人有权要求投标人对产品的合法供货渠道进行说明，经核实如投标人提供非法渠道的商品，视为欺诈，为维护招标人合法权益，投标人要承担商品价值双倍的赔偿；同时，依据现 行的国家法律法规追究其他责任，并连带追究所投产品制造商的责任。货物的包装和发运必须符合货物特性要求。为了保证货物在长途运输和装卸过程中的安全，货物包装应符合国家或行业标准规定。由于包装不善导致货物锈蚀、失缺或损坏，由供货商承担一切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疫苗有效期：到达指定收货单位算起不得少于10个月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因执行合同所发生的或与合同有关的一切争议,双方应通过友好协商解决。如果协商开始后六十（60）天还不能解决，可向甲方所在地有管辖权的人民法院提起诉讼。</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中标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 西安市雁塔区科技二路71号竹园·天寰国际1107室。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供应商应授权合法的人员参加协商全过程</w:t>
            </w:r>
          </w:p>
        </w:tc>
        <w:tc>
          <w:tcPr>
            <w:tcW w:type="dxa" w:w="3322"/>
          </w:tcPr>
          <w:p>
            <w:pPr>
              <w:pStyle w:val="null3"/>
            </w:pPr>
            <w:r>
              <w:rPr>
                <w:rFonts w:ascii="仿宋_GB2312" w:hAnsi="仿宋_GB2312" w:cs="仿宋_GB2312" w:eastAsia="仿宋_GB2312"/>
              </w:rPr>
              <w:t>供应商应授权合法的人员参加协商全过程：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信用信息查询：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供应商须为具有独立承担民事责任能力的法人、其他组织或自然人：出具合法有效的营业执照或其他组织经营的合法凭证，自然人参与的提供其身份证明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完整有效的财务报告(成立时间至响应文件递交截止时间不足一年的可提供成立后任意时段的资产负债表)，审计报告应当经过注册会计师行业统一监管平台备案赋码。或其响应文件递交截止时间前三个月内基本开户银行出具的资信证明，或信用担保机构出具的响应担保函(以上三种形式的资料提供任何一 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提供自2024年12月1日以来已缴存的任意1个月的社会保障资金缴存单据或社保机构开具的社会保险参保缴费情况证明；依法不需要缴纳社会保障资金的供应商应提供相关证明文件。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特殊资格条件</w:t>
            </w:r>
          </w:p>
        </w:tc>
        <w:tc>
          <w:tcPr>
            <w:tcW w:type="dxa" w:w="3322"/>
          </w:tcPr>
          <w:p>
            <w:pPr>
              <w:pStyle w:val="null3"/>
            </w:pPr>
            <w:r>
              <w:rPr>
                <w:rFonts w:ascii="仿宋_GB2312" w:hAnsi="仿宋_GB2312" w:cs="仿宋_GB2312" w:eastAsia="仿宋_GB2312"/>
              </w:rPr>
              <w:t>①供应商若为所投产品制造商的，提供有效期内的药品生产许可证；投供应商若为所投产品经销商的，提供有效期内的药品经营许可证及所投产品制造商的，药品生产许可证（提供有效期内的）；②所投疫苗的药品批准证书（批准文号）及所投疫苗的批签发文件（批签发文件为2023或2024年度）；</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与所投项目名称、项目编号一致，且符合单一 来源采购文件签署盖章要求。</w:t>
            </w:r>
          </w:p>
        </w:tc>
        <w:tc>
          <w:tcPr>
            <w:tcW w:type="dxa" w:w="1661"/>
          </w:tcPr>
          <w:p>
            <w:pPr>
              <w:pStyle w:val="null3"/>
            </w:pPr>
            <w:r>
              <w:rPr>
                <w:rFonts w:ascii="仿宋_GB2312" w:hAnsi="仿宋_GB2312" w:cs="仿宋_GB2312" w:eastAsia="仿宋_GB2312"/>
              </w:rPr>
              <w:t>业绩.docx 商务要求偏离表.docx 服务要求应答表.docx 中小企业声明函 技术参数与性能指标偏离表.docx 报价表 其他材料及供应商认为有必要说明、阐述的事项.docx 响应文件封面 一般资格要求及特殊资格要求.docx 供应商廉洁自律承诺书.docx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2.报价货币符合单一来源采 购文件要求； 3.未超出采购预算或单一来源采 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交货期、服务期、疫苗有效期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商务要求偏离表.docx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