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textAlignment w:val="auto"/>
        <w:outlineLvl w:val="0"/>
        <w:rPr>
          <w:rFonts w:hint="eastAsia"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lang w:val="en-US" w:eastAsia="zh-CN"/>
        </w:rPr>
        <w:t>一般</w:t>
      </w:r>
      <w:r>
        <w:rPr>
          <w:rFonts w:hint="eastAsia" w:asciiTheme="minorEastAsia" w:hAnsiTheme="minorEastAsia" w:eastAsiaTheme="minorEastAsia" w:cstheme="minorEastAsia"/>
          <w:b/>
          <w:bCs/>
          <w:sz w:val="36"/>
          <w:szCs w:val="36"/>
        </w:rPr>
        <w:t>资格</w:t>
      </w:r>
      <w:r>
        <w:rPr>
          <w:rFonts w:hint="eastAsia" w:asciiTheme="minorEastAsia" w:hAnsiTheme="minorEastAsia" w:eastAsiaTheme="minorEastAsia" w:cstheme="minorEastAsia"/>
          <w:b/>
          <w:bCs/>
          <w:sz w:val="36"/>
          <w:szCs w:val="36"/>
          <w:lang w:val="en-US" w:eastAsia="zh-CN"/>
        </w:rPr>
        <w:t>要求</w:t>
      </w:r>
      <w:r>
        <w:rPr>
          <w:rFonts w:hint="eastAsia" w:asciiTheme="minorEastAsia" w:hAnsiTheme="minorEastAsia" w:eastAsiaTheme="minorEastAsia" w:cstheme="minorEastAsia"/>
          <w:b/>
          <w:bCs/>
          <w:sz w:val="36"/>
          <w:szCs w:val="36"/>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Theme="minorEastAsia" w:hAnsiTheme="minorEastAsia" w:eastAsiaTheme="minorEastAsia" w:cstheme="minorEastAsia"/>
          <w:b w:val="0"/>
          <w:bCs w:val="0"/>
          <w:sz w:val="36"/>
          <w:szCs w:val="36"/>
          <w:lang w:val="en-US" w:eastAsia="zh-CN"/>
        </w:rPr>
      </w:pPr>
    </w:p>
    <w:p>
      <w:pPr>
        <w:pStyle w:val="15"/>
        <w:ind w:firstLine="480" w:firstLineChars="200"/>
        <w:jc w:val="left"/>
        <w:rPr>
          <w:rFonts w:hint="eastAsia" w:ascii="宋体" w:hAnsi="宋体" w:eastAsia="宋体" w:cs="Times New Roman"/>
          <w:szCs w:val="24"/>
          <w:lang w:val="en-US" w:eastAsia="zh-CN"/>
        </w:rPr>
      </w:pPr>
      <w:r>
        <w:rPr>
          <w:rFonts w:hint="eastAsia" w:asciiTheme="minorEastAsia" w:hAnsiTheme="minorEastAsia" w:eastAsiaTheme="minorEastAsia" w:cstheme="minorEastAsia"/>
          <w:sz w:val="24"/>
          <w:szCs w:val="24"/>
        </w:rPr>
        <w:t>1、</w:t>
      </w:r>
      <w:r>
        <w:rPr>
          <w:rFonts w:hint="eastAsia" w:ascii="宋体" w:hAnsi="宋体" w:eastAsia="宋体" w:cs="Times New Roman"/>
          <w:szCs w:val="24"/>
          <w:lang w:val="en-US" w:eastAsia="zh-CN"/>
        </w:rPr>
        <w:t>供应商应授权合法的人员参加协商全过程：供应商应授权合法的人员参加协商全过程：供应商应授权合法的人员参加协商全过程，法定代表人授权代表参加协商的，须出具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供应商信用信息查询：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3、供应商须为具有独立承担民事责任能力的法人、其他组织或自然人：出具合法有效的营业执照或其他组织经营的合法凭证，自然人参与的提供其身份证明</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4、财务状况报告：提供2024年度经审计完整有效的财务报告(成立时间至</w:t>
      </w:r>
      <w:r>
        <w:rPr>
          <w:rFonts w:hint="eastAsia" w:asciiTheme="minorEastAsia" w:hAnsiTheme="minorEastAsia" w:cstheme="minorEastAsia"/>
          <w:sz w:val="24"/>
          <w:szCs w:val="24"/>
          <w:lang w:eastAsia="zh-CN"/>
        </w:rPr>
        <w:t>响应</w:t>
      </w:r>
      <w:r>
        <w:rPr>
          <w:rFonts w:hint="eastAsia" w:asciiTheme="minorEastAsia" w:hAnsiTheme="minorEastAsia" w:eastAsiaTheme="minorEastAsia" w:cstheme="minorEastAsia"/>
          <w:sz w:val="24"/>
          <w:szCs w:val="24"/>
        </w:rPr>
        <w:t>文件递交截止时间不足一年的可提供成立后任意时段的资产负债表)，审计报告应当经过注册会计师行业统一监管平台备案赋码</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或其</w:t>
      </w:r>
      <w:r>
        <w:rPr>
          <w:rFonts w:hint="eastAsia" w:asciiTheme="minorEastAsia" w:hAnsiTheme="minorEastAsia" w:cstheme="minorEastAsia"/>
          <w:sz w:val="24"/>
          <w:szCs w:val="24"/>
          <w:lang w:eastAsia="zh-CN"/>
        </w:rPr>
        <w:t>响应</w:t>
      </w:r>
      <w:r>
        <w:rPr>
          <w:rFonts w:hint="eastAsia" w:asciiTheme="minorEastAsia" w:hAnsiTheme="minorEastAsia" w:eastAsiaTheme="minorEastAsia" w:cstheme="minorEastAsia"/>
          <w:sz w:val="24"/>
          <w:szCs w:val="24"/>
        </w:rPr>
        <w:t>文件递交截止时间前三个月内基本开户银行出具的资信证明，或信用担保机构出具的</w:t>
      </w:r>
      <w:r>
        <w:rPr>
          <w:rFonts w:hint="eastAsia" w:asciiTheme="minorEastAsia" w:hAnsiTheme="minorEastAsia" w:cstheme="minorEastAsia"/>
          <w:sz w:val="24"/>
          <w:szCs w:val="24"/>
          <w:lang w:eastAsia="zh-CN"/>
        </w:rPr>
        <w:t>响应</w:t>
      </w:r>
      <w:r>
        <w:rPr>
          <w:rFonts w:hint="eastAsia" w:asciiTheme="minorEastAsia" w:hAnsiTheme="minorEastAsia" w:eastAsiaTheme="minorEastAsia" w:cstheme="minorEastAsia"/>
          <w:sz w:val="24"/>
          <w:szCs w:val="24"/>
        </w:rPr>
        <w:t>担保函(以上三种形式的资料提供任何一 种即可)</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5、社会保障资金缴纳证明：提供自2024年</w:t>
      </w:r>
      <w:r>
        <w:rPr>
          <w:rFonts w:hint="eastAsia" w:asciiTheme="minorEastAsia" w:hAnsiTheme="minorEastAsia" w:cstheme="minorEastAsia"/>
          <w:sz w:val="24"/>
          <w:szCs w:val="24"/>
          <w:lang w:val="en-US" w:eastAsia="zh-CN"/>
        </w:rPr>
        <w:t>12</w:t>
      </w:r>
      <w:r>
        <w:rPr>
          <w:rFonts w:hint="eastAsia" w:asciiTheme="minorEastAsia" w:hAnsiTheme="minorEastAsia" w:eastAsiaTheme="minorEastAsia" w:cstheme="minorEastAsia"/>
          <w:sz w:val="24"/>
          <w:szCs w:val="24"/>
        </w:rPr>
        <w:t>月1日以来已缴存的任意1个月的社会保障资金缴存单据或社保机构开具的社会保险参保缴费情况证明；依法不需要缴纳社会保障资金的供应商应提供相关证明文件。</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6、税收缴纳证明：提供自2024年</w:t>
      </w:r>
      <w:r>
        <w:rPr>
          <w:rFonts w:hint="eastAsia" w:asciiTheme="minorEastAsia" w:hAnsiTheme="minorEastAsia" w:cstheme="minorEastAsia"/>
          <w:sz w:val="24"/>
          <w:szCs w:val="24"/>
          <w:lang w:val="en-US" w:eastAsia="zh-CN"/>
        </w:rPr>
        <w:t>12</w:t>
      </w:r>
      <w:r>
        <w:rPr>
          <w:rFonts w:hint="eastAsia" w:asciiTheme="minorEastAsia" w:hAnsiTheme="minorEastAsia" w:eastAsiaTheme="minorEastAsia" w:cstheme="minorEastAsia"/>
          <w:sz w:val="24"/>
          <w:szCs w:val="24"/>
        </w:rPr>
        <w:t>月1日以来已缴纳的任意1个月的依法缴纳税收的相关凭据(时间以税款所属日期为准)，凭据应有税务机关或代收机关的公章或业务专用章；依法免税或无须缴纳税收的供应商，应提供相应证明文件。</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7、供应商应具备《中华人民共和国政府采购法》第二十二条规定的条件：提供具有履行合同所必需的设备和专业技术能力的承诺函</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8、供应商应具备《中华人民共和国政府采购法》第二十二条规定的条件：提供参加政府采购活动前3年内在经营活动中没有重大违法记录的书面声明</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9、①</w:t>
      </w:r>
      <w:r>
        <w:rPr>
          <w:rFonts w:hint="eastAsia" w:asciiTheme="minorEastAsia" w:hAnsiTheme="minorEastAsia" w:cstheme="minorEastAsia"/>
          <w:sz w:val="24"/>
          <w:szCs w:val="24"/>
          <w:lang w:eastAsia="zh-CN"/>
        </w:rPr>
        <w:t>供应商</w:t>
      </w:r>
      <w:r>
        <w:rPr>
          <w:rFonts w:hint="eastAsia" w:asciiTheme="minorEastAsia" w:hAnsiTheme="minorEastAsia" w:eastAsiaTheme="minorEastAsia" w:cstheme="minorEastAsia"/>
          <w:sz w:val="24"/>
          <w:szCs w:val="24"/>
        </w:rPr>
        <w:t>若为所投产品制造商的，提供有效期内的药品生产许可证；投</w:t>
      </w:r>
      <w:r>
        <w:rPr>
          <w:rFonts w:hint="eastAsia" w:asciiTheme="minorEastAsia" w:hAnsiTheme="minorEastAsia" w:cstheme="minorEastAsia"/>
          <w:sz w:val="24"/>
          <w:szCs w:val="24"/>
          <w:lang w:eastAsia="zh-CN"/>
        </w:rPr>
        <w:t>供应商</w:t>
      </w:r>
      <w:r>
        <w:rPr>
          <w:rFonts w:hint="eastAsia" w:asciiTheme="minorEastAsia" w:hAnsiTheme="minorEastAsia" w:eastAsiaTheme="minorEastAsia" w:cstheme="minorEastAsia"/>
          <w:sz w:val="24"/>
          <w:szCs w:val="24"/>
        </w:rPr>
        <w:t>若为所投产品经销商的，提供有效期内的药品经营许可证及所投产品制造商的，药品生产许可证（提供有效期内的）；②所投疫苗的药品批准证书（批准文号）及所投疫苗的批签发文件（批签发文件为2023或2024年度）；</w:t>
      </w:r>
    </w:p>
    <w:p>
      <w:pPr>
        <w:keepLines w:val="0"/>
        <w:pageBreakBefore w:val="0"/>
        <w:numPr>
          <w:ilvl w:val="0"/>
          <w:numId w:val="0"/>
        </w:numPr>
        <w:kinsoku/>
        <w:wordWrap/>
        <w:overflowPunct/>
        <w:topLinePunct w:val="0"/>
        <w:bidi w:val="0"/>
        <w:adjustRightInd w:val="0"/>
        <w:snapToGrid w:val="0"/>
        <w:spacing w:line="500" w:lineRule="exact"/>
        <w:ind w:firstLine="420"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rPr>
        <w:br w:type="page"/>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格式1：</w:t>
      </w:r>
    </w:p>
    <w:p>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pPr>
        <w:keepNext w:val="0"/>
        <w:keepLines w:val="0"/>
        <w:pageBreakBefore w:val="0"/>
        <w:widowControl w:val="0"/>
        <w:kinsoku/>
        <w:wordWrap/>
        <w:overflowPunct/>
        <w:topLinePunct w:val="0"/>
        <w:bidi w:val="0"/>
        <w:adjustRightInd w:val="0"/>
        <w:snapToGrid w:val="0"/>
        <w:spacing w:line="500" w:lineRule="exact"/>
        <w:ind w:firstLine="482" w:firstLineChars="2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rPr>
        <w:t>法定代表人（单位负责人）身份证明</w:t>
      </w:r>
    </w:p>
    <w:p>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bookmarkStart w:id="15" w:name="_GoBack"/>
      <w:bookmarkEnd w:id="15"/>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pPr>
              <w:pStyle w:val="3"/>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cstheme="minorEastAsia"/>
          <w:color w:val="auto"/>
          <w:sz w:val="24"/>
          <w:szCs w:val="24"/>
          <w:highlight w:val="none"/>
          <w:lang w:val="en-US" w:eastAsia="zh-CN"/>
        </w:rPr>
        <w:t>协商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bookmarkStart w:id="0" w:name="_Toc14808"/>
      <w:r>
        <w:rPr>
          <w:rFonts w:hint="eastAsia" w:asciiTheme="minorEastAsia" w:hAnsiTheme="minorEastAsia" w:eastAsiaTheme="minorEastAsia" w:cstheme="minorEastAsia"/>
          <w:b/>
          <w:bCs/>
          <w:color w:val="auto"/>
          <w:sz w:val="24"/>
          <w:szCs w:val="24"/>
          <w:highlight w:val="none"/>
          <w:lang w:val="en-US" w:eastAsia="zh-CN"/>
        </w:rPr>
        <w:br w:type="page"/>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格式2：</w:t>
      </w:r>
    </w:p>
    <w:p>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rPr>
        <w:t>法定代表人授权委托书</w:t>
      </w:r>
      <w:bookmarkEnd w:id="0"/>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u w:val="single"/>
          <w:lang w:val="en-US" w:eastAsia="zh-CN"/>
        </w:rPr>
        <w:t>项目</w:t>
      </w:r>
      <w:r>
        <w:rPr>
          <w:rFonts w:hint="eastAsia" w:asciiTheme="minorEastAsia" w:hAnsi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w:t>
      </w:r>
      <w:r>
        <w:rPr>
          <w:rFonts w:hint="eastAsia" w:asciiTheme="minorEastAsia" w:hAnsiTheme="minorEastAsia" w:cstheme="minorEastAsia"/>
          <w:sz w:val="24"/>
          <w:szCs w:val="24"/>
          <w:u w:val="none"/>
          <w:lang w:val="en-US" w:eastAsia="zh-CN"/>
        </w:rPr>
        <w:t>响应</w:t>
      </w:r>
      <w:r>
        <w:rPr>
          <w:rFonts w:hint="eastAsia" w:asciiTheme="minorEastAsia" w:hAnsiTheme="minorEastAsia" w:eastAsiaTheme="minorEastAsia" w:cstheme="minorEastAsia"/>
          <w:sz w:val="24"/>
          <w:szCs w:val="24"/>
          <w:u w:val="none"/>
          <w:lang w:val="en-US" w:eastAsia="zh-CN"/>
        </w:rPr>
        <w:t>文件递交截止之日起计算有效</w:t>
      </w:r>
      <w:r>
        <w:rPr>
          <w:rFonts w:hint="eastAsia" w:asciiTheme="minorEastAsia" w:hAnsiTheme="minorEastAsia" w:cstheme="minorEastAsia"/>
          <w:sz w:val="24"/>
          <w:szCs w:val="24"/>
          <w:u w:val="none"/>
          <w:lang w:val="en-US" w:eastAsia="zh-CN"/>
        </w:rPr>
        <w:t>期</w:t>
      </w:r>
      <w:r>
        <w:rPr>
          <w:rFonts w:hint="eastAsia" w:asciiTheme="minorEastAsia" w:hAnsiTheme="minorEastAsia" w:eastAsiaTheme="minorEastAsia" w:cstheme="minorEastAsia"/>
          <w:sz w:val="24"/>
          <w:szCs w:val="24"/>
          <w:u w:val="none"/>
          <w:lang w:val="en-US" w:eastAsia="zh-CN"/>
        </w:rPr>
        <w:t>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eastAsia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eastAsia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eastAsiaTheme="minorEastAsia" w:cstheme="minorEastAsia"/>
          <w:color w:val="auto"/>
          <w:sz w:val="24"/>
          <w:szCs w:val="24"/>
          <w:highlight w:val="none"/>
          <w:u w:val="single"/>
        </w:rPr>
        <w:t>20</w:t>
      </w:r>
      <w:r>
        <w:rPr>
          <w:rFonts w:hint="eastAsia" w:asciiTheme="minorEastAsia" w:hAnsiTheme="minorEastAsia" w:eastAsiaTheme="minorEastAsia" w:cstheme="minorEastAsia"/>
          <w:color w:val="auto"/>
          <w:sz w:val="24"/>
          <w:szCs w:val="24"/>
          <w:highlight w:val="none"/>
          <w:u w:val="single"/>
          <w:lang w:val="en-US" w:eastAsia="zh-CN"/>
        </w:rPr>
        <w:t>25</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cstheme="minorEastAsia"/>
          <w:color w:val="auto"/>
          <w:sz w:val="24"/>
          <w:szCs w:val="24"/>
          <w:highlight w:val="none"/>
          <w:lang w:val="zh-CN" w:eastAsia="zh-CN"/>
        </w:rPr>
        <w:t>协商</w:t>
      </w:r>
      <w:r>
        <w:rPr>
          <w:rFonts w:hint="eastAsia" w:asciiTheme="minorEastAsia" w:hAnsiTheme="minorEastAsia" w:eastAsiaTheme="minorEastAsia" w:cstheme="minorEastAsia"/>
          <w:color w:val="auto"/>
          <w:sz w:val="24"/>
          <w:szCs w:val="24"/>
          <w:highlight w:val="none"/>
          <w:lang w:val="zh-CN"/>
        </w:rPr>
        <w:t>时提供。</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w:t>
      </w:r>
      <w:r>
        <w:rPr>
          <w:rFonts w:hint="eastAsia" w:asciiTheme="minorEastAsia" w:hAnsiTheme="minorEastAsia" w:cstheme="minorEastAsia"/>
          <w:sz w:val="24"/>
          <w:szCs w:val="24"/>
          <w:lang w:val="en-US" w:eastAsia="zh-CN"/>
        </w:rPr>
        <w:t>响应</w:t>
      </w:r>
      <w:r>
        <w:rPr>
          <w:rFonts w:hint="eastAsia" w:asciiTheme="minorEastAsia" w:hAnsiTheme="minorEastAsia" w:eastAsiaTheme="minorEastAsia" w:cstheme="minorEastAsia"/>
          <w:sz w:val="24"/>
          <w:szCs w:val="24"/>
          <w:lang w:val="en-US" w:eastAsia="zh-CN"/>
        </w:rPr>
        <w:t>文件递交截止之日起计算不得少于90日历天。</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bookmarkStart w:id="1" w:name="_Toc29472"/>
      <w:r>
        <w:rPr>
          <w:rFonts w:hint="eastAsia" w:asciiTheme="minorEastAsia" w:hAnsiTheme="minorEastAsia" w:eastAsiaTheme="minorEastAsia" w:cstheme="minorEastAsia"/>
          <w:sz w:val="24"/>
          <w:szCs w:val="24"/>
          <w:lang w:val="en-US" w:eastAsia="zh-CN"/>
        </w:rPr>
        <w:t>3.授权书内容填写要明确，文字要工整清楚，涂改无效。</w:t>
      </w:r>
      <w:bookmarkEnd w:id="1"/>
    </w:p>
    <w:p>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2" w:name="_Toc902"/>
      <w:bookmarkStart w:id="3" w:name="_Toc27864"/>
      <w:bookmarkStart w:id="4" w:name="_Toc30104"/>
    </w:p>
    <w:p>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 xml:space="preserve">格式3 ： </w:t>
      </w:r>
    </w:p>
    <w:p>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具有履行合同所必需的设备和专业技术能力的书面承诺</w:t>
      </w:r>
      <w:bookmarkEnd w:id="2"/>
      <w:bookmarkEnd w:id="3"/>
      <w:bookmarkEnd w:id="4"/>
    </w:p>
    <w:p>
      <w:pPr>
        <w:pStyle w:val="5"/>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公司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，营业（或生产经营）面积为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人，其中与履行本合同相关的专业技术人员有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，本单位郑重承诺，具有履行本合同所必需的设备和专业技术能力。</w:t>
      </w:r>
    </w:p>
    <w:p>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Theme="minorEastAsia" w:hAnsiTheme="minorEastAsia" w:eastAsiaTheme="minorEastAsia" w:cstheme="minorEastAsia"/>
          <w:spacing w:val="4"/>
          <w:sz w:val="24"/>
          <w:szCs w:val="24"/>
          <w:highlight w:val="none"/>
        </w:rPr>
      </w:pPr>
    </w:p>
    <w:p>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pPr>
        <w:pStyle w:val="5"/>
        <w:keepLines w:val="0"/>
        <w:pageBreakBefore w:val="0"/>
        <w:kinsoku/>
        <w:wordWrap/>
        <w:overflowPunct/>
        <w:topLinePunct w:val="0"/>
        <w:bidi w:val="0"/>
        <w:adjustRightInd w:val="0"/>
        <w:snapToGrid w:val="0"/>
        <w:spacing w:line="500" w:lineRule="exact"/>
        <w:ind w:firstLine="496"/>
        <w:textAlignment w:val="auto"/>
        <w:rPr>
          <w:rFonts w:hint="eastAsia" w:asciiTheme="minorEastAsia" w:hAnsiTheme="minorEastAsia" w:eastAsiaTheme="minorEastAsia" w:cstheme="minorEastAsia"/>
          <w:spacing w:val="4"/>
          <w:kern w:val="0"/>
          <w:sz w:val="24"/>
          <w:szCs w:val="24"/>
          <w:highlight w:val="none"/>
        </w:rPr>
      </w:pPr>
    </w:p>
    <w:p>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bCs/>
          <w:caps/>
          <w:sz w:val="24"/>
          <w:szCs w:val="24"/>
          <w:highlight w:val="none"/>
        </w:rPr>
        <w:t>：</w:t>
      </w:r>
      <w:r>
        <w:rPr>
          <w:rFonts w:hint="eastAsia" w:asciiTheme="minorEastAsia" w:hAnsiTheme="minorEastAsia" w:eastAsiaTheme="minorEastAsia" w:cstheme="minorEastAsia"/>
          <w:bCs/>
          <w:caps/>
          <w:sz w:val="24"/>
          <w:szCs w:val="24"/>
          <w:highlight w:val="none"/>
          <w:u w:val="single"/>
        </w:rPr>
        <w:t xml:space="preserve">                          </w:t>
      </w:r>
      <w:r>
        <w:rPr>
          <w:rFonts w:hint="eastAsia" w:asciiTheme="minorEastAsia" w:hAnsiTheme="minorEastAsia" w:eastAsiaTheme="minorEastAsia" w:cstheme="minorEastAsia"/>
          <w:bCs/>
          <w:caps/>
          <w:sz w:val="24"/>
          <w:szCs w:val="24"/>
          <w:highlight w:val="none"/>
        </w:rPr>
        <w:t>(公章)</w:t>
      </w:r>
    </w:p>
    <w:p>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法定代表人或被授权代表：</w:t>
      </w:r>
      <w:r>
        <w:rPr>
          <w:rFonts w:hint="eastAsia" w:asciiTheme="minorEastAsia" w:hAnsiTheme="minorEastAsia" w:eastAsiaTheme="minorEastAsia" w:cstheme="minorEastAsia"/>
          <w:bCs/>
          <w:caps/>
          <w:sz w:val="24"/>
          <w:szCs w:val="24"/>
          <w:highlight w:val="none"/>
          <w:u w:val="single"/>
        </w:rPr>
        <w:t xml:space="preserve">        （签字或盖章）</w:t>
      </w:r>
      <w:r>
        <w:rPr>
          <w:rFonts w:hint="eastAsia" w:asciiTheme="minorEastAsia" w:hAnsiTheme="minorEastAsia" w:eastAsiaTheme="minorEastAsia" w:cstheme="minorEastAsia"/>
          <w:bCs/>
          <w:caps/>
          <w:sz w:val="24"/>
          <w:szCs w:val="24"/>
          <w:highlight w:val="none"/>
        </w:rPr>
        <w:t xml:space="preserve">   </w:t>
      </w:r>
    </w:p>
    <w:p>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日    期：    年   月  日</w:t>
      </w:r>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highlight w:val="none"/>
        </w:rPr>
      </w:pPr>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b/>
          <w:bCs/>
          <w:sz w:val="24"/>
          <w:highlight w:val="none"/>
        </w:rPr>
      </w:pPr>
    </w:p>
    <w:p>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格式4：</w:t>
      </w:r>
    </w:p>
    <w:p>
      <w:pPr>
        <w:keepLines w:val="0"/>
        <w:pageBreakBefore w:val="0"/>
        <w:kinsoku/>
        <w:wordWrap/>
        <w:overflowPunct/>
        <w:topLinePunct w:val="0"/>
        <w:bidi w:val="0"/>
        <w:adjustRightInd w:val="0"/>
        <w:snapToGrid w:val="0"/>
        <w:spacing w:line="500" w:lineRule="exact"/>
        <w:ind w:right="42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5" w:name="_Toc29525"/>
      <w:bookmarkStart w:id="6" w:name="_Toc6159"/>
      <w:bookmarkStart w:id="7" w:name="_Toc10698"/>
      <w:bookmarkStart w:id="8" w:name="_Toc118"/>
      <w:r>
        <w:rPr>
          <w:rFonts w:hint="eastAsia" w:asciiTheme="minorEastAsia" w:hAnsiTheme="minorEastAsia" w:eastAsiaTheme="minorEastAsia" w:cstheme="minorEastAsia"/>
          <w:b/>
          <w:bCs/>
          <w:color w:val="auto"/>
          <w:sz w:val="24"/>
          <w:szCs w:val="24"/>
          <w:highlight w:val="none"/>
          <w:lang w:val="en-US" w:eastAsia="zh-CN"/>
        </w:rPr>
        <w:t>参加政府采购活动前三年内在经营活动中没有重大违法记录的</w:t>
      </w:r>
      <w:bookmarkEnd w:id="5"/>
      <w:bookmarkStart w:id="9" w:name="_Toc29200"/>
      <w:r>
        <w:rPr>
          <w:rFonts w:hint="eastAsia" w:asciiTheme="minorEastAsia" w:hAnsiTheme="minorEastAsia" w:eastAsiaTheme="minorEastAsia" w:cstheme="minorEastAsia"/>
          <w:b/>
          <w:bCs/>
          <w:color w:val="auto"/>
          <w:sz w:val="24"/>
          <w:szCs w:val="24"/>
          <w:highlight w:val="none"/>
          <w:lang w:val="en-US" w:eastAsia="zh-CN"/>
        </w:rPr>
        <w:t>书面声明</w:t>
      </w:r>
      <w:bookmarkEnd w:id="6"/>
      <w:bookmarkEnd w:id="7"/>
      <w:bookmarkEnd w:id="8"/>
      <w:bookmarkEnd w:id="9"/>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pacing w:val="4"/>
          <w:sz w:val="24"/>
          <w:highlight w:val="none"/>
        </w:rPr>
      </w:pPr>
    </w:p>
    <w:p>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我方作为</w:t>
      </w:r>
      <w:r>
        <w:rPr>
          <w:rFonts w:hint="eastAsia" w:asciiTheme="minorEastAsia" w:hAnsiTheme="minorEastAsia" w:eastAsiaTheme="minorEastAsia" w:cstheme="minorEastAsia"/>
          <w:sz w:val="24"/>
          <w:szCs w:val="24"/>
          <w:highlight w:val="none"/>
          <w:u w:val="single"/>
        </w:rPr>
        <w:t xml:space="preserve">    （项目名称）    （项目编号：     ）</w:t>
      </w:r>
      <w:r>
        <w:rPr>
          <w:rFonts w:hint="eastAsia" w:asciiTheme="minorEastAsia" w:hAnsiTheme="minorEastAsia" w:eastAsiaTheme="minorEastAsia" w:cstheme="minorEastAsia"/>
          <w:sz w:val="24"/>
          <w:szCs w:val="24"/>
          <w:highlight w:val="none"/>
        </w:rPr>
        <w:t>的供应商，在此郑重声明：</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1、在参加本次政府采购活动前3年内的经营活动中</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（填“没有”或“有”）重大违法记录。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（填“未被列入”或“被列入”）失信被执行人名单。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（填“未被列入”或“被列入”）重大税收违法失信主体名单。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（填“未被列入”或“被列入”）政府采购严重违法失信行为记录名单。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如有不实，我方将无条件地退出本项目的采购活动，并遵照《中华人民共和国政府采购法》有关“提供虚假材料的规定”接受处罚。</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         </w:t>
      </w:r>
      <w:bookmarkStart w:id="10" w:name="_Toc9460"/>
      <w:bookmarkStart w:id="11" w:name="_Toc22171"/>
      <w:bookmarkStart w:id="12" w:name="_Toc19320"/>
      <w:bookmarkStart w:id="13" w:name="_Toc15217"/>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（供应商全称并加盖公章）</w:t>
      </w:r>
      <w:bookmarkEnd w:id="10"/>
      <w:bookmarkEnd w:id="11"/>
      <w:bookmarkEnd w:id="12"/>
      <w:bookmarkEnd w:id="13"/>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bookmarkStart w:id="14" w:name="_Toc19817"/>
      <w:r>
        <w:rPr>
          <w:rFonts w:hint="eastAsia" w:asciiTheme="minorEastAsia" w:hAnsiTheme="minorEastAsia" w:eastAsiaTheme="minorEastAsia" w:cstheme="minorEastAsia"/>
          <w:sz w:val="24"/>
          <w:szCs w:val="24"/>
          <w:highlight w:val="none"/>
        </w:rPr>
        <w:t>日  期：    年  月  日</w:t>
      </w:r>
      <w:bookmarkEnd w:id="14"/>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highlight w:val="none"/>
        </w:rPr>
        <w:t>提示：供应商在参加政府采购活动前三年内因违法经营被禁止在一定期限内参加政府采购活动，期限届满的，可以参加政府采购活动，但应提供期限届满的证明材料。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2510197"/>
    <w:rsid w:val="026C4FD1"/>
    <w:rsid w:val="039E68AE"/>
    <w:rsid w:val="04955E1D"/>
    <w:rsid w:val="0AC41E4E"/>
    <w:rsid w:val="0F2C6214"/>
    <w:rsid w:val="10A256AE"/>
    <w:rsid w:val="14014967"/>
    <w:rsid w:val="19CC6629"/>
    <w:rsid w:val="1A4A39F2"/>
    <w:rsid w:val="1A7760AA"/>
    <w:rsid w:val="1C133119"/>
    <w:rsid w:val="1DE63D9D"/>
    <w:rsid w:val="1EC528F9"/>
    <w:rsid w:val="1FF920F9"/>
    <w:rsid w:val="213A67E4"/>
    <w:rsid w:val="21507B40"/>
    <w:rsid w:val="22851A6B"/>
    <w:rsid w:val="23362D65"/>
    <w:rsid w:val="23533F90"/>
    <w:rsid w:val="243E55AE"/>
    <w:rsid w:val="26EB3E67"/>
    <w:rsid w:val="28C32885"/>
    <w:rsid w:val="2A247DBB"/>
    <w:rsid w:val="2B0379D1"/>
    <w:rsid w:val="2B156C4B"/>
    <w:rsid w:val="2BA42B91"/>
    <w:rsid w:val="2C8768C3"/>
    <w:rsid w:val="2D7C6927"/>
    <w:rsid w:val="2D8F379E"/>
    <w:rsid w:val="2E9A502F"/>
    <w:rsid w:val="2FF71DDB"/>
    <w:rsid w:val="36323860"/>
    <w:rsid w:val="374101FF"/>
    <w:rsid w:val="37CB5DA3"/>
    <w:rsid w:val="3AE83782"/>
    <w:rsid w:val="3D89645B"/>
    <w:rsid w:val="3FA139B0"/>
    <w:rsid w:val="3FC574F3"/>
    <w:rsid w:val="40714F85"/>
    <w:rsid w:val="40C17CBA"/>
    <w:rsid w:val="40C94DC1"/>
    <w:rsid w:val="45FD1795"/>
    <w:rsid w:val="4743767B"/>
    <w:rsid w:val="48537D92"/>
    <w:rsid w:val="48822425"/>
    <w:rsid w:val="490A4DBC"/>
    <w:rsid w:val="493F20C4"/>
    <w:rsid w:val="49A221AE"/>
    <w:rsid w:val="4D8850D8"/>
    <w:rsid w:val="4D9F16EE"/>
    <w:rsid w:val="4F052CEF"/>
    <w:rsid w:val="4F2263FB"/>
    <w:rsid w:val="4F9C4678"/>
    <w:rsid w:val="4FE07455"/>
    <w:rsid w:val="502D711A"/>
    <w:rsid w:val="52F061DD"/>
    <w:rsid w:val="54BC281B"/>
    <w:rsid w:val="54DB1ED7"/>
    <w:rsid w:val="558461BE"/>
    <w:rsid w:val="565E627F"/>
    <w:rsid w:val="578A6C00"/>
    <w:rsid w:val="584E5A57"/>
    <w:rsid w:val="5CE42C2E"/>
    <w:rsid w:val="5CEC4A4A"/>
    <w:rsid w:val="5D6D6DA8"/>
    <w:rsid w:val="5DF11787"/>
    <w:rsid w:val="5EFB70C7"/>
    <w:rsid w:val="5F1A2F60"/>
    <w:rsid w:val="61576762"/>
    <w:rsid w:val="61691F7C"/>
    <w:rsid w:val="633B34A5"/>
    <w:rsid w:val="644D16E1"/>
    <w:rsid w:val="656B62C3"/>
    <w:rsid w:val="65A93335"/>
    <w:rsid w:val="66F61BBC"/>
    <w:rsid w:val="67D5211A"/>
    <w:rsid w:val="6A265B7B"/>
    <w:rsid w:val="6A3550F2"/>
    <w:rsid w:val="6AEB320F"/>
    <w:rsid w:val="6C586BB4"/>
    <w:rsid w:val="6D982144"/>
    <w:rsid w:val="6E623FDB"/>
    <w:rsid w:val="6E804461"/>
    <w:rsid w:val="70432DA3"/>
    <w:rsid w:val="7113780F"/>
    <w:rsid w:val="71555F59"/>
    <w:rsid w:val="740578E3"/>
    <w:rsid w:val="7541694A"/>
    <w:rsid w:val="75CC0C79"/>
    <w:rsid w:val="75FF0362"/>
    <w:rsid w:val="79314152"/>
    <w:rsid w:val="7B2B78DD"/>
    <w:rsid w:val="7B3F70C4"/>
    <w:rsid w:val="7CBE4AD3"/>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link w:val="13"/>
    <w:autoRedefine/>
    <w:qFormat/>
    <w:uiPriority w:val="0"/>
    <w:pPr>
      <w:ind w:firstLine="420"/>
    </w:pPr>
    <w:rPr>
      <w:szCs w:val="20"/>
    </w:rPr>
  </w:style>
  <w:style w:type="paragraph" w:styleId="5">
    <w:name w:val="Body Text"/>
    <w:basedOn w:val="1"/>
    <w:next w:val="1"/>
    <w:link w:val="11"/>
    <w:autoRedefine/>
    <w:unhideWhenUsed/>
    <w:qFormat/>
    <w:uiPriority w:val="99"/>
    <w:pPr>
      <w:spacing w:after="120"/>
    </w:pPr>
  </w:style>
  <w:style w:type="paragraph" w:styleId="6">
    <w:name w:val="Body Text Indent"/>
    <w:basedOn w:val="1"/>
    <w:next w:val="7"/>
    <w:link w:val="12"/>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5"/>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4"/>
    <w:autoRedefine/>
    <w:qFormat/>
    <w:uiPriority w:val="0"/>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 w:type="paragraph" w:customStyle="1" w:styleId="15">
    <w:name w:val="p0"/>
    <w:basedOn w:val="1"/>
    <w:autoRedefine/>
    <w:qFormat/>
    <w:uiPriority w:val="0"/>
    <w:pPr>
      <w:widowControl/>
      <w:spacing w:line="360" w:lineRule="auto"/>
    </w:pPr>
    <w:rPr>
      <w:kern w:val="0"/>
      <w:sz w:val="2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1988</Words>
  <Characters>2093</Characters>
  <Lines>0</Lines>
  <Paragraphs>0</Paragraphs>
  <TotalTime>16</TotalTime>
  <ScaleCrop>false</ScaleCrop>
  <LinksUpToDate>false</LinksUpToDate>
  <CharactersWithSpaces>2620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懛鰦</cp:lastModifiedBy>
  <dcterms:modified xsi:type="dcterms:W3CDTF">2025-12-05T10:18:28Z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06DBEF4BDEEF44159FB9A42EC8ACA8F0_12</vt:lpwstr>
  </property>
  <property fmtid="{D5CDD505-2E9C-101B-9397-08002B2CF9AE}" pid="4" name="KSOTemplateDocerSaveRecord">
    <vt:lpwstr>eyJoZGlkIjoiNDY3YTFjMWFjOWJlNTU4YzMxODY4MTU5ZDkwYjNkMDkifQ==</vt:lpwstr>
  </property>
</Properties>
</file>