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pPr>
        <w:keepNext w:val="0"/>
        <w:keepLines w:val="0"/>
        <w:pageBreakBefore w:val="0"/>
        <w:widowControl w:val="0"/>
        <w:numPr>
          <w:ilvl w:val="0"/>
          <w:numId w:val="0"/>
        </w:numPr>
        <w:kinsoku/>
        <w:wordWrap/>
        <w:overflowPunct/>
        <w:topLinePunct w:val="0"/>
        <w:autoSpaceDE/>
        <w:autoSpaceDN/>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注：本合同为示范文本，具体条款内容由采购人和中标人协商确定，但不得改变招标文件、投标文件、中标通知书里的实质性内容。）</w:t>
      </w:r>
    </w:p>
    <w:p>
      <w:pPr>
        <w:pStyle w:val="18"/>
        <w:spacing w:line="360" w:lineRule="auto"/>
        <w:ind w:firstLine="480" w:firstLineChars="200"/>
        <w:rPr>
          <w:rFonts w:hint="eastAsia" w:ascii="仿宋" w:hAnsi="仿宋" w:eastAsia="仿宋" w:cs="仿宋"/>
          <w:color w:val="auto"/>
          <w:highlight w:val="none"/>
        </w:rPr>
      </w:pPr>
    </w:p>
    <w:p>
      <w:pPr>
        <w:pStyle w:val="18"/>
        <w:spacing w:line="360" w:lineRule="auto"/>
        <w:ind w:firstLine="480" w:firstLineChars="200"/>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pPr>
        <w:pStyle w:val="18"/>
        <w:spacing w:line="360" w:lineRule="auto"/>
        <w:ind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pPr>
        <w:pStyle w:val="18"/>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bookmarkStart w:id="0" w:name="OLE_LINK16"/>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bookmarkEnd w:id="0"/>
      <w:r>
        <w:rPr>
          <w:rFonts w:hint="eastAsia" w:ascii="仿宋" w:hAnsi="仿宋" w:eastAsia="仿宋" w:cs="仿宋"/>
          <w:color w:val="auto"/>
          <w:highlight w:val="none"/>
        </w:rPr>
        <w:t>（中标人）</w:t>
      </w:r>
    </w:p>
    <w:p>
      <w:pPr>
        <w:pStyle w:val="18"/>
        <w:spacing w:line="360" w:lineRule="auto"/>
        <w:ind w:left="420" w:leftChars="200"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pPr>
        <w:pStyle w:val="18"/>
        <w:spacing w:line="360" w:lineRule="auto"/>
        <w:outlineLvl w:val="1"/>
        <w:rPr>
          <w:rFonts w:hint="eastAsia" w:ascii="仿宋" w:hAnsi="仿宋" w:eastAsia="仿宋" w:cs="仿宋"/>
          <w:b/>
          <w:color w:val="auto"/>
          <w:highlight w:val="none"/>
        </w:rPr>
      </w:pPr>
      <w:bookmarkStart w:id="1" w:name="_Toc8686"/>
      <w:bookmarkStart w:id="2" w:name="_Toc18934"/>
      <w:bookmarkStart w:id="3" w:name="_Toc3373"/>
      <w:r>
        <w:rPr>
          <w:rFonts w:hint="eastAsia" w:ascii="仿宋" w:hAnsi="仿宋" w:eastAsia="仿宋" w:cs="仿宋"/>
          <w:b/>
          <w:color w:val="auto"/>
          <w:highlight w:val="none"/>
        </w:rPr>
        <w:t>第一条 合同标的及数量</w:t>
      </w:r>
      <w:bookmarkEnd w:id="1"/>
      <w:bookmarkEnd w:id="2"/>
      <w:bookmarkEnd w:id="3"/>
    </w:p>
    <w:p>
      <w:pPr>
        <w:pStyle w:val="18"/>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pPr>
        <w:pStyle w:val="6"/>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2"/>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162"/>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pPr>
              <w:outlineLvl w:val="9"/>
              <w:rPr>
                <w:rFonts w:hint="eastAsia" w:ascii="仿宋" w:hAnsi="仿宋" w:eastAsia="仿宋" w:cs="仿宋"/>
                <w:color w:val="auto"/>
                <w:sz w:val="24"/>
                <w:szCs w:val="24"/>
                <w:highlight w:val="none"/>
              </w:rPr>
            </w:pPr>
            <w:bookmarkStart w:id="4" w:name="_Toc7471"/>
            <w:bookmarkStart w:id="5" w:name="_Toc21343"/>
            <w:bookmarkStart w:id="6" w:name="_Toc26294"/>
            <w:bookmarkStart w:id="7" w:name="_Toc31400"/>
            <w:bookmarkStart w:id="8" w:name="_Toc1631"/>
            <w:r>
              <w:rPr>
                <w:rFonts w:hint="eastAsia" w:ascii="仿宋" w:hAnsi="仿宋" w:eastAsia="仿宋" w:cs="仿宋"/>
                <w:color w:val="auto"/>
                <w:sz w:val="24"/>
                <w:szCs w:val="24"/>
                <w:highlight w:val="none"/>
              </w:rPr>
              <w:t>序号</w:t>
            </w:r>
            <w:bookmarkEnd w:id="4"/>
            <w:bookmarkEnd w:id="5"/>
            <w:bookmarkEnd w:id="6"/>
            <w:bookmarkEnd w:id="7"/>
            <w:bookmarkEnd w:id="8"/>
          </w:p>
        </w:tc>
        <w:tc>
          <w:tcPr>
            <w:tcW w:w="1461" w:type="dxa"/>
            <w:vAlign w:val="center"/>
          </w:tcPr>
          <w:p>
            <w:pPr>
              <w:jc w:val="center"/>
              <w:outlineLvl w:val="9"/>
              <w:rPr>
                <w:rFonts w:hint="eastAsia" w:ascii="仿宋" w:hAnsi="仿宋" w:eastAsia="仿宋" w:cs="仿宋"/>
                <w:color w:val="auto"/>
                <w:sz w:val="24"/>
                <w:szCs w:val="24"/>
                <w:highlight w:val="none"/>
              </w:rPr>
            </w:pPr>
            <w:bookmarkStart w:id="9" w:name="_Toc23183"/>
            <w:bookmarkStart w:id="10" w:name="_Toc678"/>
            <w:bookmarkStart w:id="11" w:name="_Toc3968"/>
            <w:bookmarkStart w:id="12" w:name="_Toc22389"/>
            <w:bookmarkStart w:id="13" w:name="_Toc6445"/>
            <w:r>
              <w:rPr>
                <w:rFonts w:hint="eastAsia" w:ascii="仿宋" w:hAnsi="仿宋" w:eastAsia="仿宋" w:cs="仿宋"/>
                <w:color w:val="auto"/>
                <w:sz w:val="24"/>
                <w:szCs w:val="24"/>
                <w:highlight w:val="none"/>
              </w:rPr>
              <w:t>名称</w:t>
            </w:r>
            <w:bookmarkEnd w:id="9"/>
            <w:bookmarkEnd w:id="10"/>
            <w:bookmarkEnd w:id="11"/>
            <w:bookmarkEnd w:id="12"/>
            <w:bookmarkEnd w:id="13"/>
          </w:p>
        </w:tc>
        <w:tc>
          <w:tcPr>
            <w:tcW w:w="1623" w:type="dxa"/>
            <w:vAlign w:val="center"/>
          </w:tcPr>
          <w:p>
            <w:pPr>
              <w:outlineLvl w:val="9"/>
              <w:rPr>
                <w:rFonts w:hint="eastAsia" w:ascii="仿宋" w:hAnsi="仿宋" w:eastAsia="仿宋" w:cs="仿宋"/>
                <w:color w:val="auto"/>
                <w:sz w:val="24"/>
                <w:szCs w:val="24"/>
                <w:highlight w:val="none"/>
              </w:rPr>
            </w:pPr>
            <w:bookmarkStart w:id="14" w:name="_Toc5820"/>
            <w:bookmarkStart w:id="15" w:name="_Toc13493"/>
            <w:bookmarkStart w:id="16" w:name="_Toc31540"/>
            <w:bookmarkStart w:id="17" w:name="_Toc6213"/>
            <w:bookmarkStart w:id="18" w:name="_Toc16370"/>
            <w:r>
              <w:rPr>
                <w:rFonts w:hint="eastAsia" w:ascii="仿宋" w:hAnsi="仿宋" w:eastAsia="仿宋" w:cs="仿宋"/>
                <w:color w:val="auto"/>
                <w:sz w:val="24"/>
                <w:szCs w:val="24"/>
                <w:highlight w:val="none"/>
              </w:rPr>
              <w:t>品牌/型号</w:t>
            </w:r>
            <w:bookmarkEnd w:id="14"/>
            <w:bookmarkEnd w:id="15"/>
            <w:bookmarkEnd w:id="16"/>
            <w:bookmarkEnd w:id="17"/>
            <w:bookmarkEnd w:id="18"/>
          </w:p>
        </w:tc>
        <w:tc>
          <w:tcPr>
            <w:tcW w:w="832" w:type="dxa"/>
            <w:vAlign w:val="center"/>
          </w:tcPr>
          <w:p>
            <w:pPr>
              <w:outlineLvl w:val="9"/>
              <w:rPr>
                <w:rFonts w:hint="eastAsia" w:ascii="仿宋" w:hAnsi="仿宋" w:eastAsia="仿宋" w:cs="仿宋"/>
                <w:color w:val="auto"/>
                <w:sz w:val="24"/>
                <w:szCs w:val="24"/>
                <w:highlight w:val="none"/>
              </w:rPr>
            </w:pPr>
            <w:bookmarkStart w:id="19" w:name="_Toc21205"/>
            <w:bookmarkStart w:id="20" w:name="_Toc3362"/>
            <w:bookmarkStart w:id="21" w:name="_Toc15931"/>
            <w:bookmarkStart w:id="22" w:name="_Toc3931"/>
            <w:bookmarkStart w:id="23" w:name="_Toc5177"/>
            <w:r>
              <w:rPr>
                <w:rFonts w:hint="eastAsia" w:ascii="仿宋" w:hAnsi="仿宋" w:eastAsia="仿宋" w:cs="仿宋"/>
                <w:color w:val="auto"/>
                <w:sz w:val="24"/>
                <w:szCs w:val="24"/>
                <w:highlight w:val="none"/>
              </w:rPr>
              <w:t>规格</w:t>
            </w:r>
            <w:bookmarkEnd w:id="19"/>
            <w:bookmarkEnd w:id="20"/>
            <w:bookmarkEnd w:id="21"/>
            <w:bookmarkEnd w:id="22"/>
            <w:bookmarkEnd w:id="23"/>
          </w:p>
        </w:tc>
        <w:tc>
          <w:tcPr>
            <w:tcW w:w="822" w:type="dxa"/>
            <w:vAlign w:val="center"/>
          </w:tcPr>
          <w:p>
            <w:pPr>
              <w:outlineLvl w:val="9"/>
              <w:rPr>
                <w:rFonts w:hint="eastAsia" w:ascii="仿宋" w:hAnsi="仿宋" w:eastAsia="仿宋" w:cs="仿宋"/>
                <w:color w:val="auto"/>
                <w:sz w:val="24"/>
                <w:szCs w:val="24"/>
                <w:highlight w:val="none"/>
              </w:rPr>
            </w:pPr>
            <w:bookmarkStart w:id="24" w:name="_Toc8364"/>
            <w:bookmarkStart w:id="25" w:name="_Toc18669"/>
            <w:bookmarkStart w:id="26" w:name="_Toc16004"/>
            <w:bookmarkStart w:id="27" w:name="_Toc30791"/>
            <w:bookmarkStart w:id="28" w:name="_Toc13801"/>
            <w:r>
              <w:rPr>
                <w:rFonts w:hint="eastAsia" w:ascii="仿宋" w:hAnsi="仿宋" w:eastAsia="仿宋" w:cs="仿宋"/>
                <w:color w:val="auto"/>
                <w:sz w:val="24"/>
                <w:szCs w:val="24"/>
                <w:highlight w:val="none"/>
              </w:rPr>
              <w:t>计量单位</w:t>
            </w:r>
            <w:bookmarkEnd w:id="24"/>
            <w:bookmarkEnd w:id="25"/>
            <w:bookmarkEnd w:id="26"/>
            <w:bookmarkEnd w:id="27"/>
            <w:bookmarkEnd w:id="28"/>
          </w:p>
        </w:tc>
        <w:tc>
          <w:tcPr>
            <w:tcW w:w="514" w:type="dxa"/>
            <w:vAlign w:val="center"/>
          </w:tcPr>
          <w:p>
            <w:pPr>
              <w:outlineLvl w:val="9"/>
              <w:rPr>
                <w:rFonts w:hint="eastAsia" w:ascii="仿宋" w:hAnsi="仿宋" w:eastAsia="仿宋" w:cs="仿宋"/>
                <w:color w:val="auto"/>
                <w:sz w:val="24"/>
                <w:szCs w:val="24"/>
                <w:highlight w:val="none"/>
              </w:rPr>
            </w:pPr>
            <w:bookmarkStart w:id="29" w:name="_Toc19134"/>
            <w:bookmarkStart w:id="30" w:name="_Toc29871"/>
            <w:bookmarkStart w:id="31" w:name="_Toc9231"/>
            <w:bookmarkStart w:id="32" w:name="_Toc609"/>
            <w:bookmarkStart w:id="33" w:name="_Toc24569"/>
            <w:r>
              <w:rPr>
                <w:rFonts w:hint="eastAsia" w:ascii="仿宋" w:hAnsi="仿宋" w:eastAsia="仿宋" w:cs="仿宋"/>
                <w:color w:val="auto"/>
                <w:sz w:val="24"/>
                <w:szCs w:val="24"/>
                <w:highlight w:val="none"/>
              </w:rPr>
              <w:t>数量</w:t>
            </w:r>
            <w:bookmarkEnd w:id="29"/>
            <w:bookmarkEnd w:id="30"/>
            <w:bookmarkEnd w:id="31"/>
            <w:bookmarkEnd w:id="32"/>
            <w:bookmarkEnd w:id="33"/>
          </w:p>
        </w:tc>
        <w:tc>
          <w:tcPr>
            <w:tcW w:w="1162" w:type="dxa"/>
            <w:vAlign w:val="center"/>
          </w:tcPr>
          <w:p>
            <w:pPr>
              <w:outlineLvl w:val="9"/>
              <w:rPr>
                <w:rFonts w:hint="eastAsia" w:ascii="仿宋" w:hAnsi="仿宋" w:eastAsia="仿宋" w:cs="仿宋"/>
                <w:color w:val="auto"/>
                <w:sz w:val="24"/>
                <w:szCs w:val="24"/>
                <w:highlight w:val="none"/>
              </w:rPr>
            </w:pPr>
            <w:bookmarkStart w:id="34" w:name="_Toc23932"/>
            <w:bookmarkStart w:id="35" w:name="_Toc5020"/>
            <w:bookmarkStart w:id="36" w:name="_Toc1373"/>
            <w:bookmarkStart w:id="37" w:name="_Toc29589"/>
            <w:bookmarkStart w:id="38" w:name="_Toc22269"/>
            <w:r>
              <w:rPr>
                <w:rFonts w:hint="eastAsia" w:ascii="仿宋" w:hAnsi="仿宋" w:eastAsia="仿宋" w:cs="仿宋"/>
                <w:color w:val="auto"/>
                <w:sz w:val="24"/>
                <w:szCs w:val="24"/>
                <w:highlight w:val="none"/>
              </w:rPr>
              <w:t>单价（元）</w:t>
            </w:r>
            <w:bookmarkEnd w:id="34"/>
            <w:bookmarkEnd w:id="35"/>
            <w:bookmarkEnd w:id="36"/>
            <w:bookmarkEnd w:id="37"/>
            <w:bookmarkEnd w:id="38"/>
          </w:p>
        </w:tc>
        <w:tc>
          <w:tcPr>
            <w:tcW w:w="1601" w:type="dxa"/>
            <w:vAlign w:val="center"/>
          </w:tcPr>
          <w:p>
            <w:pPr>
              <w:ind w:left="236" w:hanging="235" w:hangingChars="98"/>
              <w:outlineLvl w:val="9"/>
              <w:rPr>
                <w:rFonts w:hint="eastAsia" w:ascii="仿宋" w:hAnsi="仿宋" w:eastAsia="仿宋" w:cs="仿宋"/>
                <w:color w:val="auto"/>
                <w:sz w:val="24"/>
                <w:szCs w:val="24"/>
                <w:highlight w:val="none"/>
              </w:rPr>
            </w:pPr>
            <w:bookmarkStart w:id="39" w:name="_Toc14510"/>
            <w:bookmarkStart w:id="40" w:name="_Toc32579"/>
            <w:bookmarkStart w:id="41" w:name="_Toc26062"/>
            <w:bookmarkStart w:id="42" w:name="_Toc17545"/>
            <w:bookmarkStart w:id="43" w:name="_Toc23619"/>
            <w:r>
              <w:rPr>
                <w:rFonts w:hint="eastAsia" w:ascii="仿宋" w:hAnsi="仿宋" w:eastAsia="仿宋" w:cs="仿宋"/>
                <w:color w:val="auto"/>
                <w:sz w:val="24"/>
                <w:szCs w:val="24"/>
                <w:highlight w:val="none"/>
              </w:rPr>
              <w:t>金额 (元)</w:t>
            </w:r>
            <w:bookmarkEnd w:id="39"/>
            <w:bookmarkEnd w:id="40"/>
            <w:bookmarkEnd w:id="41"/>
            <w:bookmarkEnd w:id="42"/>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pPr>
              <w:outlineLvl w:val="9"/>
              <w:rPr>
                <w:rFonts w:hint="eastAsia" w:ascii="仿宋" w:hAnsi="仿宋" w:eastAsia="仿宋" w:cs="仿宋"/>
                <w:color w:val="auto"/>
                <w:sz w:val="24"/>
                <w:szCs w:val="24"/>
                <w:highlight w:val="none"/>
              </w:rPr>
            </w:pPr>
            <w:bookmarkStart w:id="44" w:name="_Toc15703"/>
            <w:bookmarkStart w:id="45" w:name="_Toc18746"/>
            <w:bookmarkStart w:id="46" w:name="_Toc16401"/>
            <w:bookmarkStart w:id="47" w:name="_Toc25107"/>
            <w:bookmarkStart w:id="48" w:name="_Toc10934"/>
            <w:r>
              <w:rPr>
                <w:rFonts w:hint="eastAsia" w:ascii="仿宋" w:hAnsi="仿宋" w:eastAsia="仿宋" w:cs="仿宋"/>
                <w:color w:val="auto"/>
                <w:sz w:val="24"/>
                <w:szCs w:val="24"/>
                <w:highlight w:val="none"/>
              </w:rPr>
              <w:t>合计</w:t>
            </w:r>
            <w:bookmarkEnd w:id="44"/>
            <w:bookmarkEnd w:id="45"/>
            <w:bookmarkEnd w:id="46"/>
            <w:bookmarkEnd w:id="47"/>
            <w:bookmarkEnd w:id="48"/>
          </w:p>
        </w:tc>
        <w:tc>
          <w:tcPr>
            <w:tcW w:w="4931" w:type="dxa"/>
            <w:gridSpan w:val="5"/>
          </w:tcPr>
          <w:p>
            <w:pPr>
              <w:outlineLvl w:val="9"/>
              <w:rPr>
                <w:rFonts w:hint="eastAsia" w:ascii="仿宋" w:hAnsi="仿宋" w:eastAsia="仿宋" w:cs="仿宋"/>
                <w:color w:val="auto"/>
                <w:sz w:val="24"/>
                <w:szCs w:val="24"/>
                <w:highlight w:val="none"/>
              </w:rPr>
            </w:pPr>
            <w:bookmarkStart w:id="49" w:name="_Toc18304"/>
            <w:bookmarkStart w:id="50" w:name="_Toc3316"/>
            <w:bookmarkStart w:id="51" w:name="_Toc31431"/>
            <w:bookmarkStart w:id="52" w:name="_Toc10002"/>
            <w:bookmarkStart w:id="53" w:name="_Toc9771"/>
            <w:r>
              <w:rPr>
                <w:rFonts w:hint="eastAsia" w:ascii="仿宋" w:hAnsi="仿宋" w:eastAsia="仿宋" w:cs="仿宋"/>
                <w:color w:val="auto"/>
                <w:sz w:val="24"/>
                <w:szCs w:val="24"/>
                <w:highlight w:val="none"/>
              </w:rPr>
              <w:t>¥</w:t>
            </w:r>
            <w:bookmarkEnd w:id="49"/>
            <w:bookmarkEnd w:id="50"/>
            <w:bookmarkEnd w:id="51"/>
            <w:bookmarkEnd w:id="52"/>
            <w:bookmarkEnd w:id="53"/>
          </w:p>
        </w:tc>
      </w:tr>
    </w:tbl>
    <w:p>
      <w:pPr>
        <w:pStyle w:val="5"/>
        <w:spacing w:line="360" w:lineRule="auto"/>
        <w:jc w:val="both"/>
        <w:rPr>
          <w:rFonts w:hint="eastAsia" w:ascii="仿宋" w:hAnsi="仿宋" w:eastAsia="仿宋" w:cs="仿宋"/>
          <w:color w:val="auto"/>
          <w:sz w:val="24"/>
          <w:szCs w:val="24"/>
          <w:highlight w:val="none"/>
        </w:rPr>
      </w:pPr>
      <w:bookmarkStart w:id="54" w:name="_Toc14881"/>
      <w:bookmarkStart w:id="55" w:name="_Toc6586"/>
      <w:bookmarkStart w:id="56" w:name="_Toc28512"/>
      <w:r>
        <w:rPr>
          <w:rFonts w:hint="eastAsia" w:ascii="仿宋" w:hAnsi="仿宋" w:eastAsia="仿宋" w:cs="仿宋"/>
          <w:color w:val="auto"/>
          <w:sz w:val="24"/>
          <w:szCs w:val="24"/>
          <w:highlight w:val="none"/>
        </w:rPr>
        <w:t>第二条 合同价款</w:t>
      </w:r>
      <w:bookmarkEnd w:id="54"/>
      <w:bookmarkEnd w:id="55"/>
      <w:bookmarkEnd w:id="56"/>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7" w:name="_Toc31924"/>
    </w:p>
    <w:p>
      <w:pPr>
        <w:pStyle w:val="5"/>
        <w:spacing w:line="360" w:lineRule="auto"/>
        <w:ind w:firstLine="241" w:firstLineChars="100"/>
        <w:jc w:val="both"/>
        <w:rPr>
          <w:rFonts w:hint="default" w:eastAsia="仿宋"/>
          <w:lang w:val="en-US" w:eastAsia="zh-CN"/>
        </w:rPr>
      </w:pPr>
      <w:bookmarkStart w:id="58" w:name="_Toc2721"/>
      <w:bookmarkStart w:id="59" w:name="_Toc14426"/>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7"/>
      <w:bookmarkEnd w:id="58"/>
      <w:bookmarkEnd w:id="59"/>
    </w:p>
    <w:p>
      <w:pPr>
        <w:pStyle w:val="18"/>
        <w:numPr>
          <w:ilvl w:val="0"/>
          <w:numId w:val="0"/>
        </w:numPr>
        <w:spacing w:line="360" w:lineRule="auto"/>
        <w:ind w:firstLine="480" w:firstLineChars="200"/>
        <w:outlineLvl w:val="9"/>
        <w:rPr>
          <w:rFonts w:hint="eastAsia" w:ascii="仿宋" w:hAnsi="仿宋" w:eastAsia="仿宋" w:cs="仿宋"/>
          <w:b/>
          <w:color w:val="auto"/>
          <w:highlight w:val="none"/>
          <w:lang w:val="en-US" w:eastAsia="zh-CN"/>
        </w:rPr>
      </w:pPr>
      <w:bookmarkStart w:id="60" w:name="_Toc7176"/>
      <w:bookmarkStart w:id="61" w:name="_Toc24977"/>
      <w:bookmarkStart w:id="62" w:name="_Toc7450"/>
      <w:r>
        <w:rPr>
          <w:rFonts w:hint="eastAsia" w:ascii="仿宋" w:hAnsi="仿宋" w:eastAsia="仿宋" w:cs="仿宋"/>
          <w:color w:val="auto"/>
          <w:sz w:val="24"/>
          <w:lang w:val="en-US" w:eastAsia="zh-CN"/>
        </w:rPr>
        <w:t>验收合格后，达到付款条件起30日内，支付合同总金额的100.00%。</w:t>
      </w:r>
    </w:p>
    <w:p>
      <w:pPr>
        <w:pStyle w:val="18"/>
        <w:numPr>
          <w:ilvl w:val="0"/>
          <w:numId w:val="1"/>
        </w:numPr>
        <w:spacing w:line="360" w:lineRule="auto"/>
        <w:outlineLvl w:val="1"/>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交</w:t>
      </w:r>
      <w:r>
        <w:rPr>
          <w:rFonts w:hint="eastAsia" w:ascii="仿宋" w:hAnsi="仿宋" w:eastAsia="仿宋" w:cs="仿宋"/>
          <w:b/>
          <w:color w:val="auto"/>
          <w:highlight w:val="none"/>
          <w:lang w:val="en-US" w:eastAsia="zh-CN"/>
        </w:rPr>
        <w:t>货期限</w:t>
      </w:r>
      <w:bookmarkEnd w:id="60"/>
      <w:bookmarkEnd w:id="61"/>
      <w:bookmarkEnd w:id="62"/>
    </w:p>
    <w:p>
      <w:pPr>
        <w:pStyle w:val="18"/>
        <w:numPr>
          <w:ilvl w:val="0"/>
          <w:numId w:val="0"/>
        </w:numPr>
        <w:spacing w:line="360" w:lineRule="auto"/>
        <w:outlineLvl w:val="9"/>
        <w:rPr>
          <w:rFonts w:hint="eastAsia" w:ascii="仿宋" w:hAnsi="仿宋" w:eastAsia="仿宋" w:cs="仿宋"/>
          <w:b w:val="0"/>
          <w:bCs/>
          <w:color w:val="auto"/>
          <w:highlight w:val="none"/>
          <w:lang w:val="en-US" w:eastAsia="zh-CN"/>
        </w:rPr>
      </w:pPr>
      <w:r>
        <w:rPr>
          <w:rFonts w:hint="eastAsia" w:ascii="仿宋" w:hAnsi="仿宋" w:eastAsia="仿宋" w:cs="仿宋"/>
          <w:b w:val="0"/>
          <w:bCs/>
          <w:color w:val="auto"/>
          <w:highlight w:val="none"/>
          <w:lang w:val="en-US" w:eastAsia="zh-CN"/>
        </w:rPr>
        <w:t xml:space="preserve">    1.服务期：合同签订之日起至所有疫苗供货完毕之日止；</w:t>
      </w:r>
    </w:p>
    <w:p>
      <w:pPr>
        <w:pStyle w:val="18"/>
        <w:numPr>
          <w:ilvl w:val="0"/>
          <w:numId w:val="0"/>
        </w:numPr>
        <w:spacing w:line="360" w:lineRule="auto"/>
        <w:ind w:firstLine="480" w:firstLineChars="200"/>
        <w:outlineLvl w:val="9"/>
        <w:rPr>
          <w:rFonts w:hint="default" w:ascii="仿宋" w:hAnsi="仿宋" w:eastAsia="仿宋" w:cs="仿宋"/>
          <w:b w:val="0"/>
          <w:bCs/>
          <w:color w:val="auto"/>
          <w:highlight w:val="none"/>
          <w:u w:val="none"/>
          <w:lang w:val="en-US" w:eastAsia="zh-CN"/>
        </w:rPr>
      </w:pPr>
      <w:r>
        <w:rPr>
          <w:rFonts w:hint="eastAsia" w:ascii="仿宋" w:hAnsi="仿宋" w:eastAsia="仿宋" w:cs="仿宋"/>
          <w:b w:val="0"/>
          <w:bCs/>
          <w:color w:val="auto"/>
          <w:highlight w:val="none"/>
          <w:lang w:val="en-US" w:eastAsia="zh-CN"/>
        </w:rPr>
        <w:t>2.交货期：接采购人通知后 72 小时内送至指定位置；</w:t>
      </w:r>
    </w:p>
    <w:p>
      <w:pPr>
        <w:pStyle w:val="18"/>
        <w:numPr>
          <w:ilvl w:val="0"/>
          <w:numId w:val="2"/>
        </w:numPr>
        <w:spacing w:line="360" w:lineRule="auto"/>
        <w:outlineLvl w:val="1"/>
        <w:rPr>
          <w:rFonts w:hint="default" w:ascii="仿宋" w:hAnsi="仿宋" w:eastAsia="仿宋" w:cs="仿宋"/>
          <w:b/>
          <w:color w:val="auto"/>
          <w:highlight w:val="none"/>
          <w:lang w:val="en-US"/>
        </w:rPr>
      </w:pPr>
      <w:bookmarkStart w:id="63" w:name="_Toc8595"/>
      <w:r>
        <w:rPr>
          <w:rFonts w:hint="eastAsia" w:ascii="仿宋" w:hAnsi="仿宋" w:eastAsia="仿宋" w:cs="仿宋"/>
          <w:b/>
          <w:color w:val="auto"/>
          <w:highlight w:val="none"/>
          <w:lang w:val="en-US" w:eastAsia="zh-CN"/>
        </w:rPr>
        <w:t xml:space="preserve"> </w:t>
      </w:r>
      <w:bookmarkStart w:id="64" w:name="_Toc18347"/>
      <w:bookmarkStart w:id="65" w:name="_Toc2774"/>
      <w:r>
        <w:rPr>
          <w:rFonts w:hint="eastAsia" w:ascii="仿宋" w:hAnsi="仿宋" w:eastAsia="仿宋" w:cs="仿宋"/>
          <w:b/>
          <w:color w:val="auto"/>
          <w:highlight w:val="none"/>
        </w:rPr>
        <w:t>质</w:t>
      </w:r>
      <w:bookmarkEnd w:id="63"/>
      <w:bookmarkEnd w:id="64"/>
      <w:bookmarkEnd w:id="65"/>
      <w:r>
        <w:rPr>
          <w:rFonts w:hint="eastAsia" w:ascii="仿宋" w:hAnsi="仿宋" w:eastAsia="仿宋" w:cs="仿宋"/>
          <w:b/>
          <w:color w:val="auto"/>
          <w:highlight w:val="none"/>
          <w:lang w:val="en-US" w:eastAsia="zh-CN"/>
        </w:rPr>
        <w:t>量保证</w:t>
      </w:r>
    </w:p>
    <w:p>
      <w:pPr>
        <w:pStyle w:val="10"/>
        <w:tabs>
          <w:tab w:val="center" w:pos="4140"/>
          <w:tab w:val="right" w:pos="8300"/>
          <w:tab w:val="clear" w:pos="4153"/>
          <w:tab w:val="clear" w:pos="8306"/>
        </w:tabs>
        <w:spacing w:line="360" w:lineRule="auto"/>
        <w:ind w:firstLine="480" w:firstLineChars="200"/>
        <w:rPr>
          <w:rFonts w:ascii="仿宋" w:hAnsi="仿宋" w:eastAsia="仿宋" w:cs="仿宋"/>
          <w:sz w:val="24"/>
        </w:rPr>
      </w:pPr>
      <w:bookmarkStart w:id="66" w:name="_Toc26000"/>
      <w:bookmarkStart w:id="67" w:name="_Toc5147"/>
      <w:bookmarkStart w:id="68" w:name="_Toc23635"/>
      <w:r>
        <w:rPr>
          <w:rFonts w:hint="eastAsia" w:ascii="仿宋" w:hAnsi="仿宋" w:eastAsia="仿宋" w:cs="仿宋"/>
          <w:sz w:val="24"/>
          <w:lang w:val="en-US" w:eastAsia="zh-CN"/>
        </w:rPr>
        <w:t>1.</w:t>
      </w:r>
      <w:r>
        <w:rPr>
          <w:rFonts w:hint="eastAsia" w:ascii="仿宋" w:hAnsi="仿宋" w:eastAsia="仿宋" w:cs="仿宋"/>
          <w:sz w:val="24"/>
        </w:rPr>
        <w:t>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10"/>
        <w:tabs>
          <w:tab w:val="center" w:pos="4140"/>
          <w:tab w:val="right" w:pos="8300"/>
          <w:tab w:val="clear" w:pos="4153"/>
          <w:tab w:val="clear" w:pos="8306"/>
        </w:tabs>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pPr>
        <w:pStyle w:val="10"/>
        <w:tabs>
          <w:tab w:val="center" w:pos="4140"/>
          <w:tab w:val="right" w:pos="8300"/>
          <w:tab w:val="clear" w:pos="4153"/>
          <w:tab w:val="clear" w:pos="8306"/>
        </w:tabs>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lang w:eastAsia="zh-CN"/>
        </w:rPr>
        <w:t>疫苗有效期：到达指定收货单位算起不得少于</w:t>
      </w:r>
      <w:r>
        <w:rPr>
          <w:rFonts w:hint="eastAsia" w:ascii="仿宋" w:hAnsi="仿宋" w:eastAsia="仿宋" w:cs="仿宋"/>
          <w:sz w:val="24"/>
          <w:lang w:val="en-US" w:eastAsia="zh-CN"/>
        </w:rPr>
        <w:t>10</w:t>
      </w:r>
      <w:bookmarkStart w:id="87" w:name="_GoBack"/>
      <w:bookmarkEnd w:id="87"/>
      <w:r>
        <w:rPr>
          <w:rFonts w:hint="eastAsia" w:ascii="仿宋" w:hAnsi="仿宋" w:eastAsia="仿宋" w:cs="仿宋"/>
          <w:sz w:val="24"/>
          <w:lang w:eastAsia="zh-CN"/>
        </w:rPr>
        <w:t>个月</w:t>
      </w:r>
    </w:p>
    <w:p>
      <w:pPr>
        <w:pStyle w:val="18"/>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6"/>
      <w:bookmarkEnd w:id="67"/>
      <w:bookmarkEnd w:id="68"/>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pPr>
        <w:pStyle w:val="18"/>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pPr>
        <w:pStyle w:val="18"/>
        <w:spacing w:line="360" w:lineRule="auto"/>
        <w:outlineLvl w:val="1"/>
        <w:rPr>
          <w:rFonts w:hint="default" w:ascii="仿宋" w:hAnsi="仿宋" w:eastAsia="仿宋" w:cs="仿宋"/>
          <w:b/>
          <w:color w:val="auto"/>
          <w:highlight w:val="none"/>
          <w:lang w:val="en-US" w:eastAsia="zh-CN"/>
        </w:rPr>
      </w:pPr>
      <w:bookmarkStart w:id="69" w:name="_Toc18410"/>
      <w:bookmarkStart w:id="70" w:name="_Toc31505"/>
      <w:bookmarkStart w:id="71" w:name="_Toc31476"/>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9"/>
      <w:bookmarkEnd w:id="70"/>
      <w:bookmarkEnd w:id="71"/>
      <w:r>
        <w:rPr>
          <w:rFonts w:hint="eastAsia" w:ascii="仿宋" w:hAnsi="仿宋" w:eastAsia="仿宋" w:cs="仿宋"/>
          <w:b/>
          <w:color w:val="auto"/>
          <w:highlight w:val="none"/>
          <w:lang w:val="en-US" w:eastAsia="zh-CN"/>
        </w:rPr>
        <w:t>及培训</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人员培训：乙方终身免费为甲方培训设备使用人员，培训内容包括：设备操作、维护、简单维修等。</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4.</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pPr>
        <w:pStyle w:val="18"/>
        <w:spacing w:line="360" w:lineRule="auto"/>
        <w:outlineLvl w:val="1"/>
        <w:rPr>
          <w:rFonts w:hint="eastAsia" w:ascii="仿宋" w:hAnsi="仿宋" w:eastAsia="仿宋" w:cs="仿宋"/>
          <w:b/>
          <w:color w:val="auto"/>
          <w:highlight w:val="none"/>
        </w:rPr>
      </w:pPr>
      <w:bookmarkStart w:id="72" w:name="_Toc3919"/>
      <w:bookmarkStart w:id="73" w:name="_Toc3711"/>
      <w:bookmarkStart w:id="74" w:name="_Toc28698"/>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2"/>
      <w:bookmarkEnd w:id="73"/>
      <w:bookmarkEnd w:id="74"/>
    </w:p>
    <w:p>
      <w:pPr>
        <w:pStyle w:val="18"/>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pPr>
        <w:pStyle w:val="18"/>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pPr>
        <w:widowControl/>
        <w:spacing w:line="360" w:lineRule="auto"/>
        <w:jc w:val="left"/>
        <w:outlineLvl w:val="1"/>
        <w:rPr>
          <w:rFonts w:hint="eastAsia" w:ascii="仿宋" w:hAnsi="仿宋" w:eastAsia="仿宋" w:cs="仿宋"/>
          <w:color w:val="auto"/>
          <w:kern w:val="0"/>
          <w:sz w:val="24"/>
          <w:szCs w:val="24"/>
          <w:highlight w:val="none"/>
        </w:rPr>
      </w:pPr>
      <w:bookmarkStart w:id="75" w:name="_Toc17126"/>
      <w:bookmarkStart w:id="76" w:name="_Toc13805"/>
      <w:bookmarkStart w:id="77" w:name="_Toc27557"/>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5"/>
      <w:bookmarkEnd w:id="76"/>
      <w:bookmarkEnd w:id="77"/>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pPr>
        <w:widowControl/>
        <w:spacing w:line="360" w:lineRule="auto"/>
        <w:jc w:val="left"/>
        <w:outlineLvl w:val="1"/>
        <w:rPr>
          <w:rFonts w:hint="eastAsia" w:ascii="仿宋" w:hAnsi="仿宋" w:eastAsia="仿宋" w:cs="仿宋"/>
          <w:b/>
          <w:color w:val="auto"/>
          <w:kern w:val="0"/>
          <w:sz w:val="24"/>
          <w:szCs w:val="24"/>
          <w:highlight w:val="none"/>
        </w:rPr>
      </w:pPr>
      <w:bookmarkStart w:id="78" w:name="_Toc13338"/>
      <w:bookmarkStart w:id="79" w:name="_Toc16869"/>
      <w:bookmarkStart w:id="80" w:name="_Toc29986"/>
      <w:r>
        <w:rPr>
          <w:rFonts w:hint="eastAsia" w:ascii="仿宋" w:hAnsi="仿宋" w:eastAsia="仿宋" w:cs="仿宋"/>
          <w:b/>
          <w:color w:val="auto"/>
          <w:kern w:val="0"/>
          <w:sz w:val="24"/>
          <w:szCs w:val="24"/>
          <w:highlight w:val="none"/>
        </w:rPr>
        <w:t>第十条 争议的解决</w:t>
      </w:r>
      <w:bookmarkEnd w:id="78"/>
      <w:bookmarkEnd w:id="79"/>
      <w:bookmarkEnd w:id="80"/>
    </w:p>
    <w:p>
      <w:pPr>
        <w:pStyle w:val="1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pPr>
        <w:pStyle w:val="18"/>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pPr>
        <w:pStyle w:val="18"/>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pPr>
        <w:snapToGrid w:val="0"/>
        <w:spacing w:line="360" w:lineRule="auto"/>
        <w:textAlignment w:val="baseline"/>
        <w:outlineLvl w:val="1"/>
        <w:rPr>
          <w:rFonts w:hint="eastAsia" w:ascii="仿宋" w:hAnsi="仿宋" w:eastAsia="仿宋" w:cs="仿宋"/>
          <w:b/>
          <w:color w:val="auto"/>
          <w:sz w:val="24"/>
          <w:szCs w:val="24"/>
          <w:highlight w:val="none"/>
        </w:rPr>
      </w:pPr>
      <w:bookmarkStart w:id="81" w:name="_Toc6911"/>
      <w:bookmarkStart w:id="82" w:name="_Toc24039"/>
      <w:bookmarkStart w:id="83" w:name="_Toc26051"/>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1"/>
      <w:bookmarkEnd w:id="82"/>
      <w:bookmarkEnd w:id="83"/>
    </w:p>
    <w:p>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pPr>
        <w:snapToGrid w:val="0"/>
        <w:spacing w:line="360" w:lineRule="auto"/>
        <w:outlineLvl w:val="1"/>
        <w:rPr>
          <w:rFonts w:hint="eastAsia" w:ascii="仿宋" w:hAnsi="仿宋" w:eastAsia="仿宋" w:cs="仿宋"/>
          <w:b/>
          <w:color w:val="auto"/>
          <w:kern w:val="0"/>
          <w:sz w:val="24"/>
          <w:szCs w:val="24"/>
          <w:highlight w:val="none"/>
        </w:rPr>
      </w:pPr>
      <w:bookmarkStart w:id="84" w:name="_Toc13842"/>
      <w:bookmarkStart w:id="85" w:name="_Toc1382"/>
      <w:bookmarkStart w:id="86" w:name="_Toc3234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4"/>
      <w:bookmarkEnd w:id="85"/>
      <w:bookmarkEnd w:id="86"/>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3.本合同一式___份，具有同等法律效力，甲乙双方各执____份。</w:t>
      </w:r>
    </w:p>
    <w:p>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pPr>
        <w:pStyle w:val="17"/>
        <w:rPr>
          <w:rFonts w:hint="default"/>
        </w:rPr>
      </w:pPr>
    </w:p>
    <w:p>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embedRegular r:id="rId1" w:fontKey="{D4D1F6BB-B667-4A5B-BB3F-73E9EA253E42}"/>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embedRegular r:id="rId2" w:fontKey="{C53687BE-9CDF-4277-8E0D-FDEE65A045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FC741"/>
    <w:multiLevelType w:val="singleLevel"/>
    <w:tmpl w:val="028FC741"/>
    <w:lvl w:ilvl="0" w:tentative="0">
      <w:start w:val="4"/>
      <w:numFmt w:val="chineseCounting"/>
      <w:suff w:val="space"/>
      <w:lvlText w:val="第%1条"/>
      <w:lvlJc w:val="left"/>
      <w:rPr>
        <w:rFonts w:hint="eastAsia"/>
      </w:rPr>
    </w:lvl>
  </w:abstractNum>
  <w:abstractNum w:abstractNumId="1">
    <w:nsid w:val="23484E31"/>
    <w:multiLevelType w:val="singleLevel"/>
    <w:tmpl w:val="23484E31"/>
    <w:lvl w:ilvl="0" w:tentative="0">
      <w:start w:val="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68F7ECF"/>
    <w:rsid w:val="18F16A49"/>
    <w:rsid w:val="198A5383"/>
    <w:rsid w:val="1D6152DA"/>
    <w:rsid w:val="1F014874"/>
    <w:rsid w:val="238D1AB4"/>
    <w:rsid w:val="263317DE"/>
    <w:rsid w:val="2D12265A"/>
    <w:rsid w:val="2E6C62EF"/>
    <w:rsid w:val="34F15410"/>
    <w:rsid w:val="394147CF"/>
    <w:rsid w:val="3DD87915"/>
    <w:rsid w:val="3E9B66F1"/>
    <w:rsid w:val="40D62EEC"/>
    <w:rsid w:val="4C300944"/>
    <w:rsid w:val="4C520100"/>
    <w:rsid w:val="537533F8"/>
    <w:rsid w:val="5B2C0E5C"/>
    <w:rsid w:val="5CA97B29"/>
    <w:rsid w:val="63B079EF"/>
    <w:rsid w:val="64FC2EBF"/>
    <w:rsid w:val="66F916AD"/>
    <w:rsid w:val="6CCD0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9"/>
    <w:pPr>
      <w:spacing w:line="360" w:lineRule="auto"/>
      <w:jc w:val="center"/>
      <w:outlineLvl w:val="0"/>
    </w:pPr>
    <w:rPr>
      <w:rFonts w:ascii="方正小标宋_GBK" w:hAnsi="仿宋" w:eastAsia="方正小标宋_GBK"/>
      <w:sz w:val="44"/>
      <w:szCs w:val="44"/>
    </w:rPr>
  </w:style>
  <w:style w:type="paragraph" w:styleId="5">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rPr>
      <w:b/>
      <w:color w:val="000000"/>
      <w:kern w:val="0"/>
      <w:sz w:val="24"/>
      <w:szCs w:val="24"/>
    </w:rPr>
  </w:style>
  <w:style w:type="paragraph" w:styleId="3">
    <w:name w:val="envelope return"/>
    <w:basedOn w:val="1"/>
    <w:qFormat/>
    <w:uiPriority w:val="0"/>
    <w:pPr>
      <w:snapToGrid w:val="0"/>
    </w:pPr>
    <w:rPr>
      <w:rFonts w:ascii="Arial" w:hAnsi="Arial"/>
    </w:rPr>
  </w:style>
  <w:style w:type="paragraph" w:styleId="6">
    <w:name w:val="Normal Indent"/>
    <w:basedOn w:val="1"/>
    <w:next w:val="1"/>
    <w:qFormat/>
    <w:uiPriority w:val="0"/>
    <w:pPr>
      <w:adjustRightInd w:val="0"/>
      <w:spacing w:line="312" w:lineRule="atLeast"/>
      <w:ind w:firstLine="420"/>
      <w:textAlignment w:val="baseline"/>
    </w:pPr>
    <w:rPr>
      <w:rFonts w:ascii="宋体"/>
      <w:kern w:val="0"/>
    </w:rPr>
  </w:style>
  <w:style w:type="paragraph" w:styleId="7">
    <w:name w:val="Body Text"/>
    <w:basedOn w:val="1"/>
    <w:next w:val="1"/>
    <w:autoRedefine/>
    <w:unhideWhenUsed/>
    <w:qFormat/>
    <w:uiPriority w:val="99"/>
    <w:pPr>
      <w:spacing w:after="120"/>
    </w:pPr>
  </w:style>
  <w:style w:type="paragraph" w:styleId="8">
    <w:name w:val="Block Text"/>
    <w:basedOn w:val="1"/>
    <w:next w:val="9"/>
    <w:autoRedefine/>
    <w:qFormat/>
    <w:uiPriority w:val="0"/>
    <w:pPr>
      <w:spacing w:after="120"/>
      <w:ind w:left="1440" w:leftChars="700" w:right="700" w:rightChars="700"/>
    </w:pPr>
  </w:style>
  <w:style w:type="paragraph" w:styleId="9">
    <w:name w:val="Plain Text"/>
    <w:basedOn w:val="1"/>
    <w:next w:val="1"/>
    <w:autoRedefine/>
    <w:qFormat/>
    <w:uiPriority w:val="0"/>
    <w:rPr>
      <w:rFonts w:ascii="宋体" w:hAnsi="宋体"/>
      <w:szCs w:val="21"/>
    </w:rPr>
  </w:style>
  <w:style w:type="paragraph" w:styleId="10">
    <w:name w:val="footer"/>
    <w:basedOn w:val="1"/>
    <w:qFormat/>
    <w:uiPriority w:val="0"/>
    <w:pPr>
      <w:tabs>
        <w:tab w:val="center" w:pos="4153"/>
        <w:tab w:val="right" w:pos="8306"/>
      </w:tabs>
    </w:pPr>
    <w:rPr>
      <w:sz w:val="18"/>
    </w:rPr>
  </w:style>
  <w:style w:type="paragraph" w:styleId="11">
    <w:name w:val="toc 1"/>
    <w:basedOn w:val="1"/>
    <w:next w:val="1"/>
    <w:autoRedefine/>
    <w:qFormat/>
    <w:uiPriority w:val="0"/>
  </w:style>
  <w:style w:type="character" w:styleId="14">
    <w:name w:val="Strong"/>
    <w:basedOn w:val="13"/>
    <w:qFormat/>
    <w:uiPriority w:val="22"/>
    <w:rPr>
      <w:b/>
      <w:bCs/>
    </w:rPr>
  </w:style>
  <w:style w:type="paragraph" w:customStyle="1" w:styleId="15">
    <w:name w:val="_Style 3"/>
    <w:basedOn w:val="4"/>
    <w:next w:val="1"/>
    <w:autoRedefine/>
    <w:qFormat/>
    <w:uiPriority w:val="0"/>
    <w:pPr>
      <w:keepLines w:val="0"/>
      <w:widowControl/>
      <w:spacing w:after="0" w:line="256" w:lineRule="auto"/>
      <w:jc w:val="left"/>
    </w:pPr>
    <w:rPr>
      <w:rFonts w:ascii="Calibri Light" w:hAnsi="Calibri Light" w:eastAsia="宋体"/>
      <w:color w:val="2E74B5"/>
      <w:kern w:val="0"/>
      <w:sz w:val="32"/>
      <w:szCs w:val="32"/>
    </w:rPr>
  </w:style>
  <w:style w:type="paragraph" w:customStyle="1" w:styleId="16">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7">
    <w:name w:val="null3"/>
    <w:autoRedefine/>
    <w:qFormat/>
    <w:uiPriority w:val="0"/>
    <w:rPr>
      <w:rFonts w:hint="eastAsia" w:ascii="Calibri" w:hAnsi="Calibri" w:eastAsia="宋体" w:cs="Times New Roman"/>
      <w:lang w:val="en-US" w:eastAsia="zh-Hans"/>
    </w:rPr>
  </w:style>
  <w:style w:type="paragraph" w:customStyle="1" w:styleId="18">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9">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2669</Words>
  <Characters>2699</Characters>
  <Lines>0</Lines>
  <Paragraphs>0</Paragraphs>
  <TotalTime>0</TotalTime>
  <ScaleCrop>false</ScaleCrop>
  <LinksUpToDate>false</LinksUpToDate>
  <CharactersWithSpaces>3495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懛鰦</cp:lastModifiedBy>
  <dcterms:modified xsi:type="dcterms:W3CDTF">2025-06-23T06:39:01Z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0909B54BE12242FB8C32DB63AD4498EB_12</vt:lpwstr>
  </property>
  <property fmtid="{D5CDD505-2E9C-101B-9397-08002B2CF9AE}" pid="4" name="KSOTemplateDocerSaveRecord">
    <vt:lpwstr>eyJoZGlkIjoiNDY3YTFjMWFjOWJlNTU4YzMxODY4MTU5ZDkwYjNkMDkifQ==</vt:lpwstr>
  </property>
</Properties>
</file>