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054F5">
      <w:pPr>
        <w:kinsoku w:val="0"/>
        <w:spacing w:line="360" w:lineRule="auto"/>
        <w:jc w:val="center"/>
        <w:rPr>
          <w:rFonts w:hint="eastAsia" w:ascii="仿宋" w:hAnsi="仿宋" w:eastAsia="仿宋" w:cs="仿宋"/>
          <w:sz w:val="32"/>
          <w:szCs w:val="32"/>
        </w:rPr>
      </w:pPr>
      <w:r>
        <w:rPr>
          <w:rFonts w:hint="eastAsia" w:ascii="仿宋" w:hAnsi="仿宋" w:eastAsia="仿宋" w:cs="仿宋"/>
          <w:b/>
          <w:bCs/>
          <w:sz w:val="32"/>
          <w:szCs w:val="32"/>
        </w:rPr>
        <w:t>智能电子控制实训平台项目</w:t>
      </w:r>
      <w:r>
        <w:rPr>
          <w:rFonts w:hint="eastAsia" w:ascii="仿宋" w:hAnsi="仿宋" w:eastAsia="仿宋" w:cs="仿宋"/>
          <w:sz w:val="32"/>
          <w:szCs w:val="32"/>
        </w:rPr>
        <w:t>采购合同</w:t>
      </w:r>
    </w:p>
    <w:p w14:paraId="1F62C38C">
      <w:pPr>
        <w:kinsoku w:val="0"/>
        <w:spacing w:line="360" w:lineRule="auto"/>
        <w:ind w:firstLine="600" w:firstLineChars="250"/>
        <w:rPr>
          <w:rFonts w:hint="eastAsia" w:ascii="仿宋" w:hAnsi="仿宋" w:eastAsia="仿宋" w:cs="仿宋"/>
          <w:sz w:val="24"/>
        </w:rPr>
      </w:pPr>
    </w:p>
    <w:p w14:paraId="0C210980">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甲方：陕西铁路工程职业技术学院</w:t>
      </w:r>
    </w:p>
    <w:p w14:paraId="384FA916">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 xml:space="preserve">乙方： </w:t>
      </w:r>
    </w:p>
    <w:p w14:paraId="26183706">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根据《中华人民共和国政府采购法》、《中华人民共和国民法典》、《中华人民共和国政府采购法实施条例》等法律法规，甲方通过公开招标，选定乙方为成交单位。甲、乙双方在平等基础上协商一致，达成如下合同条款:</w:t>
      </w:r>
    </w:p>
    <w:p w14:paraId="38672FE9">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一、</w:t>
      </w:r>
      <w:r>
        <w:rPr>
          <w:rFonts w:hint="eastAsia" w:ascii="仿宋" w:hAnsi="仿宋" w:eastAsia="仿宋" w:cs="仿宋"/>
          <w:b/>
          <w:sz w:val="24"/>
        </w:rPr>
        <w:t>合同内容    项目编号/包号：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52AED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4B9602E9">
            <w:pPr>
              <w:spacing w:line="360" w:lineRule="auto"/>
              <w:jc w:val="center"/>
              <w:rPr>
                <w:rFonts w:hint="eastAsia" w:ascii="仿宋" w:hAnsi="仿宋" w:eastAsia="仿宋" w:cs="仿宋"/>
                <w:b/>
                <w:sz w:val="24"/>
              </w:rPr>
            </w:pPr>
            <w:r>
              <w:rPr>
                <w:rFonts w:hint="eastAsia" w:ascii="仿宋" w:hAnsi="仿宋" w:eastAsia="仿宋" w:cs="仿宋"/>
                <w:b/>
                <w:sz w:val="24"/>
              </w:rPr>
              <w:t>序号</w:t>
            </w:r>
          </w:p>
        </w:tc>
        <w:tc>
          <w:tcPr>
            <w:tcW w:w="1620" w:type="dxa"/>
            <w:vAlign w:val="center"/>
          </w:tcPr>
          <w:p w14:paraId="4FD21462">
            <w:pPr>
              <w:spacing w:line="360" w:lineRule="auto"/>
              <w:jc w:val="center"/>
              <w:rPr>
                <w:rFonts w:hint="eastAsia" w:ascii="仿宋" w:hAnsi="仿宋" w:eastAsia="仿宋" w:cs="仿宋"/>
                <w:b/>
                <w:sz w:val="24"/>
              </w:rPr>
            </w:pPr>
            <w:r>
              <w:rPr>
                <w:rFonts w:hint="eastAsia" w:ascii="仿宋" w:hAnsi="仿宋" w:eastAsia="仿宋" w:cs="仿宋"/>
                <w:b/>
                <w:sz w:val="24"/>
              </w:rPr>
              <w:t>产品名称</w:t>
            </w:r>
          </w:p>
        </w:tc>
        <w:tc>
          <w:tcPr>
            <w:tcW w:w="1260" w:type="dxa"/>
            <w:vAlign w:val="center"/>
          </w:tcPr>
          <w:p w14:paraId="6B8C385B">
            <w:pPr>
              <w:spacing w:line="360" w:lineRule="auto"/>
              <w:jc w:val="center"/>
              <w:rPr>
                <w:rFonts w:hint="eastAsia" w:ascii="仿宋" w:hAnsi="仿宋" w:eastAsia="仿宋" w:cs="仿宋"/>
                <w:b/>
                <w:sz w:val="24"/>
              </w:rPr>
            </w:pPr>
            <w:r>
              <w:rPr>
                <w:rFonts w:hint="eastAsia" w:ascii="仿宋" w:hAnsi="仿宋" w:eastAsia="仿宋" w:cs="仿宋"/>
                <w:b/>
                <w:sz w:val="24"/>
              </w:rPr>
              <w:t>型号</w:t>
            </w:r>
          </w:p>
        </w:tc>
        <w:tc>
          <w:tcPr>
            <w:tcW w:w="900" w:type="dxa"/>
            <w:vAlign w:val="center"/>
          </w:tcPr>
          <w:p w14:paraId="07F75FCC">
            <w:pPr>
              <w:spacing w:line="360" w:lineRule="auto"/>
              <w:jc w:val="center"/>
              <w:rPr>
                <w:rFonts w:hint="eastAsia" w:ascii="仿宋" w:hAnsi="仿宋" w:eastAsia="仿宋" w:cs="仿宋"/>
                <w:b/>
                <w:sz w:val="24"/>
              </w:rPr>
            </w:pPr>
            <w:r>
              <w:rPr>
                <w:rFonts w:hint="eastAsia" w:ascii="仿宋" w:hAnsi="仿宋" w:eastAsia="仿宋" w:cs="仿宋"/>
                <w:b/>
                <w:sz w:val="24"/>
              </w:rPr>
              <w:t>产地</w:t>
            </w:r>
          </w:p>
        </w:tc>
        <w:tc>
          <w:tcPr>
            <w:tcW w:w="900" w:type="dxa"/>
            <w:vAlign w:val="center"/>
          </w:tcPr>
          <w:p w14:paraId="0F93555A">
            <w:pPr>
              <w:spacing w:line="360" w:lineRule="auto"/>
              <w:jc w:val="center"/>
              <w:rPr>
                <w:rFonts w:hint="eastAsia" w:ascii="仿宋" w:hAnsi="仿宋" w:eastAsia="仿宋" w:cs="仿宋"/>
                <w:b/>
                <w:sz w:val="24"/>
              </w:rPr>
            </w:pPr>
            <w:r>
              <w:rPr>
                <w:rFonts w:hint="eastAsia" w:ascii="仿宋" w:hAnsi="仿宋" w:eastAsia="仿宋" w:cs="仿宋"/>
                <w:b/>
                <w:sz w:val="24"/>
              </w:rPr>
              <w:t>数量</w:t>
            </w:r>
          </w:p>
        </w:tc>
        <w:tc>
          <w:tcPr>
            <w:tcW w:w="900" w:type="dxa"/>
            <w:vAlign w:val="center"/>
          </w:tcPr>
          <w:p w14:paraId="43213D74">
            <w:pPr>
              <w:spacing w:line="360" w:lineRule="auto"/>
              <w:jc w:val="center"/>
              <w:rPr>
                <w:rFonts w:hint="eastAsia" w:ascii="仿宋" w:hAnsi="仿宋" w:eastAsia="仿宋" w:cs="仿宋"/>
                <w:b/>
                <w:sz w:val="24"/>
              </w:rPr>
            </w:pPr>
            <w:r>
              <w:rPr>
                <w:rFonts w:hint="eastAsia" w:ascii="仿宋" w:hAnsi="仿宋" w:eastAsia="仿宋" w:cs="仿宋"/>
                <w:b/>
                <w:sz w:val="24"/>
              </w:rPr>
              <w:t>单价</w:t>
            </w:r>
          </w:p>
        </w:tc>
        <w:tc>
          <w:tcPr>
            <w:tcW w:w="894" w:type="dxa"/>
            <w:vAlign w:val="center"/>
          </w:tcPr>
          <w:p w14:paraId="6E66AD3D">
            <w:pPr>
              <w:spacing w:line="360" w:lineRule="auto"/>
              <w:jc w:val="center"/>
              <w:rPr>
                <w:rFonts w:hint="eastAsia" w:ascii="仿宋" w:hAnsi="仿宋" w:eastAsia="仿宋" w:cs="仿宋"/>
                <w:b/>
                <w:sz w:val="24"/>
              </w:rPr>
            </w:pPr>
            <w:r>
              <w:rPr>
                <w:rFonts w:hint="eastAsia" w:ascii="仿宋" w:hAnsi="仿宋" w:eastAsia="仿宋" w:cs="仿宋"/>
                <w:b/>
                <w:sz w:val="24"/>
              </w:rPr>
              <w:t>总价</w:t>
            </w:r>
          </w:p>
        </w:tc>
        <w:tc>
          <w:tcPr>
            <w:tcW w:w="839" w:type="dxa"/>
            <w:vAlign w:val="center"/>
          </w:tcPr>
          <w:p w14:paraId="4D5CEFCA">
            <w:pPr>
              <w:spacing w:line="360" w:lineRule="auto"/>
              <w:jc w:val="center"/>
              <w:rPr>
                <w:rFonts w:hint="eastAsia" w:ascii="仿宋" w:hAnsi="仿宋" w:eastAsia="仿宋" w:cs="仿宋"/>
                <w:b/>
                <w:sz w:val="24"/>
              </w:rPr>
            </w:pPr>
            <w:r>
              <w:rPr>
                <w:rFonts w:hint="eastAsia" w:ascii="仿宋" w:hAnsi="仿宋" w:eastAsia="仿宋" w:cs="仿宋"/>
                <w:b/>
                <w:sz w:val="24"/>
              </w:rPr>
              <w:t>备注</w:t>
            </w:r>
          </w:p>
        </w:tc>
      </w:tr>
      <w:tr w14:paraId="6F106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73B00100">
            <w:pPr>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1</w:t>
            </w:r>
          </w:p>
        </w:tc>
        <w:tc>
          <w:tcPr>
            <w:tcW w:w="1620" w:type="dxa"/>
            <w:vAlign w:val="center"/>
          </w:tcPr>
          <w:p w14:paraId="5E099C1D">
            <w:pPr>
              <w:adjustRightInd w:val="0"/>
              <w:snapToGrid w:val="0"/>
              <w:spacing w:line="360" w:lineRule="auto"/>
              <w:jc w:val="center"/>
              <w:rPr>
                <w:rFonts w:hint="eastAsia" w:ascii="仿宋" w:hAnsi="仿宋" w:eastAsia="仿宋" w:cs="仿宋"/>
                <w:sz w:val="24"/>
              </w:rPr>
            </w:pPr>
          </w:p>
        </w:tc>
        <w:tc>
          <w:tcPr>
            <w:tcW w:w="1260" w:type="dxa"/>
            <w:vAlign w:val="center"/>
          </w:tcPr>
          <w:p w14:paraId="2ADD5A34">
            <w:pPr>
              <w:spacing w:line="360" w:lineRule="auto"/>
              <w:jc w:val="center"/>
              <w:rPr>
                <w:rFonts w:hint="eastAsia" w:ascii="仿宋" w:hAnsi="仿宋" w:eastAsia="仿宋" w:cs="仿宋"/>
                <w:sz w:val="24"/>
              </w:rPr>
            </w:pPr>
          </w:p>
        </w:tc>
        <w:tc>
          <w:tcPr>
            <w:tcW w:w="900" w:type="dxa"/>
            <w:vAlign w:val="center"/>
          </w:tcPr>
          <w:p w14:paraId="29D2117C">
            <w:pPr>
              <w:spacing w:line="360" w:lineRule="auto"/>
              <w:jc w:val="center"/>
              <w:rPr>
                <w:rFonts w:hint="eastAsia" w:ascii="仿宋" w:hAnsi="仿宋" w:eastAsia="仿宋" w:cs="仿宋"/>
                <w:sz w:val="24"/>
              </w:rPr>
            </w:pPr>
          </w:p>
        </w:tc>
        <w:tc>
          <w:tcPr>
            <w:tcW w:w="900" w:type="dxa"/>
            <w:vAlign w:val="center"/>
          </w:tcPr>
          <w:p w14:paraId="05DB7EA4">
            <w:pPr>
              <w:adjustRightInd w:val="0"/>
              <w:snapToGrid w:val="0"/>
              <w:spacing w:line="360" w:lineRule="auto"/>
              <w:jc w:val="center"/>
              <w:rPr>
                <w:rFonts w:hint="eastAsia" w:ascii="仿宋" w:hAnsi="仿宋" w:eastAsia="仿宋" w:cs="仿宋"/>
                <w:sz w:val="24"/>
              </w:rPr>
            </w:pPr>
          </w:p>
        </w:tc>
        <w:tc>
          <w:tcPr>
            <w:tcW w:w="900" w:type="dxa"/>
            <w:vAlign w:val="center"/>
          </w:tcPr>
          <w:p w14:paraId="510F3576">
            <w:pPr>
              <w:autoSpaceDN w:val="0"/>
              <w:spacing w:line="360" w:lineRule="auto"/>
              <w:jc w:val="center"/>
              <w:textAlignment w:val="center"/>
              <w:rPr>
                <w:rFonts w:hint="eastAsia" w:ascii="仿宋" w:hAnsi="仿宋" w:eastAsia="仿宋" w:cs="仿宋"/>
                <w:sz w:val="24"/>
              </w:rPr>
            </w:pPr>
          </w:p>
        </w:tc>
        <w:tc>
          <w:tcPr>
            <w:tcW w:w="894" w:type="dxa"/>
            <w:vAlign w:val="center"/>
          </w:tcPr>
          <w:p w14:paraId="3358AF56">
            <w:pPr>
              <w:autoSpaceDN w:val="0"/>
              <w:spacing w:line="360" w:lineRule="auto"/>
              <w:jc w:val="center"/>
              <w:textAlignment w:val="center"/>
              <w:rPr>
                <w:rFonts w:hint="eastAsia" w:ascii="仿宋" w:hAnsi="仿宋" w:eastAsia="仿宋" w:cs="仿宋"/>
                <w:sz w:val="24"/>
              </w:rPr>
            </w:pPr>
          </w:p>
        </w:tc>
        <w:tc>
          <w:tcPr>
            <w:tcW w:w="839" w:type="dxa"/>
            <w:vAlign w:val="center"/>
          </w:tcPr>
          <w:p w14:paraId="2013E007">
            <w:pPr>
              <w:autoSpaceDN w:val="0"/>
              <w:spacing w:line="360" w:lineRule="auto"/>
              <w:jc w:val="center"/>
              <w:textAlignment w:val="center"/>
              <w:rPr>
                <w:rFonts w:hint="eastAsia" w:ascii="仿宋" w:hAnsi="仿宋" w:eastAsia="仿宋" w:cs="仿宋"/>
                <w:sz w:val="24"/>
              </w:rPr>
            </w:pPr>
          </w:p>
        </w:tc>
      </w:tr>
      <w:tr w14:paraId="646B2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2622F132">
            <w:pPr>
              <w:adjustRightInd w:val="0"/>
              <w:snapToGrid w:val="0"/>
              <w:spacing w:line="360" w:lineRule="auto"/>
              <w:jc w:val="center"/>
              <w:rPr>
                <w:rFonts w:hint="eastAsia" w:ascii="仿宋" w:hAnsi="仿宋" w:eastAsia="仿宋" w:cs="仿宋"/>
                <w:sz w:val="24"/>
              </w:rPr>
            </w:pPr>
          </w:p>
        </w:tc>
        <w:tc>
          <w:tcPr>
            <w:tcW w:w="1620" w:type="dxa"/>
            <w:vAlign w:val="center"/>
          </w:tcPr>
          <w:p w14:paraId="2AB799FD">
            <w:pPr>
              <w:adjustRightInd w:val="0"/>
              <w:snapToGrid w:val="0"/>
              <w:spacing w:line="360" w:lineRule="auto"/>
              <w:jc w:val="center"/>
              <w:rPr>
                <w:rFonts w:hint="eastAsia" w:ascii="仿宋" w:hAnsi="仿宋" w:eastAsia="仿宋" w:cs="仿宋"/>
                <w:sz w:val="24"/>
              </w:rPr>
            </w:pPr>
          </w:p>
        </w:tc>
        <w:tc>
          <w:tcPr>
            <w:tcW w:w="1260" w:type="dxa"/>
            <w:vAlign w:val="center"/>
          </w:tcPr>
          <w:p w14:paraId="0FC943C2">
            <w:pPr>
              <w:spacing w:line="360" w:lineRule="auto"/>
              <w:jc w:val="center"/>
              <w:rPr>
                <w:rFonts w:hint="eastAsia" w:ascii="仿宋" w:hAnsi="仿宋" w:eastAsia="仿宋" w:cs="仿宋"/>
                <w:sz w:val="24"/>
              </w:rPr>
            </w:pPr>
          </w:p>
        </w:tc>
        <w:tc>
          <w:tcPr>
            <w:tcW w:w="900" w:type="dxa"/>
            <w:vAlign w:val="center"/>
          </w:tcPr>
          <w:p w14:paraId="77EE7D86">
            <w:pPr>
              <w:spacing w:line="360" w:lineRule="auto"/>
              <w:jc w:val="center"/>
              <w:rPr>
                <w:rFonts w:hint="eastAsia" w:ascii="仿宋" w:hAnsi="仿宋" w:eastAsia="仿宋" w:cs="仿宋"/>
                <w:sz w:val="24"/>
              </w:rPr>
            </w:pPr>
          </w:p>
        </w:tc>
        <w:tc>
          <w:tcPr>
            <w:tcW w:w="900" w:type="dxa"/>
            <w:vAlign w:val="center"/>
          </w:tcPr>
          <w:p w14:paraId="14F06BB6">
            <w:pPr>
              <w:adjustRightInd w:val="0"/>
              <w:snapToGrid w:val="0"/>
              <w:spacing w:line="360" w:lineRule="auto"/>
              <w:jc w:val="center"/>
              <w:rPr>
                <w:rFonts w:hint="eastAsia" w:ascii="仿宋" w:hAnsi="仿宋" w:eastAsia="仿宋" w:cs="仿宋"/>
                <w:sz w:val="24"/>
              </w:rPr>
            </w:pPr>
          </w:p>
        </w:tc>
        <w:tc>
          <w:tcPr>
            <w:tcW w:w="900" w:type="dxa"/>
            <w:vAlign w:val="center"/>
          </w:tcPr>
          <w:p w14:paraId="4364F262">
            <w:pPr>
              <w:autoSpaceDN w:val="0"/>
              <w:spacing w:line="360" w:lineRule="auto"/>
              <w:jc w:val="center"/>
              <w:textAlignment w:val="center"/>
              <w:rPr>
                <w:rFonts w:hint="eastAsia" w:ascii="仿宋" w:hAnsi="仿宋" w:eastAsia="仿宋" w:cs="仿宋"/>
                <w:sz w:val="24"/>
              </w:rPr>
            </w:pPr>
          </w:p>
        </w:tc>
        <w:tc>
          <w:tcPr>
            <w:tcW w:w="894" w:type="dxa"/>
            <w:vAlign w:val="center"/>
          </w:tcPr>
          <w:p w14:paraId="4C421F1F">
            <w:pPr>
              <w:autoSpaceDN w:val="0"/>
              <w:spacing w:line="360" w:lineRule="auto"/>
              <w:jc w:val="center"/>
              <w:textAlignment w:val="center"/>
              <w:rPr>
                <w:rFonts w:hint="eastAsia" w:ascii="仿宋" w:hAnsi="仿宋" w:eastAsia="仿宋" w:cs="仿宋"/>
                <w:sz w:val="24"/>
              </w:rPr>
            </w:pPr>
          </w:p>
        </w:tc>
        <w:tc>
          <w:tcPr>
            <w:tcW w:w="839" w:type="dxa"/>
            <w:vAlign w:val="center"/>
          </w:tcPr>
          <w:p w14:paraId="7A0281E3">
            <w:pPr>
              <w:autoSpaceDN w:val="0"/>
              <w:spacing w:line="360" w:lineRule="auto"/>
              <w:jc w:val="center"/>
              <w:textAlignment w:val="center"/>
              <w:rPr>
                <w:rFonts w:hint="eastAsia" w:ascii="仿宋" w:hAnsi="仿宋" w:eastAsia="仿宋" w:cs="仿宋"/>
                <w:sz w:val="24"/>
              </w:rPr>
            </w:pPr>
          </w:p>
        </w:tc>
      </w:tr>
      <w:tr w14:paraId="6B2B7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786D984D">
            <w:pPr>
              <w:adjustRightInd w:val="0"/>
              <w:snapToGrid w:val="0"/>
              <w:spacing w:line="360" w:lineRule="auto"/>
              <w:jc w:val="center"/>
              <w:rPr>
                <w:rFonts w:hint="eastAsia" w:ascii="仿宋" w:hAnsi="仿宋" w:eastAsia="仿宋" w:cs="仿宋"/>
                <w:sz w:val="24"/>
              </w:rPr>
            </w:pPr>
          </w:p>
        </w:tc>
        <w:tc>
          <w:tcPr>
            <w:tcW w:w="1620" w:type="dxa"/>
            <w:vAlign w:val="center"/>
          </w:tcPr>
          <w:p w14:paraId="4B44A0AA">
            <w:pPr>
              <w:adjustRightInd w:val="0"/>
              <w:snapToGrid w:val="0"/>
              <w:spacing w:line="360" w:lineRule="auto"/>
              <w:jc w:val="center"/>
              <w:rPr>
                <w:rFonts w:hint="eastAsia" w:ascii="仿宋" w:hAnsi="仿宋" w:eastAsia="仿宋" w:cs="仿宋"/>
                <w:sz w:val="24"/>
              </w:rPr>
            </w:pPr>
          </w:p>
        </w:tc>
        <w:tc>
          <w:tcPr>
            <w:tcW w:w="1260" w:type="dxa"/>
            <w:vAlign w:val="center"/>
          </w:tcPr>
          <w:p w14:paraId="4C54282E">
            <w:pPr>
              <w:spacing w:line="360" w:lineRule="auto"/>
              <w:jc w:val="center"/>
              <w:rPr>
                <w:rFonts w:hint="eastAsia" w:ascii="仿宋" w:hAnsi="仿宋" w:eastAsia="仿宋" w:cs="仿宋"/>
                <w:sz w:val="24"/>
              </w:rPr>
            </w:pPr>
          </w:p>
        </w:tc>
        <w:tc>
          <w:tcPr>
            <w:tcW w:w="900" w:type="dxa"/>
            <w:vAlign w:val="center"/>
          </w:tcPr>
          <w:p w14:paraId="7D556F82">
            <w:pPr>
              <w:spacing w:line="360" w:lineRule="auto"/>
              <w:jc w:val="center"/>
              <w:rPr>
                <w:rFonts w:hint="eastAsia" w:ascii="仿宋" w:hAnsi="仿宋" w:eastAsia="仿宋" w:cs="仿宋"/>
                <w:sz w:val="24"/>
              </w:rPr>
            </w:pPr>
          </w:p>
        </w:tc>
        <w:tc>
          <w:tcPr>
            <w:tcW w:w="900" w:type="dxa"/>
            <w:vAlign w:val="center"/>
          </w:tcPr>
          <w:p w14:paraId="49769839">
            <w:pPr>
              <w:adjustRightInd w:val="0"/>
              <w:snapToGrid w:val="0"/>
              <w:spacing w:line="360" w:lineRule="auto"/>
              <w:jc w:val="center"/>
              <w:rPr>
                <w:rFonts w:hint="eastAsia" w:ascii="仿宋" w:hAnsi="仿宋" w:eastAsia="仿宋" w:cs="仿宋"/>
                <w:sz w:val="24"/>
              </w:rPr>
            </w:pPr>
          </w:p>
        </w:tc>
        <w:tc>
          <w:tcPr>
            <w:tcW w:w="900" w:type="dxa"/>
            <w:vAlign w:val="center"/>
          </w:tcPr>
          <w:p w14:paraId="551EE4E9">
            <w:pPr>
              <w:autoSpaceDN w:val="0"/>
              <w:spacing w:line="360" w:lineRule="auto"/>
              <w:jc w:val="center"/>
              <w:textAlignment w:val="center"/>
              <w:rPr>
                <w:rFonts w:hint="eastAsia" w:ascii="仿宋" w:hAnsi="仿宋" w:eastAsia="仿宋" w:cs="仿宋"/>
                <w:sz w:val="24"/>
              </w:rPr>
            </w:pPr>
          </w:p>
        </w:tc>
        <w:tc>
          <w:tcPr>
            <w:tcW w:w="894" w:type="dxa"/>
            <w:vAlign w:val="center"/>
          </w:tcPr>
          <w:p w14:paraId="652711E7">
            <w:pPr>
              <w:autoSpaceDN w:val="0"/>
              <w:spacing w:line="360" w:lineRule="auto"/>
              <w:jc w:val="center"/>
              <w:textAlignment w:val="center"/>
              <w:rPr>
                <w:rFonts w:hint="eastAsia" w:ascii="仿宋" w:hAnsi="仿宋" w:eastAsia="仿宋" w:cs="仿宋"/>
                <w:sz w:val="24"/>
              </w:rPr>
            </w:pPr>
          </w:p>
        </w:tc>
        <w:tc>
          <w:tcPr>
            <w:tcW w:w="839" w:type="dxa"/>
            <w:vAlign w:val="center"/>
          </w:tcPr>
          <w:p w14:paraId="69181FA5">
            <w:pPr>
              <w:autoSpaceDN w:val="0"/>
              <w:spacing w:line="360" w:lineRule="auto"/>
              <w:jc w:val="center"/>
              <w:textAlignment w:val="center"/>
              <w:rPr>
                <w:rFonts w:hint="eastAsia" w:ascii="仿宋" w:hAnsi="仿宋" w:eastAsia="仿宋" w:cs="仿宋"/>
                <w:sz w:val="24"/>
              </w:rPr>
            </w:pPr>
          </w:p>
        </w:tc>
      </w:tr>
      <w:tr w14:paraId="7FECD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1FE2566D">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rPr>
              <w:t>总计（人民币/元）</w:t>
            </w:r>
          </w:p>
        </w:tc>
        <w:tc>
          <w:tcPr>
            <w:tcW w:w="5693" w:type="dxa"/>
            <w:gridSpan w:val="6"/>
            <w:vAlign w:val="center"/>
          </w:tcPr>
          <w:p w14:paraId="5944C3A9">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       （大写）</w:t>
            </w:r>
          </w:p>
        </w:tc>
      </w:tr>
    </w:tbl>
    <w:p w14:paraId="6312482D">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（参数较多可以附件说明）</w:t>
      </w:r>
    </w:p>
    <w:p w14:paraId="65884CAA">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056B7CB8">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二、合同价格</w:t>
      </w:r>
    </w:p>
    <w:p w14:paraId="46803534">
      <w:pPr>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合同总价：人民币大写：</w:t>
      </w:r>
      <w:r>
        <w:rPr>
          <w:rFonts w:hint="eastAsia" w:ascii="仿宋" w:hAnsi="仿宋" w:eastAsia="仿宋" w:cs="仿宋"/>
          <w:sz w:val="24"/>
          <w:u w:val="single"/>
        </w:rPr>
        <w:t xml:space="preserve">       </w:t>
      </w:r>
      <w:r>
        <w:rPr>
          <w:rFonts w:hint="eastAsia" w:ascii="仿宋" w:hAnsi="仿宋" w:eastAsia="仿宋" w:cs="仿宋"/>
          <w:b/>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p w14:paraId="4E19A450">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总价包括：产品的供应费及所发生的运输费、杂费（含保险）、商检费、搬运费、安装调试费（包括但不限于电源系统改造、布线等费用）、培训费等，包括从产品供应地点到交货地点所包含的一切费用。投标总价不可变更，不受市场价变化的影响，不受实际数量变化的影响。</w:t>
      </w:r>
    </w:p>
    <w:p w14:paraId="56872881">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三、款项支付</w:t>
      </w:r>
    </w:p>
    <w:p w14:paraId="64894EAD">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①设备到场，设备清单核对无误后，达到付款条件起30日内，支付合同总金额的 40.00%。</w:t>
      </w:r>
    </w:p>
    <w:p w14:paraId="70F4A9B1">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②项目验收通过后，乙方出具全额增值税专用发票，达到付款条件起30日内，支付合同总金额的 60.00%。</w:t>
      </w:r>
    </w:p>
    <w:p w14:paraId="42D6A690">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四、完工条件</w:t>
      </w:r>
    </w:p>
    <w:p w14:paraId="7C8E50E3">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1、项目实施地点：设备需送达至采购方指定地址，并卸至指定楼层或安装区域。若涉及多个校区或分批次交货，供应商需按采购方要求分批送达，并分别签署收货单。</w:t>
      </w:r>
    </w:p>
    <w:p w14:paraId="68774EC0">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2、完工日期：自合同签订之日45个日历日内完成供货，并安装调试完毕。</w:t>
      </w:r>
    </w:p>
    <w:p w14:paraId="425D4DD4">
      <w:pPr>
        <w:pStyle w:val="3"/>
        <w:tabs>
          <w:tab w:val="left" w:pos="720"/>
        </w:tabs>
        <w:spacing w:line="360" w:lineRule="auto"/>
        <w:ind w:firstLine="480"/>
        <w:rPr>
          <w:rFonts w:hint="eastAsia" w:ascii="仿宋" w:hAnsi="仿宋" w:eastAsia="仿宋" w:cs="仿宋"/>
          <w:b/>
          <w:sz w:val="24"/>
          <w:lang w:eastAsia="zh-CN"/>
        </w:rPr>
      </w:pPr>
      <w:r>
        <w:rPr>
          <w:rFonts w:hint="eastAsia" w:ascii="仿宋" w:hAnsi="仿宋" w:eastAsia="仿宋" w:cs="仿宋"/>
          <w:b/>
          <w:sz w:val="24"/>
          <w:lang w:eastAsia="zh-CN"/>
        </w:rPr>
        <w:t>五、运输方式：</w:t>
      </w:r>
    </w:p>
    <w:p w14:paraId="6AD07A62">
      <w:pPr>
        <w:spacing w:line="360" w:lineRule="auto"/>
        <w:ind w:firstLine="480" w:firstLineChars="200"/>
        <w:rPr>
          <w:rFonts w:hint="eastAsia" w:ascii="仿宋" w:hAnsi="仿宋" w:eastAsia="仿宋" w:cs="仿宋"/>
          <w:b/>
          <w:sz w:val="24"/>
        </w:rPr>
      </w:pPr>
      <w:r>
        <w:rPr>
          <w:rFonts w:hint="eastAsia" w:ascii="仿宋" w:hAnsi="仿宋" w:eastAsia="仿宋" w:cs="仿宋"/>
          <w:bCs/>
          <w:sz w:val="24"/>
        </w:rPr>
        <w:t>设备需采用专用包装箱，内部填充泡沫或气垫膜，确保运输过程中无磕碰、变形。外包装上需标注“向上”“防潮”“易碎”等标识。包装材料需符合可回收或降解标准，避免过度包装。优先选择公路运输，要求车辆具备防雨、防颠功能；若涉及长途运输，需覆盖防水布并固定设备。运输过程中如发生损坏，供应商需在 48 小时内免费补发或更换。</w:t>
      </w:r>
    </w:p>
    <w:p w14:paraId="51E66E19">
      <w:pPr>
        <w:spacing w:line="360" w:lineRule="auto"/>
        <w:ind w:firstLine="482" w:firstLineChars="200"/>
        <w:rPr>
          <w:rFonts w:hint="eastAsia" w:ascii="仿宋" w:hAnsi="仿宋" w:eastAsia="仿宋" w:cs="仿宋"/>
          <w:sz w:val="24"/>
        </w:rPr>
      </w:pPr>
      <w:r>
        <w:rPr>
          <w:rFonts w:hint="eastAsia" w:ascii="仿宋" w:hAnsi="仿宋" w:eastAsia="仿宋" w:cs="仿宋"/>
          <w:b/>
          <w:sz w:val="24"/>
        </w:rPr>
        <w:t>六、质量保证</w:t>
      </w:r>
    </w:p>
    <w:p w14:paraId="4FD623E3">
      <w:pPr>
        <w:spacing w:line="360" w:lineRule="auto"/>
        <w:ind w:firstLine="480" w:firstLineChars="200"/>
        <w:rPr>
          <w:rFonts w:hint="eastAsia" w:ascii="仿宋" w:hAnsi="仿宋" w:eastAsia="仿宋" w:cs="仿宋"/>
          <w:sz w:val="24"/>
        </w:rPr>
      </w:pPr>
      <w:r>
        <w:rPr>
          <w:rFonts w:hint="eastAsia" w:ascii="仿宋" w:hAnsi="仿宋" w:eastAsia="仿宋" w:cs="仿宋"/>
          <w:sz w:val="24"/>
        </w:rPr>
        <w:t>1、设备整体质保期为通过验收后</w:t>
      </w:r>
      <w:r>
        <w:rPr>
          <w:rFonts w:hint="eastAsia" w:ascii="仿宋" w:hAnsi="仿宋" w:eastAsia="仿宋" w:cs="仿宋"/>
          <w:sz w:val="24"/>
          <w:u w:val="single"/>
        </w:rPr>
        <w:t xml:space="preserve">    </w:t>
      </w:r>
      <w:r>
        <w:rPr>
          <w:rFonts w:hint="eastAsia" w:ascii="仿宋" w:hAnsi="仿宋" w:eastAsia="仿宋" w:cs="仿宋"/>
          <w:sz w:val="24"/>
        </w:rPr>
        <w:t>年内，在软件生命周期内免费升级。质保期内设备需满足JY/T 0406-2019《职业院校实训设备通用技术条件》的性能要求。</w:t>
      </w:r>
    </w:p>
    <w:p w14:paraId="15BEEB1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2、乙方保证所提供的产品质量可靠，进货渠道正常，配置合理，技术性能满足招标文件要求；</w:t>
      </w:r>
    </w:p>
    <w:p w14:paraId="1605E97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689C8AC1">
      <w:pPr>
        <w:adjustRightInd w:val="0"/>
        <w:snapToGrid w:val="0"/>
        <w:spacing w:line="360" w:lineRule="auto"/>
        <w:ind w:firstLine="600" w:firstLineChars="250"/>
        <w:rPr>
          <w:rFonts w:hint="eastAsia" w:ascii="仿宋" w:hAnsi="仿宋" w:eastAsia="仿宋" w:cs="仿宋"/>
          <w:sz w:val="24"/>
        </w:rPr>
      </w:pPr>
      <w:r>
        <w:rPr>
          <w:rFonts w:hint="eastAsia" w:ascii="仿宋" w:hAnsi="仿宋" w:eastAsia="仿宋" w:cs="仿宋"/>
          <w:sz w:val="24"/>
        </w:rPr>
        <w:t>4、产品的质保期为产品</w:t>
      </w:r>
      <w:r>
        <w:rPr>
          <w:rFonts w:hint="eastAsia" w:ascii="仿宋" w:hAnsi="仿宋" w:eastAsia="仿宋" w:cs="仿宋"/>
          <w:sz w:val="24"/>
          <w:u w:val="single"/>
        </w:rPr>
        <w:t xml:space="preserve">   </w:t>
      </w:r>
      <w:r>
        <w:rPr>
          <w:rFonts w:hint="eastAsia" w:ascii="仿宋" w:hAnsi="仿宋" w:eastAsia="仿宋" w:cs="仿宋"/>
          <w:sz w:val="24"/>
        </w:rPr>
        <w:t>月质保期内若发生产品质量问题，乙方应立即免费解决；超过质保期的，按照厂家承诺进行。</w:t>
      </w:r>
    </w:p>
    <w:p w14:paraId="54F5D661">
      <w:pPr>
        <w:adjustRightInd w:val="0"/>
        <w:snapToGrid w:val="0"/>
        <w:spacing w:line="360" w:lineRule="auto"/>
        <w:ind w:firstLine="600" w:firstLineChars="250"/>
        <w:rPr>
          <w:rFonts w:hint="eastAsia" w:ascii="仿宋" w:hAnsi="仿宋" w:eastAsia="仿宋" w:cs="仿宋"/>
          <w:bCs/>
          <w:sz w:val="24"/>
        </w:rPr>
      </w:pPr>
      <w:r>
        <w:rPr>
          <w:rFonts w:hint="eastAsia" w:ascii="仿宋" w:hAnsi="仿宋" w:eastAsia="仿宋" w:cs="仿宋"/>
          <w:sz w:val="24"/>
        </w:rPr>
        <w:t>5、产品</w:t>
      </w:r>
      <w:r>
        <w:rPr>
          <w:rFonts w:hint="eastAsia" w:ascii="仿宋" w:hAnsi="仿宋" w:eastAsia="仿宋" w:cs="仿宋"/>
          <w:bCs/>
          <w:sz w:val="24"/>
        </w:rPr>
        <w:t>性能未达到技术要求的，乙方限期内进行整改；整改仍达不到要求的，甲方有权解除合同，保留依法索赔的权利。</w:t>
      </w:r>
    </w:p>
    <w:p w14:paraId="423F4A32">
      <w:pPr>
        <w:adjustRightInd w:val="0"/>
        <w:snapToGrid w:val="0"/>
        <w:spacing w:line="360" w:lineRule="auto"/>
        <w:ind w:firstLine="600" w:firstLineChars="250"/>
        <w:rPr>
          <w:rFonts w:hint="eastAsia" w:ascii="仿宋" w:hAnsi="仿宋" w:eastAsia="仿宋" w:cs="仿宋"/>
          <w:sz w:val="24"/>
        </w:rPr>
      </w:pPr>
      <w:r>
        <w:rPr>
          <w:rFonts w:hint="eastAsia" w:ascii="仿宋" w:hAnsi="仿宋" w:eastAsia="仿宋" w:cs="仿宋"/>
          <w:bCs/>
          <w:sz w:val="24"/>
        </w:rPr>
        <w:t>6、</w:t>
      </w:r>
      <w:r>
        <w:rPr>
          <w:rFonts w:hint="eastAsia" w:ascii="仿宋" w:hAnsi="仿宋" w:eastAsia="仿宋" w:cs="仿宋"/>
          <w:sz w:val="24"/>
        </w:rPr>
        <w:t>知识产权：即乙方应保证甲方在使用成交货物时，不承担任何涉及知识产权法律诉讼的责任。</w:t>
      </w:r>
    </w:p>
    <w:p w14:paraId="7890E29B">
      <w:pPr>
        <w:adjustRightInd w:val="0"/>
        <w:snapToGrid w:val="0"/>
        <w:spacing w:line="360" w:lineRule="auto"/>
        <w:ind w:firstLine="600" w:firstLineChars="250"/>
        <w:rPr>
          <w:rFonts w:hint="eastAsia" w:ascii="仿宋" w:hAnsi="仿宋" w:eastAsia="仿宋" w:cs="仿宋"/>
        </w:rPr>
      </w:pPr>
      <w:r>
        <w:rPr>
          <w:rFonts w:hint="eastAsia" w:ascii="仿宋" w:hAnsi="仿宋" w:eastAsia="仿宋" w:cs="仿宋"/>
          <w:sz w:val="24"/>
        </w:rPr>
        <w:t>7、需执行的国家相关标准、行业标准、地方标准或者其他标准、规范：产品功能、性能等项目的检测应按相应的现行国家产品标准进行；供需双方有特殊要求的产品，可按合同规定或设计要求进行。</w:t>
      </w:r>
    </w:p>
    <w:p w14:paraId="75F3DBA7">
      <w:pPr>
        <w:adjustRightInd w:val="0"/>
        <w:snapToGrid w:val="0"/>
        <w:spacing w:line="360" w:lineRule="auto"/>
        <w:ind w:firstLine="359" w:firstLineChars="149"/>
        <w:rPr>
          <w:rFonts w:hint="eastAsia" w:ascii="仿宋" w:hAnsi="仿宋" w:eastAsia="仿宋" w:cs="仿宋"/>
          <w:b/>
          <w:sz w:val="24"/>
        </w:rPr>
      </w:pPr>
      <w:r>
        <w:rPr>
          <w:rFonts w:hint="eastAsia" w:ascii="仿宋" w:hAnsi="仿宋" w:eastAsia="仿宋" w:cs="仿宋"/>
          <w:b/>
          <w:sz w:val="24"/>
        </w:rPr>
        <w:t>七、安装、调试及技术服务</w:t>
      </w:r>
    </w:p>
    <w:p w14:paraId="287238F5">
      <w:pPr>
        <w:spacing w:line="360" w:lineRule="auto"/>
        <w:ind w:firstLine="496" w:firstLineChars="207"/>
        <w:rPr>
          <w:rFonts w:hint="eastAsia" w:ascii="仿宋" w:hAnsi="仿宋" w:eastAsia="仿宋" w:cs="仿宋"/>
          <w:sz w:val="24"/>
        </w:rPr>
      </w:pPr>
      <w:r>
        <w:rPr>
          <w:rFonts w:hint="eastAsia" w:ascii="仿宋" w:hAnsi="仿宋" w:eastAsia="仿宋" w:cs="仿宋"/>
          <w:sz w:val="24"/>
        </w:rPr>
        <w:t>1、技术资料包括：出厂检测报告、产品使用说明书、合格证等其它相关资料。</w:t>
      </w:r>
    </w:p>
    <w:p w14:paraId="6ECE4C06">
      <w:pPr>
        <w:spacing w:line="360" w:lineRule="auto"/>
        <w:ind w:firstLine="480" w:firstLineChars="200"/>
        <w:rPr>
          <w:rFonts w:hint="eastAsia" w:ascii="仿宋" w:hAnsi="仿宋" w:eastAsia="仿宋" w:cs="仿宋"/>
          <w:sz w:val="24"/>
        </w:rPr>
      </w:pPr>
      <w:r>
        <w:rPr>
          <w:rFonts w:hint="eastAsia" w:ascii="仿宋" w:hAnsi="仿宋" w:eastAsia="仿宋" w:cs="仿宋"/>
          <w:sz w:val="24"/>
        </w:rPr>
        <w:t>2、在质保期内（保修起始日为货到验收合格之日起），服务内响应时间8小时内达到客户现场、24小时解决故障。</w:t>
      </w:r>
    </w:p>
    <w:p w14:paraId="49F74997">
      <w:pPr>
        <w:spacing w:line="360" w:lineRule="auto"/>
        <w:ind w:firstLine="480" w:firstLineChars="200"/>
        <w:rPr>
          <w:rFonts w:hint="eastAsia" w:ascii="仿宋" w:hAnsi="仿宋" w:eastAsia="仿宋" w:cs="仿宋"/>
          <w:sz w:val="24"/>
        </w:rPr>
      </w:pPr>
      <w:r>
        <w:rPr>
          <w:rFonts w:hint="eastAsia" w:ascii="仿宋" w:hAnsi="仿宋" w:eastAsia="仿宋" w:cs="仿宋"/>
          <w:sz w:val="24"/>
        </w:rPr>
        <w:t>3、乙方保证产品完全按招标要求提供，若达不到要求，乙方须及时跟甲方沟通协商更换产品，并按照再次验收合格时间相应延长该产品保修期。</w:t>
      </w:r>
    </w:p>
    <w:p w14:paraId="55CA7771">
      <w:pPr>
        <w:spacing w:line="360" w:lineRule="auto"/>
        <w:ind w:firstLine="480" w:firstLineChars="200"/>
        <w:rPr>
          <w:rFonts w:hint="eastAsia" w:ascii="仿宋" w:hAnsi="仿宋" w:eastAsia="仿宋" w:cs="仿宋"/>
          <w:sz w:val="24"/>
        </w:rPr>
      </w:pPr>
      <w:r>
        <w:rPr>
          <w:rFonts w:hint="eastAsia" w:ascii="仿宋" w:hAnsi="仿宋" w:eastAsia="仿宋" w:cs="仿宋"/>
          <w:sz w:val="24"/>
        </w:rPr>
        <w:t>4、技术培训</w:t>
      </w:r>
    </w:p>
    <w:p w14:paraId="0A8CB762">
      <w:pPr>
        <w:spacing w:line="360" w:lineRule="auto"/>
        <w:ind w:firstLine="600" w:firstLineChars="250"/>
        <w:rPr>
          <w:rFonts w:hint="eastAsia" w:ascii="仿宋" w:hAnsi="仿宋" w:eastAsia="仿宋" w:cs="仿宋"/>
          <w:sz w:val="24"/>
        </w:rPr>
      </w:pPr>
      <w:r>
        <w:rPr>
          <w:rFonts w:hint="eastAsia" w:ascii="仿宋" w:hAnsi="仿宋" w:eastAsia="仿宋" w:cs="仿宋"/>
          <w:sz w:val="24"/>
        </w:rPr>
        <w:t>1）内容：包括产品原理、使用操作、保养维修技术等，使受训人员达到独立使用、熟练操作的程度。</w:t>
      </w:r>
    </w:p>
    <w:p w14:paraId="1D46F258">
      <w:pPr>
        <w:spacing w:line="360" w:lineRule="auto"/>
        <w:ind w:firstLine="600" w:firstLineChars="250"/>
        <w:rPr>
          <w:rFonts w:hint="eastAsia" w:ascii="仿宋" w:hAnsi="仿宋" w:eastAsia="仿宋" w:cs="仿宋"/>
          <w:sz w:val="24"/>
        </w:rPr>
      </w:pPr>
      <w:r>
        <w:rPr>
          <w:rFonts w:hint="eastAsia" w:ascii="仿宋" w:hAnsi="仿宋" w:eastAsia="仿宋" w:cs="仿宋"/>
          <w:sz w:val="24"/>
        </w:rPr>
        <w:t>2）培训准备：每台仪</w:t>
      </w:r>
      <w:bookmarkStart w:id="0" w:name="_GoBack"/>
      <w:bookmarkEnd w:id="0"/>
      <w:r>
        <w:rPr>
          <w:rFonts w:hint="eastAsia" w:ascii="仿宋" w:hAnsi="仿宋" w:eastAsia="仿宋" w:cs="仿宋"/>
          <w:sz w:val="24"/>
        </w:rPr>
        <w:t>器培训主要操作人员2-3人。</w:t>
      </w:r>
    </w:p>
    <w:p w14:paraId="3E2E5797">
      <w:pPr>
        <w:spacing w:line="360" w:lineRule="auto"/>
        <w:ind w:firstLine="600" w:firstLineChars="250"/>
        <w:rPr>
          <w:rFonts w:hint="eastAsia" w:ascii="仿宋" w:hAnsi="仿宋" w:eastAsia="仿宋" w:cs="仿宋"/>
          <w:sz w:val="24"/>
        </w:rPr>
      </w:pPr>
      <w:r>
        <w:rPr>
          <w:rFonts w:hint="eastAsia" w:ascii="仿宋" w:hAnsi="仿宋" w:eastAsia="仿宋" w:cs="仿宋"/>
          <w:sz w:val="24"/>
        </w:rPr>
        <w:t>3）地点：仪器安装地点（陕西铁路工程职业技术学院）</w:t>
      </w:r>
    </w:p>
    <w:p w14:paraId="17AF0BBA">
      <w:pPr>
        <w:spacing w:line="360" w:lineRule="auto"/>
        <w:ind w:firstLine="600" w:firstLineChars="250"/>
        <w:rPr>
          <w:rFonts w:hint="eastAsia" w:ascii="仿宋" w:hAnsi="仿宋" w:eastAsia="仿宋" w:cs="仿宋"/>
          <w:sz w:val="24"/>
        </w:rPr>
      </w:pPr>
      <w:r>
        <w:rPr>
          <w:rFonts w:hint="eastAsia" w:ascii="仿宋" w:hAnsi="仿宋" w:eastAsia="仿宋" w:cs="仿宋"/>
          <w:sz w:val="24"/>
        </w:rPr>
        <w:t>4）时间：在收到甲方通知后一周内安排。</w:t>
      </w:r>
    </w:p>
    <w:p w14:paraId="3FDA2DF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5、服务承诺：按投标文件中的服务承诺执行。</w:t>
      </w:r>
    </w:p>
    <w:p w14:paraId="499586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6、安装调试过程中出现的安全责任问题由乙方全权负责。</w:t>
      </w:r>
    </w:p>
    <w:p w14:paraId="6A60F4DE">
      <w:pPr>
        <w:tabs>
          <w:tab w:val="left" w:pos="5355"/>
        </w:tabs>
        <w:spacing w:line="360" w:lineRule="auto"/>
        <w:ind w:firstLine="506" w:firstLineChars="210"/>
        <w:rPr>
          <w:rFonts w:hint="eastAsia" w:ascii="仿宋" w:hAnsi="仿宋" w:eastAsia="仿宋" w:cs="仿宋"/>
          <w:b/>
          <w:sz w:val="24"/>
        </w:rPr>
      </w:pPr>
      <w:r>
        <w:rPr>
          <w:rFonts w:hint="eastAsia" w:ascii="仿宋" w:hAnsi="仿宋" w:eastAsia="仿宋" w:cs="仿宋"/>
          <w:b/>
          <w:sz w:val="24"/>
        </w:rPr>
        <w:t>八、违约责任：</w:t>
      </w:r>
    </w:p>
    <w:p w14:paraId="2578C7FD">
      <w:pPr>
        <w:adjustRightInd w:val="0"/>
        <w:snapToGrid w:val="0"/>
        <w:spacing w:line="360" w:lineRule="auto"/>
        <w:ind w:firstLine="480" w:firstLineChars="200"/>
        <w:rPr>
          <w:rFonts w:hint="eastAsia" w:ascii="仿宋" w:hAnsi="仿宋" w:eastAsia="仿宋" w:cs="仿宋"/>
          <w:color w:val="0000FF"/>
          <w:sz w:val="24"/>
        </w:rPr>
      </w:pPr>
      <w:r>
        <w:rPr>
          <w:rFonts w:hint="eastAsia" w:ascii="仿宋" w:hAnsi="仿宋" w:eastAsia="仿宋" w:cs="仿宋"/>
          <w:sz w:val="24"/>
        </w:rPr>
        <w:t>1、按《中华人民共和国民法典》中合同部分的相关条款执行。</w:t>
      </w:r>
    </w:p>
    <w:p w14:paraId="3A1325F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2、未按合同要求提供产品或产品质量不能满足技术要求，甲方有权终止合同，并保留追究乙方违约责任的权利。</w:t>
      </w:r>
    </w:p>
    <w:p w14:paraId="6045D8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时间迟延的（包括但不限于供货安装调试时间逾期等），违约方按照每天1‰向对方承担违约责任。产品质量问题违约的，除了按照迟延时间计算违约金外，另可以采取退货、换货等方式，由供方承担一切费用。</w:t>
      </w:r>
    </w:p>
    <w:p w14:paraId="32B3E64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4、乙方不得进行债权转让。</w:t>
      </w:r>
    </w:p>
    <w:p w14:paraId="2A338E9F">
      <w:pPr>
        <w:spacing w:line="360" w:lineRule="auto"/>
        <w:ind w:firstLine="532"/>
        <w:rPr>
          <w:rFonts w:hint="eastAsia" w:ascii="仿宋" w:hAnsi="仿宋" w:eastAsia="仿宋" w:cs="仿宋"/>
          <w:b/>
          <w:sz w:val="24"/>
        </w:rPr>
      </w:pPr>
      <w:r>
        <w:rPr>
          <w:rFonts w:hint="eastAsia" w:ascii="仿宋" w:hAnsi="仿宋" w:eastAsia="仿宋" w:cs="仿宋"/>
          <w:b/>
          <w:sz w:val="24"/>
        </w:rPr>
        <w:t>九、产品验收</w:t>
      </w:r>
    </w:p>
    <w:p w14:paraId="79DC97D8">
      <w:pPr>
        <w:spacing w:line="360" w:lineRule="auto"/>
        <w:ind w:firstLine="480" w:firstLineChars="200"/>
        <w:rPr>
          <w:rFonts w:hint="eastAsia" w:ascii="仿宋" w:hAnsi="仿宋" w:eastAsia="仿宋" w:cs="仿宋"/>
          <w:sz w:val="24"/>
        </w:rPr>
      </w:pPr>
      <w:r>
        <w:rPr>
          <w:rFonts w:hint="eastAsia" w:ascii="仿宋" w:hAnsi="仿宋" w:eastAsia="仿宋" w:cs="仿宋"/>
          <w:sz w:val="24"/>
        </w:rPr>
        <w:t>本项目验收需满足国家相关规范要求。</w:t>
      </w:r>
    </w:p>
    <w:p w14:paraId="0894B367">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十、售后服务：</w:t>
      </w:r>
    </w:p>
    <w:p w14:paraId="27D9F8E6">
      <w:pPr>
        <w:spacing w:line="360" w:lineRule="auto"/>
        <w:ind w:firstLine="480" w:firstLineChars="200"/>
        <w:rPr>
          <w:rFonts w:hint="eastAsia" w:ascii="仿宋" w:hAnsi="仿宋" w:eastAsia="仿宋" w:cs="仿宋"/>
          <w:sz w:val="24"/>
        </w:rPr>
      </w:pPr>
      <w:r>
        <w:rPr>
          <w:rFonts w:hint="eastAsia" w:ascii="仿宋" w:hAnsi="仿宋" w:eastAsia="仿宋" w:cs="仿宋"/>
          <w:sz w:val="24"/>
        </w:rPr>
        <w:t>①质保期：</w:t>
      </w:r>
      <w:r>
        <w:rPr>
          <w:rFonts w:hint="eastAsia" w:ascii="仿宋" w:hAnsi="仿宋" w:eastAsia="仿宋" w:cs="仿宋"/>
          <w:sz w:val="24"/>
          <w:u w:val="single"/>
        </w:rPr>
        <w:t xml:space="preserve">     </w:t>
      </w:r>
      <w:r>
        <w:rPr>
          <w:rFonts w:hint="eastAsia" w:ascii="仿宋" w:hAnsi="仿宋" w:eastAsia="仿宋" w:cs="仿宋"/>
          <w:sz w:val="24"/>
        </w:rPr>
        <w:t>年质保，在软件生命周期内免费升级。服务内响应时间8小时内达到客户现场、24小时解决故障。</w:t>
      </w:r>
    </w:p>
    <w:p w14:paraId="75A5E756">
      <w:pPr>
        <w:spacing w:line="360" w:lineRule="auto"/>
        <w:ind w:firstLine="480" w:firstLineChars="200"/>
        <w:rPr>
          <w:rFonts w:hint="eastAsia" w:ascii="仿宋" w:hAnsi="仿宋" w:eastAsia="仿宋" w:cs="仿宋"/>
          <w:sz w:val="24"/>
        </w:rPr>
      </w:pPr>
      <w:r>
        <w:rPr>
          <w:rFonts w:hint="eastAsia" w:ascii="仿宋" w:hAnsi="仿宋" w:eastAsia="仿宋" w:cs="仿宋"/>
          <w:sz w:val="24"/>
        </w:rPr>
        <w:t>②备件供应</w:t>
      </w:r>
    </w:p>
    <w:p w14:paraId="6F25E76A">
      <w:pPr>
        <w:spacing w:line="360" w:lineRule="auto"/>
        <w:ind w:firstLine="480" w:firstLineChars="200"/>
        <w:rPr>
          <w:rFonts w:hint="eastAsia" w:ascii="仿宋" w:hAnsi="仿宋" w:eastAsia="仿宋" w:cs="仿宋"/>
          <w:sz w:val="24"/>
        </w:rPr>
      </w:pPr>
      <w:r>
        <w:rPr>
          <w:rFonts w:hint="eastAsia" w:ascii="仿宋" w:hAnsi="仿宋" w:eastAsia="仿宋" w:cs="仿宋"/>
          <w:sz w:val="24"/>
        </w:rPr>
        <w:t>明确说明备品备件、工具、易耗品的长期供应方式和条件。</w:t>
      </w:r>
    </w:p>
    <w:p w14:paraId="3C6CB3BB">
      <w:pPr>
        <w:spacing w:line="360" w:lineRule="auto"/>
        <w:ind w:firstLine="480" w:firstLineChars="200"/>
        <w:rPr>
          <w:rFonts w:hint="eastAsia" w:ascii="仿宋" w:hAnsi="仿宋" w:eastAsia="仿宋" w:cs="仿宋"/>
          <w:sz w:val="24"/>
        </w:rPr>
      </w:pPr>
      <w:r>
        <w:rPr>
          <w:rFonts w:hint="eastAsia" w:ascii="仿宋" w:hAnsi="仿宋" w:eastAsia="仿宋" w:cs="仿宋"/>
          <w:sz w:val="24"/>
        </w:rPr>
        <w:t>③提供7×24小时服务。</w:t>
      </w:r>
    </w:p>
    <w:p w14:paraId="3C6237A8">
      <w:pPr>
        <w:spacing w:line="360" w:lineRule="auto"/>
        <w:ind w:firstLine="480" w:firstLineChars="200"/>
        <w:rPr>
          <w:rFonts w:hint="eastAsia" w:ascii="仿宋" w:hAnsi="仿宋" w:eastAsia="仿宋" w:cs="仿宋"/>
          <w:sz w:val="24"/>
        </w:rPr>
      </w:pPr>
      <w:r>
        <w:rPr>
          <w:rFonts w:hint="eastAsia" w:ascii="仿宋" w:hAnsi="仿宋" w:eastAsia="仿宋" w:cs="仿宋"/>
          <w:sz w:val="24"/>
        </w:rPr>
        <w:t>④技术培训</w:t>
      </w:r>
    </w:p>
    <w:p w14:paraId="0A680D99">
      <w:pPr>
        <w:spacing w:line="360" w:lineRule="auto"/>
        <w:ind w:firstLine="480" w:firstLineChars="200"/>
        <w:rPr>
          <w:rFonts w:hint="eastAsia" w:ascii="仿宋" w:hAnsi="仿宋" w:eastAsia="仿宋" w:cs="仿宋"/>
          <w:sz w:val="24"/>
        </w:rPr>
      </w:pPr>
      <w:r>
        <w:rPr>
          <w:rFonts w:hint="eastAsia" w:ascii="仿宋" w:hAnsi="仿宋" w:eastAsia="仿宋" w:cs="仿宋"/>
          <w:sz w:val="24"/>
        </w:rPr>
        <w:t>明确说明对甲方人员的培训安排、培训目的、培训目标、培训计划。</w:t>
      </w:r>
    </w:p>
    <w:p w14:paraId="086F8800">
      <w:pPr>
        <w:spacing w:line="360" w:lineRule="auto"/>
        <w:ind w:firstLine="480" w:firstLineChars="200"/>
        <w:rPr>
          <w:rFonts w:hint="eastAsia" w:ascii="仿宋" w:hAnsi="仿宋" w:eastAsia="仿宋" w:cs="仿宋"/>
          <w:sz w:val="24"/>
        </w:rPr>
      </w:pPr>
      <w:r>
        <w:rPr>
          <w:rFonts w:hint="eastAsia" w:ascii="仿宋" w:hAnsi="仿宋" w:eastAsia="仿宋" w:cs="仿宋"/>
          <w:sz w:val="24"/>
        </w:rPr>
        <w:t>⑤售后服务</w:t>
      </w:r>
    </w:p>
    <w:p w14:paraId="4BD404CE">
      <w:pPr>
        <w:spacing w:line="360" w:lineRule="auto"/>
        <w:ind w:firstLine="480" w:firstLineChars="200"/>
        <w:rPr>
          <w:rFonts w:hint="eastAsia" w:ascii="仿宋" w:hAnsi="仿宋" w:eastAsia="仿宋" w:cs="仿宋"/>
          <w:sz w:val="24"/>
        </w:rPr>
      </w:pPr>
      <w:r>
        <w:rPr>
          <w:rFonts w:hint="eastAsia" w:ascii="仿宋" w:hAnsi="仿宋" w:eastAsia="仿宋" w:cs="仿宋"/>
          <w:sz w:val="24"/>
        </w:rPr>
        <w:t>承诺投标设备的质量保证期，明确说明质保期内和质保期后的正常维护和维修响应时间等售后服务措施。</w:t>
      </w:r>
    </w:p>
    <w:p w14:paraId="40A29524">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十一、合同争议的解决：</w:t>
      </w:r>
    </w:p>
    <w:p w14:paraId="4BEDC6B3">
      <w:pPr>
        <w:tabs>
          <w:tab w:val="left" w:pos="5355"/>
        </w:tabs>
        <w:spacing w:line="360" w:lineRule="auto"/>
        <w:ind w:firstLine="480" w:firstLineChars="200"/>
        <w:rPr>
          <w:rFonts w:hint="eastAsia" w:ascii="仿宋" w:hAnsi="仿宋" w:eastAsia="仿宋" w:cs="仿宋"/>
          <w:b/>
          <w:sz w:val="24"/>
        </w:rPr>
      </w:pPr>
      <w:r>
        <w:rPr>
          <w:rFonts w:hint="eastAsia" w:ascii="仿宋" w:hAnsi="仿宋" w:eastAsia="仿宋" w:cs="仿宋"/>
          <w:sz w:val="24"/>
        </w:rPr>
        <w:t>合同一经签订，不得随意变更、中止或终止。对确需变更、调整或者中止、终止合同的，应按规定履行相应的手续。</w:t>
      </w:r>
    </w:p>
    <w:p w14:paraId="71EFA17B">
      <w:pPr>
        <w:tabs>
          <w:tab w:val="left" w:pos="5355"/>
        </w:tabs>
        <w:spacing w:line="360" w:lineRule="auto"/>
        <w:ind w:firstLine="480" w:firstLineChars="200"/>
        <w:rPr>
          <w:rFonts w:hint="eastAsia" w:ascii="仿宋" w:hAnsi="仿宋" w:eastAsia="仿宋" w:cs="仿宋"/>
          <w:sz w:val="24"/>
        </w:rPr>
      </w:pPr>
      <w:r>
        <w:rPr>
          <w:rFonts w:hint="eastAsia" w:ascii="仿宋" w:hAnsi="仿宋" w:eastAsia="仿宋" w:cs="仿宋"/>
          <w:sz w:val="24"/>
        </w:rPr>
        <w:t>合同执行中发生争议的，甲、乙双方应协商解决，协商达不成一致时，可向甲方所在地人民法院提请诉讼。</w:t>
      </w:r>
    </w:p>
    <w:p w14:paraId="3DE39EDA">
      <w:pPr>
        <w:tabs>
          <w:tab w:val="left" w:pos="980"/>
        </w:tabs>
        <w:spacing w:line="360" w:lineRule="auto"/>
        <w:ind w:firstLine="482" w:firstLineChars="200"/>
        <w:rPr>
          <w:rFonts w:hint="eastAsia" w:ascii="仿宋" w:hAnsi="仿宋" w:eastAsia="仿宋" w:cs="仿宋"/>
          <w:color w:val="000000"/>
          <w:sz w:val="24"/>
        </w:rPr>
      </w:pPr>
      <w:r>
        <w:rPr>
          <w:rFonts w:hint="eastAsia" w:ascii="仿宋" w:hAnsi="仿宋" w:eastAsia="仿宋" w:cs="仿宋"/>
          <w:b/>
          <w:sz w:val="24"/>
        </w:rPr>
        <w:t>十二、本合同一式陆份，</w:t>
      </w:r>
      <w:r>
        <w:rPr>
          <w:rFonts w:hint="eastAsia" w:ascii="仿宋" w:hAnsi="仿宋" w:eastAsia="仿宋" w:cs="仿宋"/>
          <w:color w:val="000000"/>
          <w:sz w:val="24"/>
        </w:rPr>
        <w:t>甲方肆份，乙方贰份。签字盖章后生效，合同执行完毕自动失效。（合同的服务承诺则长期有效）。</w:t>
      </w:r>
    </w:p>
    <w:p w14:paraId="0BD36269">
      <w:pPr>
        <w:tabs>
          <w:tab w:val="left" w:pos="980"/>
        </w:tabs>
        <w:spacing w:line="360" w:lineRule="auto"/>
        <w:ind w:firstLine="482" w:firstLineChars="200"/>
        <w:rPr>
          <w:rFonts w:hint="eastAsia" w:ascii="仿宋" w:hAnsi="仿宋" w:eastAsia="仿宋" w:cs="仿宋"/>
          <w:b/>
          <w:bCs/>
          <w:sz w:val="24"/>
        </w:rPr>
      </w:pPr>
      <w:r>
        <w:rPr>
          <w:rFonts w:hint="eastAsia" w:ascii="仿宋" w:hAnsi="仿宋" w:eastAsia="仿宋" w:cs="仿宋"/>
          <w:b/>
          <w:sz w:val="24"/>
        </w:rPr>
        <w:t>十三、其它</w:t>
      </w:r>
      <w:r>
        <w:rPr>
          <w:rFonts w:hint="eastAsia" w:ascii="仿宋" w:hAnsi="仿宋" w:eastAsia="仿宋" w:cs="仿宋"/>
          <w:b/>
          <w:bCs/>
          <w:sz w:val="24"/>
        </w:rPr>
        <w:t>（乙方信息全部为必填项）</w:t>
      </w:r>
    </w:p>
    <w:p w14:paraId="512CE926">
      <w:pPr>
        <w:rPr>
          <w:rFonts w:hint="eastAsia" w:ascii="仿宋" w:hAnsi="仿宋" w:eastAsia="仿宋" w:cs="仿宋"/>
          <w:b/>
          <w:bCs/>
          <w:sz w:val="24"/>
        </w:rPr>
      </w:pPr>
      <w:r>
        <w:rPr>
          <w:rFonts w:hint="eastAsia" w:ascii="仿宋" w:hAnsi="仿宋" w:eastAsia="仿宋" w:cs="仿宋"/>
          <w:b/>
          <w:bCs/>
          <w:sz w:val="24"/>
        </w:rPr>
        <w:br w:type="page"/>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1BF4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C8082BD">
            <w:pPr>
              <w:spacing w:line="360" w:lineRule="auto"/>
              <w:jc w:val="left"/>
              <w:rPr>
                <w:rFonts w:hint="eastAsia" w:ascii="仿宋" w:hAnsi="仿宋" w:eastAsia="仿宋" w:cs="仿宋"/>
                <w:sz w:val="24"/>
              </w:rPr>
            </w:pPr>
            <w:r>
              <w:rPr>
                <w:rFonts w:hint="eastAsia" w:ascii="仿宋" w:hAnsi="仿宋" w:eastAsia="仿宋" w:cs="仿宋"/>
                <w:sz w:val="24"/>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248D2C7E">
            <w:pPr>
              <w:spacing w:line="360" w:lineRule="auto"/>
              <w:jc w:val="left"/>
              <w:rPr>
                <w:rFonts w:hint="eastAsia" w:ascii="仿宋" w:hAnsi="仿宋" w:eastAsia="仿宋" w:cs="仿宋"/>
                <w:sz w:val="24"/>
              </w:rPr>
            </w:pPr>
            <w:r>
              <w:rPr>
                <w:rFonts w:hint="eastAsia" w:ascii="仿宋" w:hAnsi="仿宋" w:eastAsia="仿宋" w:cs="仿宋"/>
                <w:sz w:val="24"/>
              </w:rPr>
              <w:t>乙  方</w:t>
            </w:r>
          </w:p>
        </w:tc>
      </w:tr>
      <w:tr w14:paraId="726B9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6055371">
            <w:pPr>
              <w:spacing w:line="360" w:lineRule="auto"/>
              <w:jc w:val="left"/>
              <w:rPr>
                <w:rFonts w:hint="eastAsia" w:ascii="仿宋" w:hAnsi="仿宋" w:eastAsia="仿宋" w:cs="仿宋"/>
                <w:sz w:val="24"/>
              </w:rPr>
            </w:pPr>
            <w:r>
              <w:rPr>
                <w:rFonts w:hint="eastAsia" w:ascii="仿宋" w:hAnsi="仿宋" w:eastAsia="仿宋" w:cs="仿宋"/>
                <w:sz w:val="24"/>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29F33482">
            <w:pPr>
              <w:spacing w:line="360" w:lineRule="auto"/>
              <w:jc w:val="left"/>
              <w:rPr>
                <w:rFonts w:hint="eastAsia" w:ascii="仿宋" w:hAnsi="仿宋" w:eastAsia="仿宋" w:cs="仿宋"/>
                <w:sz w:val="24"/>
              </w:rPr>
            </w:pPr>
            <w:r>
              <w:rPr>
                <w:rFonts w:hint="eastAsia" w:ascii="仿宋" w:hAnsi="仿宋" w:eastAsia="仿宋" w:cs="仿宋"/>
                <w:sz w:val="24"/>
              </w:rPr>
              <w:t>成交单位全称</w:t>
            </w:r>
          </w:p>
          <w:p w14:paraId="0904F7C0">
            <w:pPr>
              <w:spacing w:line="360" w:lineRule="auto"/>
              <w:jc w:val="left"/>
              <w:rPr>
                <w:rFonts w:hint="eastAsia" w:ascii="仿宋" w:hAnsi="仿宋" w:eastAsia="仿宋" w:cs="仿宋"/>
                <w:sz w:val="24"/>
              </w:rPr>
            </w:pPr>
            <w:r>
              <w:rPr>
                <w:rFonts w:hint="eastAsia" w:ascii="仿宋" w:hAnsi="仿宋" w:eastAsia="仿宋" w:cs="仿宋"/>
                <w:sz w:val="24"/>
              </w:rPr>
              <w:t>（盖章）</w:t>
            </w:r>
          </w:p>
        </w:tc>
      </w:tr>
      <w:tr w14:paraId="01156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5F1D6BF">
            <w:pPr>
              <w:spacing w:line="360" w:lineRule="auto"/>
              <w:jc w:val="left"/>
              <w:rPr>
                <w:rFonts w:hint="eastAsia" w:ascii="仿宋" w:hAnsi="仿宋" w:eastAsia="仿宋" w:cs="仿宋"/>
                <w:sz w:val="24"/>
              </w:rPr>
            </w:pPr>
            <w:r>
              <w:rPr>
                <w:rFonts w:hint="eastAsia" w:ascii="仿宋" w:hAnsi="仿宋" w:eastAsia="仿宋" w:cs="仿宋"/>
                <w:sz w:val="24"/>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342AF0EC">
            <w:pPr>
              <w:jc w:val="left"/>
              <w:rPr>
                <w:rFonts w:hint="eastAsia" w:ascii="仿宋" w:hAnsi="仿宋" w:eastAsia="仿宋" w:cs="仿宋"/>
                <w:sz w:val="24"/>
              </w:rPr>
            </w:pPr>
            <w:r>
              <w:rPr>
                <w:rFonts w:hint="eastAsia" w:ascii="仿宋" w:hAnsi="仿宋" w:eastAsia="仿宋" w:cs="仿宋"/>
                <w:sz w:val="24"/>
              </w:rPr>
              <w:t>地址：</w:t>
            </w:r>
          </w:p>
        </w:tc>
      </w:tr>
      <w:tr w14:paraId="3EEA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65386DC">
            <w:pPr>
              <w:spacing w:line="360" w:lineRule="auto"/>
              <w:jc w:val="left"/>
              <w:rPr>
                <w:rFonts w:hint="eastAsia" w:ascii="仿宋" w:hAnsi="仿宋" w:eastAsia="仿宋" w:cs="仿宋"/>
                <w:sz w:val="24"/>
              </w:rPr>
            </w:pPr>
            <w:r>
              <w:rPr>
                <w:rFonts w:hint="eastAsia" w:ascii="仿宋" w:hAnsi="仿宋" w:eastAsia="仿宋" w:cs="仿宋"/>
                <w:sz w:val="24"/>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01418217">
            <w:pPr>
              <w:spacing w:line="360" w:lineRule="auto"/>
              <w:jc w:val="left"/>
              <w:rPr>
                <w:rFonts w:hint="eastAsia" w:ascii="仿宋" w:hAnsi="仿宋" w:eastAsia="仿宋" w:cs="仿宋"/>
                <w:sz w:val="24"/>
              </w:rPr>
            </w:pPr>
            <w:r>
              <w:rPr>
                <w:rFonts w:hint="eastAsia" w:ascii="仿宋" w:hAnsi="仿宋" w:eastAsia="仿宋" w:cs="仿宋"/>
                <w:sz w:val="24"/>
              </w:rPr>
              <w:t>邮编：</w:t>
            </w:r>
          </w:p>
        </w:tc>
      </w:tr>
      <w:tr w14:paraId="49299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289501B5">
            <w:pPr>
              <w:spacing w:line="360" w:lineRule="auto"/>
              <w:jc w:val="left"/>
              <w:rPr>
                <w:rFonts w:hint="eastAsia" w:ascii="仿宋" w:hAnsi="仿宋" w:eastAsia="仿宋" w:cs="仿宋"/>
                <w:sz w:val="24"/>
              </w:rPr>
            </w:pPr>
            <w:r>
              <w:rPr>
                <w:rFonts w:hint="eastAsia" w:ascii="仿宋" w:hAnsi="仿宋" w:eastAsia="仿宋" w:cs="仿宋"/>
                <w:sz w:val="24"/>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200140FF">
            <w:pPr>
              <w:spacing w:line="360" w:lineRule="auto"/>
              <w:jc w:val="left"/>
              <w:rPr>
                <w:rFonts w:hint="eastAsia" w:ascii="仿宋" w:hAnsi="仿宋" w:eastAsia="仿宋" w:cs="仿宋"/>
                <w:sz w:val="24"/>
              </w:rPr>
            </w:pPr>
            <w:r>
              <w:rPr>
                <w:rFonts w:hint="eastAsia" w:ascii="仿宋" w:hAnsi="仿宋" w:eastAsia="仿宋" w:cs="仿宋"/>
                <w:sz w:val="24"/>
              </w:rPr>
              <w:t>法定代表人：</w:t>
            </w:r>
          </w:p>
        </w:tc>
      </w:tr>
      <w:tr w14:paraId="760E3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23E4546C">
            <w:pPr>
              <w:spacing w:line="360" w:lineRule="auto"/>
              <w:jc w:val="left"/>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0AB3CFDB">
            <w:pPr>
              <w:spacing w:line="360" w:lineRule="auto"/>
              <w:jc w:val="left"/>
              <w:rPr>
                <w:rFonts w:hint="eastAsia" w:ascii="仿宋" w:hAnsi="仿宋" w:eastAsia="仿宋" w:cs="仿宋"/>
                <w:sz w:val="24"/>
              </w:rPr>
            </w:pPr>
            <w:r>
              <w:rPr>
                <w:rFonts w:hint="eastAsia" w:ascii="仿宋" w:hAnsi="仿宋" w:eastAsia="仿宋" w:cs="仿宋"/>
                <w:sz w:val="24"/>
              </w:rPr>
              <w:t>被授权代表：（签字）</w:t>
            </w:r>
          </w:p>
        </w:tc>
      </w:tr>
      <w:tr w14:paraId="3D142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EE68A74">
            <w:pPr>
              <w:spacing w:line="360" w:lineRule="auto"/>
              <w:jc w:val="left"/>
              <w:rPr>
                <w:rFonts w:hint="eastAsia" w:ascii="仿宋" w:hAnsi="仿宋" w:eastAsia="仿宋" w:cs="仿宋"/>
                <w:sz w:val="24"/>
              </w:rPr>
            </w:pPr>
            <w:r>
              <w:rPr>
                <w:rFonts w:hint="eastAsia" w:ascii="仿宋" w:hAnsi="仿宋" w:eastAsia="仿宋" w:cs="仿宋"/>
                <w:sz w:val="24"/>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6FCE706C">
            <w:pPr>
              <w:spacing w:line="360" w:lineRule="auto"/>
              <w:jc w:val="left"/>
              <w:rPr>
                <w:rFonts w:hint="eastAsia" w:ascii="仿宋" w:hAnsi="仿宋" w:eastAsia="仿宋" w:cs="仿宋"/>
                <w:sz w:val="24"/>
              </w:rPr>
            </w:pPr>
            <w:r>
              <w:rPr>
                <w:rFonts w:hint="eastAsia" w:ascii="仿宋" w:hAnsi="仿宋" w:eastAsia="仿宋" w:cs="仿宋"/>
                <w:sz w:val="24"/>
              </w:rPr>
              <w:t>电话：</w:t>
            </w:r>
          </w:p>
        </w:tc>
      </w:tr>
      <w:tr w14:paraId="506FA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0B95095">
            <w:pPr>
              <w:spacing w:line="360" w:lineRule="auto"/>
              <w:jc w:val="left"/>
              <w:rPr>
                <w:rFonts w:hint="eastAsia" w:ascii="仿宋" w:hAnsi="仿宋" w:eastAsia="仿宋" w:cs="仿宋"/>
                <w:sz w:val="24"/>
              </w:rPr>
            </w:pPr>
            <w:r>
              <w:rPr>
                <w:rFonts w:hint="eastAsia" w:ascii="仿宋" w:hAnsi="仿宋" w:eastAsia="仿宋" w:cs="仿宋"/>
                <w:sz w:val="24"/>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657835C4">
            <w:pPr>
              <w:spacing w:line="360" w:lineRule="auto"/>
              <w:jc w:val="left"/>
              <w:rPr>
                <w:rFonts w:hint="eastAsia" w:ascii="仿宋" w:hAnsi="仿宋" w:eastAsia="仿宋" w:cs="仿宋"/>
                <w:sz w:val="24"/>
              </w:rPr>
            </w:pPr>
            <w:r>
              <w:rPr>
                <w:rFonts w:hint="eastAsia" w:ascii="仿宋" w:hAnsi="仿宋" w:eastAsia="仿宋" w:cs="仿宋"/>
                <w:sz w:val="24"/>
              </w:rPr>
              <w:t>传真：</w:t>
            </w:r>
          </w:p>
        </w:tc>
      </w:tr>
      <w:tr w14:paraId="54BDE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CADC1B2">
            <w:pPr>
              <w:spacing w:line="360" w:lineRule="auto"/>
              <w:jc w:val="left"/>
              <w:rPr>
                <w:rFonts w:hint="eastAsia" w:ascii="仿宋" w:hAnsi="仿宋" w:eastAsia="仿宋" w:cs="仿宋"/>
                <w:sz w:val="24"/>
              </w:rPr>
            </w:pPr>
            <w:r>
              <w:rPr>
                <w:rFonts w:hint="eastAsia" w:ascii="仿宋" w:hAnsi="仿宋" w:eastAsia="仿宋" w:cs="仿宋"/>
                <w:sz w:val="24"/>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32B7C7A3">
            <w:pPr>
              <w:spacing w:line="360" w:lineRule="auto"/>
              <w:jc w:val="left"/>
              <w:rPr>
                <w:rFonts w:hint="eastAsia" w:ascii="仿宋" w:hAnsi="仿宋" w:eastAsia="仿宋" w:cs="仿宋"/>
                <w:sz w:val="24"/>
              </w:rPr>
            </w:pPr>
            <w:r>
              <w:rPr>
                <w:rFonts w:hint="eastAsia" w:ascii="仿宋" w:hAnsi="仿宋" w:eastAsia="仿宋" w:cs="仿宋"/>
                <w:sz w:val="24"/>
              </w:rPr>
              <w:t>开户银行：</w:t>
            </w:r>
          </w:p>
        </w:tc>
      </w:tr>
      <w:tr w14:paraId="7F075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4E6E400">
            <w:pPr>
              <w:spacing w:line="360" w:lineRule="auto"/>
              <w:jc w:val="left"/>
              <w:rPr>
                <w:rFonts w:hint="eastAsia" w:ascii="仿宋" w:hAnsi="仿宋" w:eastAsia="仿宋" w:cs="仿宋"/>
                <w:sz w:val="24"/>
              </w:rPr>
            </w:pPr>
            <w:r>
              <w:rPr>
                <w:rFonts w:hint="eastAsia" w:ascii="仿宋" w:hAnsi="仿宋" w:eastAsia="仿宋" w:cs="仿宋"/>
                <w:sz w:val="24"/>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137E1EA6">
            <w:pPr>
              <w:spacing w:line="360" w:lineRule="auto"/>
              <w:jc w:val="left"/>
              <w:rPr>
                <w:rFonts w:hint="eastAsia" w:ascii="仿宋" w:hAnsi="仿宋" w:eastAsia="仿宋" w:cs="仿宋"/>
                <w:sz w:val="24"/>
              </w:rPr>
            </w:pPr>
            <w:r>
              <w:rPr>
                <w:rFonts w:hint="eastAsia" w:ascii="仿宋" w:hAnsi="仿宋" w:eastAsia="仿宋" w:cs="仿宋"/>
                <w:sz w:val="24"/>
              </w:rPr>
              <w:t>账号:</w:t>
            </w:r>
          </w:p>
        </w:tc>
      </w:tr>
      <w:tr w14:paraId="68696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4F75C81">
            <w:pPr>
              <w:spacing w:line="360" w:lineRule="auto"/>
              <w:jc w:val="left"/>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23C002C8">
            <w:pPr>
              <w:spacing w:line="360" w:lineRule="auto"/>
              <w:jc w:val="left"/>
              <w:rPr>
                <w:rFonts w:hint="eastAsia" w:ascii="仿宋" w:hAnsi="仿宋" w:eastAsia="仿宋" w:cs="仿宋"/>
                <w:sz w:val="24"/>
              </w:rPr>
            </w:pPr>
            <w:r>
              <w:rPr>
                <w:rFonts w:hint="eastAsia" w:ascii="仿宋" w:hAnsi="仿宋" w:eastAsia="仿宋" w:cs="仿宋"/>
                <w:sz w:val="24"/>
              </w:rPr>
              <w:t>开户名称：</w:t>
            </w:r>
          </w:p>
        </w:tc>
      </w:tr>
      <w:tr w14:paraId="73686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4A4900A">
            <w:pPr>
              <w:spacing w:line="360" w:lineRule="auto"/>
              <w:jc w:val="left"/>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15628264">
            <w:pPr>
              <w:spacing w:line="360" w:lineRule="auto"/>
              <w:jc w:val="left"/>
              <w:rPr>
                <w:rFonts w:hint="eastAsia" w:ascii="仿宋" w:hAnsi="仿宋" w:eastAsia="仿宋" w:cs="仿宋"/>
                <w:sz w:val="24"/>
              </w:rPr>
            </w:pPr>
            <w:r>
              <w:rPr>
                <w:rFonts w:hint="eastAsia" w:ascii="仿宋" w:hAnsi="仿宋" w:eastAsia="仿宋" w:cs="仿宋"/>
                <w:sz w:val="24"/>
              </w:rPr>
              <w:t>企业规模：</w:t>
            </w:r>
          </w:p>
        </w:tc>
      </w:tr>
      <w:tr w14:paraId="47F0D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78F081E">
            <w:pPr>
              <w:spacing w:line="360" w:lineRule="auto"/>
              <w:jc w:val="left"/>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412779C1">
            <w:pPr>
              <w:spacing w:line="360" w:lineRule="auto"/>
              <w:jc w:val="left"/>
              <w:rPr>
                <w:rFonts w:hint="eastAsia" w:ascii="仿宋" w:hAnsi="仿宋" w:eastAsia="仿宋" w:cs="仿宋"/>
                <w:sz w:val="24"/>
              </w:rPr>
            </w:pPr>
            <w:r>
              <w:rPr>
                <w:rFonts w:hint="eastAsia" w:ascii="仿宋" w:hAnsi="仿宋" w:eastAsia="仿宋" w:cs="仿宋"/>
                <w:sz w:val="24"/>
              </w:rPr>
              <w:t>纳税人识别号：</w:t>
            </w:r>
          </w:p>
        </w:tc>
      </w:tr>
      <w:tr w14:paraId="25D0D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D489A5D">
            <w:pPr>
              <w:spacing w:line="360" w:lineRule="auto"/>
              <w:jc w:val="left"/>
              <w:rPr>
                <w:rFonts w:hint="eastAsia" w:ascii="仿宋" w:hAnsi="仿宋" w:eastAsia="仿宋" w:cs="仿宋"/>
                <w:sz w:val="24"/>
              </w:rPr>
            </w:pPr>
            <w:r>
              <w:rPr>
                <w:rFonts w:hint="eastAsia" w:ascii="仿宋" w:hAnsi="仿宋" w:eastAsia="仿宋" w:cs="仿宋"/>
                <w:sz w:val="24"/>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012A9362">
            <w:pPr>
              <w:spacing w:line="360" w:lineRule="auto"/>
              <w:jc w:val="left"/>
              <w:rPr>
                <w:rFonts w:hint="eastAsia" w:ascii="仿宋" w:hAnsi="仿宋" w:eastAsia="仿宋" w:cs="仿宋"/>
                <w:sz w:val="24"/>
              </w:rPr>
            </w:pPr>
            <w:r>
              <w:rPr>
                <w:rFonts w:hint="eastAsia" w:ascii="仿宋" w:hAnsi="仿宋" w:eastAsia="仿宋" w:cs="仿宋"/>
                <w:sz w:val="24"/>
              </w:rPr>
              <w:t>日期：  年   月   日</w:t>
            </w:r>
          </w:p>
        </w:tc>
      </w:tr>
    </w:tbl>
    <w:p w14:paraId="43B5311F">
      <w:pPr>
        <w:tabs>
          <w:tab w:val="left" w:pos="980"/>
        </w:tabs>
        <w:spacing w:line="360" w:lineRule="auto"/>
        <w:ind w:firstLine="482" w:firstLineChars="200"/>
        <w:rPr>
          <w:rFonts w:hint="eastAsia" w:ascii="仿宋" w:hAnsi="仿宋" w:eastAsia="仿宋" w:cs="仿宋"/>
          <w:b/>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874981"/>
    <w:rsid w:val="06874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2"/>
    <w:semiHidden/>
    <w:qFormat/>
    <w:uiPriority w:val="0"/>
    <w:rPr>
      <w:rFonts w:ascii="Arial" w:hAnsi="Arial" w:eastAsia="Arial" w:cs="Arial"/>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2025-11-20T06:01:00Z</dcterms:created>
  <dc:creator>j@x</dc:creator>
  <cp:lastModifiedBy>j@x</cp:lastModifiedBy>
  <dcterms:modified xsi:type="dcterms:W3CDTF">2025-11-20T06:02:40Z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6FBBAA216391479CBD6DB42CD8EBC466_11</vt:lpwstr>
  </property>
  <property fmtid="{D5CDD505-2E9C-101B-9397-08002B2CF9AE}" pid="4" name="KSOTemplateDocerSaveRecord">
    <vt:lpwstr>eyJoZGlkIjoiZjE1YjQ4NWY2MWE2Y2ZiNzE4NTU1MjQ3YTY1ZWQwZjAiLCJ1c2VySWQiOiI1NTM3MTk1MjIifQ==</vt:lpwstr>
  </property>
</Properties>
</file>