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96695C">
      <w:pPr>
        <w:wordWrap w:val="0"/>
        <w:topLinePunct/>
        <w:spacing w:line="500" w:lineRule="exact"/>
        <w:jc w:val="center"/>
        <w:outlineLvl w:val="0"/>
        <w:rPr>
          <w:rFonts w:hint="eastAsia" w:ascii="宋体" w:hAnsi="宋体" w:eastAsia="宋体" w:cs="宋体"/>
          <w:b/>
          <w:bCs/>
          <w:highlight w:val="none"/>
          <w:u w:val="single"/>
        </w:rPr>
      </w:pPr>
      <w:r>
        <w:rPr>
          <w:rStyle w:val="6"/>
          <w:rFonts w:hint="eastAsia" w:ascii="宋体" w:hAnsi="宋体" w:eastAsia="宋体" w:cs="宋体"/>
          <w:sz w:val="32"/>
          <w:szCs w:val="32"/>
          <w:highlight w:val="none"/>
        </w:rPr>
        <w:t>拟签订合同文本</w:t>
      </w:r>
    </w:p>
    <w:p w14:paraId="4654B7A0">
      <w:pPr>
        <w:spacing w:line="360" w:lineRule="auto"/>
        <w:ind w:firstLine="481"/>
        <w:jc w:val="left"/>
        <w:rPr>
          <w:rFonts w:hint="eastAsia" w:ascii="宋体" w:hAnsi="宋体" w:eastAsia="宋体" w:cs="宋体"/>
          <w:b/>
          <w:sz w:val="22"/>
          <w:szCs w:val="20"/>
          <w:highlight w:val="none"/>
          <w:u w:val="single"/>
        </w:rPr>
      </w:pPr>
      <w:r>
        <w:rPr>
          <w:rFonts w:hint="eastAsia" w:ascii="宋体" w:hAnsi="宋体" w:eastAsia="宋体" w:cs="宋体"/>
          <w:b/>
          <w:sz w:val="22"/>
          <w:szCs w:val="20"/>
          <w:highlight w:val="none"/>
          <w:u w:val="single"/>
        </w:rPr>
        <w:t>注：本合同仅为合同的参考文本，合同签订双方可根据项目的具体要求进行修订。</w:t>
      </w:r>
    </w:p>
    <w:p w14:paraId="3B1560B9">
      <w:pPr>
        <w:spacing w:line="360" w:lineRule="auto"/>
        <w:ind w:firstLine="481"/>
        <w:jc w:val="left"/>
        <w:rPr>
          <w:rFonts w:hint="eastAsia" w:ascii="宋体" w:hAnsi="宋体" w:eastAsia="宋体" w:cs="宋体"/>
          <w:b/>
          <w:sz w:val="22"/>
          <w:szCs w:val="20"/>
          <w:highlight w:val="none"/>
        </w:rPr>
      </w:pPr>
    </w:p>
    <w:p w14:paraId="370B1973">
      <w:pPr>
        <w:numPr>
          <w:ilvl w:val="0"/>
          <w:numId w:val="0"/>
        </w:numPr>
        <w:spacing w:line="360" w:lineRule="auto"/>
        <w:jc w:val="center"/>
        <w:rPr>
          <w:rFonts w:hint="eastAsia" w:ascii="宋体" w:hAnsi="宋体" w:eastAsia="宋体" w:cs="宋体"/>
          <w:b/>
          <w:sz w:val="32"/>
          <w:szCs w:val="32"/>
          <w:highlight w:val="none"/>
        </w:rPr>
      </w:pPr>
      <w:bookmarkStart w:id="0" w:name="_Toc13138"/>
      <w:bookmarkStart w:id="1" w:name="_Toc32297"/>
      <w:bookmarkStart w:id="2" w:name="_Toc12983"/>
      <w:bookmarkStart w:id="3" w:name="_Toc31133"/>
      <w:r>
        <w:rPr>
          <w:rFonts w:hint="eastAsia" w:ascii="宋体" w:hAnsi="宋体" w:eastAsia="宋体" w:cs="宋体"/>
          <w:b/>
          <w:sz w:val="32"/>
          <w:szCs w:val="32"/>
          <w:highlight w:val="none"/>
        </w:rPr>
        <w:t>采购合同</w:t>
      </w:r>
      <w:bookmarkEnd w:id="0"/>
      <w:bookmarkEnd w:id="1"/>
      <w:bookmarkEnd w:id="2"/>
      <w:bookmarkEnd w:id="3"/>
    </w:p>
    <w:p w14:paraId="726CEA17">
      <w:pPr>
        <w:spacing w:line="360" w:lineRule="auto"/>
        <w:ind w:firstLine="4480" w:firstLineChars="1600"/>
        <w:jc w:val="left"/>
        <w:rPr>
          <w:rFonts w:hint="eastAsia" w:ascii="宋体" w:hAnsi="宋体" w:eastAsia="宋体" w:cs="宋体"/>
          <w:sz w:val="28"/>
          <w:szCs w:val="44"/>
          <w:highlight w:val="none"/>
        </w:rPr>
      </w:pPr>
    </w:p>
    <w:p w14:paraId="27C2DB43">
      <w:pPr>
        <w:kinsoku w:val="0"/>
        <w:spacing w:line="400" w:lineRule="exact"/>
        <w:ind w:firstLine="600" w:firstLineChars="250"/>
        <w:rPr>
          <w:rFonts w:hint="eastAsia" w:ascii="宋体" w:hAnsi="宋体" w:eastAsia="宋体" w:cs="宋体"/>
          <w:sz w:val="24"/>
          <w:highlight w:val="none"/>
        </w:rPr>
      </w:pPr>
      <w:r>
        <w:rPr>
          <w:rFonts w:hint="eastAsia" w:ascii="宋体" w:hAnsi="宋体" w:eastAsia="宋体" w:cs="宋体"/>
          <w:sz w:val="24"/>
          <w:highlight w:val="none"/>
        </w:rPr>
        <w:t>甲方：陕西科技大学</w:t>
      </w:r>
    </w:p>
    <w:p w14:paraId="214AA88E">
      <w:pPr>
        <w:kinsoku w:val="0"/>
        <w:spacing w:line="400" w:lineRule="exact"/>
        <w:ind w:firstLine="600" w:firstLineChars="250"/>
        <w:rPr>
          <w:rFonts w:hint="eastAsia" w:ascii="宋体" w:hAnsi="宋体" w:eastAsia="宋体" w:cs="宋体"/>
          <w:sz w:val="24"/>
          <w:highlight w:val="none"/>
        </w:rPr>
      </w:pPr>
      <w:r>
        <w:rPr>
          <w:rFonts w:hint="eastAsia" w:ascii="宋体" w:hAnsi="宋体" w:eastAsia="宋体" w:cs="宋体"/>
          <w:sz w:val="24"/>
          <w:highlight w:val="none"/>
        </w:rPr>
        <w:t xml:space="preserve">乙方：            </w:t>
      </w:r>
    </w:p>
    <w:p w14:paraId="45CCD438">
      <w:pPr>
        <w:kinsoku w:val="0"/>
        <w:spacing w:line="400" w:lineRule="exact"/>
        <w:ind w:firstLine="600" w:firstLineChars="250"/>
        <w:rPr>
          <w:rFonts w:hint="eastAsia" w:ascii="宋体" w:hAnsi="宋体" w:eastAsia="宋体" w:cs="宋体"/>
          <w:sz w:val="24"/>
          <w:highlight w:val="none"/>
        </w:rPr>
      </w:pPr>
      <w:r>
        <w:rPr>
          <w:rFonts w:hint="eastAsia" w:ascii="宋体" w:hAnsi="宋体" w:eastAsia="宋体" w:cs="宋体"/>
          <w:sz w:val="24"/>
          <w:highlight w:val="none"/>
        </w:rPr>
        <w:t>根据《中华人民共和国政府采购法》、《中华人民共和国民法典》等法律法规，甲方通过竞争性磋商，选定乙方为成交单位。甲、乙双方在平等基础上协商一致，达成如下合同条款：</w:t>
      </w:r>
    </w:p>
    <w:p w14:paraId="223474EC">
      <w:pPr>
        <w:kinsoku w:val="0"/>
        <w:spacing w:line="400" w:lineRule="exact"/>
        <w:ind w:firstLine="600" w:firstLineChars="250"/>
        <w:rPr>
          <w:rFonts w:hint="eastAsia" w:ascii="宋体" w:hAnsi="宋体" w:eastAsia="宋体" w:cs="宋体"/>
          <w:sz w:val="24"/>
          <w:highlight w:val="none"/>
        </w:rPr>
      </w:pPr>
      <w:r>
        <w:rPr>
          <w:rFonts w:hint="eastAsia" w:ascii="宋体" w:hAnsi="宋体" w:eastAsia="宋体" w:cs="宋体"/>
          <w:sz w:val="24"/>
          <w:highlight w:val="none"/>
        </w:rPr>
        <w:t>一、</w:t>
      </w:r>
      <w:r>
        <w:rPr>
          <w:rFonts w:hint="eastAsia" w:ascii="宋体" w:hAnsi="宋体" w:eastAsia="宋体" w:cs="宋体"/>
          <w:b/>
          <w:sz w:val="24"/>
          <w:highlight w:val="none"/>
        </w:rPr>
        <w:t>合同内容             包号：                价格单位：元</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20"/>
        <w:gridCol w:w="1260"/>
        <w:gridCol w:w="900"/>
        <w:gridCol w:w="900"/>
        <w:gridCol w:w="900"/>
        <w:gridCol w:w="894"/>
        <w:gridCol w:w="839"/>
      </w:tblGrid>
      <w:tr w14:paraId="63411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exact"/>
          <w:jc w:val="center"/>
        </w:trPr>
        <w:tc>
          <w:tcPr>
            <w:tcW w:w="786" w:type="dxa"/>
            <w:noWrap w:val="0"/>
            <w:vAlign w:val="center"/>
          </w:tcPr>
          <w:p w14:paraId="60DE8EE6">
            <w:pPr>
              <w:spacing w:line="400" w:lineRule="exact"/>
              <w:jc w:val="center"/>
              <w:rPr>
                <w:rFonts w:hint="eastAsia" w:ascii="宋体" w:hAnsi="宋体" w:eastAsia="宋体" w:cs="宋体"/>
                <w:b/>
                <w:sz w:val="24"/>
                <w:highlight w:val="none"/>
              </w:rPr>
            </w:pPr>
            <w:r>
              <w:rPr>
                <w:rFonts w:hint="eastAsia" w:ascii="宋体" w:hAnsi="宋体" w:eastAsia="宋体" w:cs="宋体"/>
                <w:b/>
                <w:sz w:val="24"/>
                <w:highlight w:val="none"/>
              </w:rPr>
              <w:t>序号</w:t>
            </w:r>
          </w:p>
        </w:tc>
        <w:tc>
          <w:tcPr>
            <w:tcW w:w="1620" w:type="dxa"/>
            <w:noWrap w:val="0"/>
            <w:vAlign w:val="center"/>
          </w:tcPr>
          <w:p w14:paraId="52F25E8A">
            <w:pPr>
              <w:spacing w:line="400" w:lineRule="exact"/>
              <w:jc w:val="center"/>
              <w:rPr>
                <w:rFonts w:hint="eastAsia" w:ascii="宋体" w:hAnsi="宋体" w:eastAsia="宋体" w:cs="宋体"/>
                <w:b/>
                <w:sz w:val="24"/>
                <w:highlight w:val="none"/>
              </w:rPr>
            </w:pPr>
            <w:r>
              <w:rPr>
                <w:rFonts w:hint="eastAsia" w:ascii="宋体" w:hAnsi="宋体" w:eastAsia="宋体" w:cs="宋体"/>
                <w:b/>
                <w:sz w:val="24"/>
                <w:highlight w:val="none"/>
              </w:rPr>
              <w:t>产品名称</w:t>
            </w:r>
          </w:p>
        </w:tc>
        <w:tc>
          <w:tcPr>
            <w:tcW w:w="1260" w:type="dxa"/>
            <w:noWrap w:val="0"/>
            <w:vAlign w:val="center"/>
          </w:tcPr>
          <w:p w14:paraId="1766CA79">
            <w:pPr>
              <w:spacing w:line="400" w:lineRule="exact"/>
              <w:jc w:val="center"/>
              <w:rPr>
                <w:rFonts w:hint="eastAsia" w:ascii="宋体" w:hAnsi="宋体" w:eastAsia="宋体" w:cs="宋体"/>
                <w:b/>
                <w:sz w:val="24"/>
                <w:highlight w:val="none"/>
              </w:rPr>
            </w:pPr>
            <w:r>
              <w:rPr>
                <w:rFonts w:hint="eastAsia" w:ascii="宋体" w:hAnsi="宋体" w:eastAsia="宋体" w:cs="宋体"/>
                <w:b/>
                <w:sz w:val="24"/>
                <w:highlight w:val="none"/>
              </w:rPr>
              <w:t>型号</w:t>
            </w:r>
          </w:p>
        </w:tc>
        <w:tc>
          <w:tcPr>
            <w:tcW w:w="900" w:type="dxa"/>
            <w:noWrap w:val="0"/>
            <w:vAlign w:val="center"/>
          </w:tcPr>
          <w:p w14:paraId="6C5E5CC3">
            <w:pPr>
              <w:spacing w:line="400" w:lineRule="exact"/>
              <w:jc w:val="center"/>
              <w:rPr>
                <w:rFonts w:hint="eastAsia" w:ascii="宋体" w:hAnsi="宋体" w:eastAsia="宋体" w:cs="宋体"/>
                <w:b/>
                <w:sz w:val="24"/>
                <w:highlight w:val="none"/>
              </w:rPr>
            </w:pPr>
            <w:r>
              <w:rPr>
                <w:rFonts w:hint="eastAsia" w:ascii="宋体" w:hAnsi="宋体" w:eastAsia="宋体" w:cs="宋体"/>
                <w:b/>
                <w:sz w:val="24"/>
                <w:highlight w:val="none"/>
              </w:rPr>
              <w:t>产地</w:t>
            </w:r>
          </w:p>
        </w:tc>
        <w:tc>
          <w:tcPr>
            <w:tcW w:w="900" w:type="dxa"/>
            <w:noWrap w:val="0"/>
            <w:vAlign w:val="center"/>
          </w:tcPr>
          <w:p w14:paraId="3F554258">
            <w:pPr>
              <w:spacing w:line="400" w:lineRule="exact"/>
              <w:jc w:val="center"/>
              <w:rPr>
                <w:rFonts w:hint="eastAsia" w:ascii="宋体" w:hAnsi="宋体" w:eastAsia="宋体" w:cs="宋体"/>
                <w:b/>
                <w:sz w:val="24"/>
                <w:highlight w:val="none"/>
              </w:rPr>
            </w:pPr>
            <w:r>
              <w:rPr>
                <w:rFonts w:hint="eastAsia" w:ascii="宋体" w:hAnsi="宋体" w:eastAsia="宋体" w:cs="宋体"/>
                <w:b/>
                <w:sz w:val="24"/>
                <w:highlight w:val="none"/>
              </w:rPr>
              <w:t>数量</w:t>
            </w:r>
          </w:p>
        </w:tc>
        <w:tc>
          <w:tcPr>
            <w:tcW w:w="900" w:type="dxa"/>
            <w:noWrap w:val="0"/>
            <w:vAlign w:val="center"/>
          </w:tcPr>
          <w:p w14:paraId="49D02631">
            <w:pPr>
              <w:spacing w:line="400" w:lineRule="exact"/>
              <w:jc w:val="center"/>
              <w:rPr>
                <w:rFonts w:hint="eastAsia" w:ascii="宋体" w:hAnsi="宋体" w:eastAsia="宋体" w:cs="宋体"/>
                <w:b/>
                <w:sz w:val="24"/>
                <w:highlight w:val="none"/>
              </w:rPr>
            </w:pPr>
            <w:r>
              <w:rPr>
                <w:rFonts w:hint="eastAsia" w:ascii="宋体" w:hAnsi="宋体" w:eastAsia="宋体" w:cs="宋体"/>
                <w:b/>
                <w:sz w:val="24"/>
                <w:highlight w:val="none"/>
              </w:rPr>
              <w:t>单价</w:t>
            </w:r>
          </w:p>
        </w:tc>
        <w:tc>
          <w:tcPr>
            <w:tcW w:w="894" w:type="dxa"/>
            <w:noWrap w:val="0"/>
            <w:vAlign w:val="center"/>
          </w:tcPr>
          <w:p w14:paraId="03F827E9">
            <w:pPr>
              <w:spacing w:line="400" w:lineRule="exact"/>
              <w:jc w:val="center"/>
              <w:rPr>
                <w:rFonts w:hint="eastAsia" w:ascii="宋体" w:hAnsi="宋体" w:eastAsia="宋体" w:cs="宋体"/>
                <w:b/>
                <w:sz w:val="24"/>
                <w:highlight w:val="none"/>
              </w:rPr>
            </w:pPr>
            <w:r>
              <w:rPr>
                <w:rFonts w:hint="eastAsia" w:ascii="宋体" w:hAnsi="宋体" w:eastAsia="宋体" w:cs="宋体"/>
                <w:b/>
                <w:sz w:val="24"/>
                <w:highlight w:val="none"/>
              </w:rPr>
              <w:t>总价</w:t>
            </w:r>
          </w:p>
        </w:tc>
        <w:tc>
          <w:tcPr>
            <w:tcW w:w="839" w:type="dxa"/>
            <w:noWrap w:val="0"/>
            <w:vAlign w:val="center"/>
          </w:tcPr>
          <w:p w14:paraId="0B63DEFA">
            <w:pPr>
              <w:spacing w:line="400" w:lineRule="exact"/>
              <w:jc w:val="center"/>
              <w:rPr>
                <w:rFonts w:hint="eastAsia" w:ascii="宋体" w:hAnsi="宋体" w:eastAsia="宋体" w:cs="宋体"/>
                <w:b/>
                <w:sz w:val="24"/>
                <w:highlight w:val="none"/>
              </w:rPr>
            </w:pPr>
            <w:r>
              <w:rPr>
                <w:rFonts w:hint="eastAsia" w:ascii="宋体" w:hAnsi="宋体" w:eastAsia="宋体" w:cs="宋体"/>
                <w:b/>
                <w:sz w:val="24"/>
                <w:highlight w:val="none"/>
              </w:rPr>
              <w:t>备注</w:t>
            </w:r>
          </w:p>
        </w:tc>
      </w:tr>
      <w:tr w14:paraId="50FF7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noWrap w:val="0"/>
            <w:vAlign w:val="center"/>
          </w:tcPr>
          <w:p w14:paraId="0CB0A5E8">
            <w:pPr>
              <w:adjustRightInd w:val="0"/>
              <w:snapToGrid w:val="0"/>
              <w:jc w:val="center"/>
              <w:rPr>
                <w:rFonts w:hint="eastAsia" w:ascii="宋体" w:hAnsi="宋体" w:eastAsia="宋体" w:cs="宋体"/>
                <w:highlight w:val="none"/>
              </w:rPr>
            </w:pPr>
            <w:r>
              <w:rPr>
                <w:rFonts w:hint="eastAsia" w:ascii="宋体" w:hAnsi="宋体" w:eastAsia="宋体" w:cs="宋体"/>
                <w:highlight w:val="none"/>
              </w:rPr>
              <w:t>1</w:t>
            </w:r>
          </w:p>
        </w:tc>
        <w:tc>
          <w:tcPr>
            <w:tcW w:w="1620" w:type="dxa"/>
            <w:noWrap w:val="0"/>
            <w:vAlign w:val="center"/>
          </w:tcPr>
          <w:p w14:paraId="56B311D2">
            <w:pPr>
              <w:adjustRightInd w:val="0"/>
              <w:snapToGrid w:val="0"/>
              <w:jc w:val="center"/>
              <w:rPr>
                <w:rFonts w:hint="eastAsia" w:ascii="宋体" w:hAnsi="宋体" w:eastAsia="宋体" w:cs="宋体"/>
                <w:highlight w:val="none"/>
              </w:rPr>
            </w:pPr>
          </w:p>
        </w:tc>
        <w:tc>
          <w:tcPr>
            <w:tcW w:w="1260" w:type="dxa"/>
            <w:noWrap w:val="0"/>
            <w:vAlign w:val="center"/>
          </w:tcPr>
          <w:p w14:paraId="18B0ECBF">
            <w:pPr>
              <w:spacing w:line="400" w:lineRule="exact"/>
              <w:jc w:val="center"/>
              <w:rPr>
                <w:rFonts w:hint="eastAsia" w:ascii="宋体" w:hAnsi="宋体" w:eastAsia="宋体" w:cs="宋体"/>
                <w:highlight w:val="none"/>
              </w:rPr>
            </w:pPr>
          </w:p>
        </w:tc>
        <w:tc>
          <w:tcPr>
            <w:tcW w:w="900" w:type="dxa"/>
            <w:noWrap w:val="0"/>
            <w:vAlign w:val="center"/>
          </w:tcPr>
          <w:p w14:paraId="793D3872">
            <w:pPr>
              <w:spacing w:line="400" w:lineRule="exact"/>
              <w:jc w:val="center"/>
              <w:rPr>
                <w:rFonts w:hint="eastAsia" w:ascii="宋体" w:hAnsi="宋体" w:eastAsia="宋体" w:cs="宋体"/>
                <w:highlight w:val="none"/>
              </w:rPr>
            </w:pPr>
          </w:p>
        </w:tc>
        <w:tc>
          <w:tcPr>
            <w:tcW w:w="900" w:type="dxa"/>
            <w:noWrap w:val="0"/>
            <w:vAlign w:val="center"/>
          </w:tcPr>
          <w:p w14:paraId="165BAA15">
            <w:pPr>
              <w:tabs>
                <w:tab w:val="left" w:pos="263"/>
              </w:tabs>
              <w:adjustRightInd w:val="0"/>
              <w:snapToGrid w:val="0"/>
              <w:jc w:val="left"/>
              <w:rPr>
                <w:rFonts w:hint="eastAsia" w:ascii="宋体" w:hAnsi="宋体" w:eastAsia="宋体" w:cs="宋体"/>
                <w:highlight w:val="none"/>
              </w:rPr>
            </w:pPr>
            <w:r>
              <w:rPr>
                <w:rFonts w:hint="eastAsia" w:ascii="宋体" w:hAnsi="宋体" w:eastAsia="宋体" w:cs="宋体"/>
                <w:highlight w:val="none"/>
              </w:rPr>
              <w:tab/>
            </w:r>
          </w:p>
        </w:tc>
        <w:tc>
          <w:tcPr>
            <w:tcW w:w="900" w:type="dxa"/>
            <w:noWrap w:val="0"/>
            <w:vAlign w:val="center"/>
          </w:tcPr>
          <w:p w14:paraId="398B0D34">
            <w:pPr>
              <w:jc w:val="center"/>
              <w:textAlignment w:val="center"/>
              <w:rPr>
                <w:rFonts w:hint="eastAsia" w:ascii="宋体" w:hAnsi="宋体" w:eastAsia="宋体" w:cs="宋体"/>
                <w:highlight w:val="none"/>
              </w:rPr>
            </w:pPr>
          </w:p>
        </w:tc>
        <w:tc>
          <w:tcPr>
            <w:tcW w:w="894" w:type="dxa"/>
            <w:noWrap w:val="0"/>
            <w:vAlign w:val="center"/>
          </w:tcPr>
          <w:p w14:paraId="6BBB10FD">
            <w:pPr>
              <w:jc w:val="center"/>
              <w:textAlignment w:val="center"/>
              <w:rPr>
                <w:rFonts w:hint="eastAsia" w:ascii="宋体" w:hAnsi="宋体" w:eastAsia="宋体" w:cs="宋体"/>
                <w:highlight w:val="none"/>
              </w:rPr>
            </w:pPr>
          </w:p>
        </w:tc>
        <w:tc>
          <w:tcPr>
            <w:tcW w:w="839" w:type="dxa"/>
            <w:noWrap w:val="0"/>
            <w:vAlign w:val="center"/>
          </w:tcPr>
          <w:p w14:paraId="65AD70DA">
            <w:pPr>
              <w:jc w:val="center"/>
              <w:textAlignment w:val="center"/>
              <w:rPr>
                <w:rFonts w:hint="eastAsia" w:ascii="宋体" w:hAnsi="宋体" w:eastAsia="宋体" w:cs="宋体"/>
                <w:highlight w:val="none"/>
              </w:rPr>
            </w:pPr>
          </w:p>
        </w:tc>
      </w:tr>
      <w:tr w14:paraId="2D0AD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noWrap w:val="0"/>
            <w:vAlign w:val="center"/>
          </w:tcPr>
          <w:p w14:paraId="57F00416">
            <w:pPr>
              <w:adjustRightInd w:val="0"/>
              <w:snapToGrid w:val="0"/>
              <w:jc w:val="center"/>
              <w:rPr>
                <w:rFonts w:hint="eastAsia" w:ascii="宋体" w:hAnsi="宋体" w:eastAsia="宋体" w:cs="宋体"/>
                <w:highlight w:val="none"/>
              </w:rPr>
            </w:pPr>
            <w:r>
              <w:rPr>
                <w:rFonts w:hint="eastAsia" w:ascii="宋体" w:hAnsi="宋体" w:eastAsia="宋体" w:cs="宋体"/>
                <w:highlight w:val="none"/>
              </w:rPr>
              <w:t>2</w:t>
            </w:r>
          </w:p>
        </w:tc>
        <w:tc>
          <w:tcPr>
            <w:tcW w:w="1620" w:type="dxa"/>
            <w:noWrap w:val="0"/>
            <w:vAlign w:val="center"/>
          </w:tcPr>
          <w:p w14:paraId="526E5457">
            <w:pPr>
              <w:adjustRightInd w:val="0"/>
              <w:snapToGrid w:val="0"/>
              <w:jc w:val="center"/>
              <w:rPr>
                <w:rFonts w:hint="eastAsia" w:ascii="宋体" w:hAnsi="宋体" w:eastAsia="宋体" w:cs="宋体"/>
                <w:highlight w:val="none"/>
              </w:rPr>
            </w:pPr>
          </w:p>
        </w:tc>
        <w:tc>
          <w:tcPr>
            <w:tcW w:w="1260" w:type="dxa"/>
            <w:noWrap w:val="0"/>
            <w:vAlign w:val="center"/>
          </w:tcPr>
          <w:p w14:paraId="1A17BEB1">
            <w:pPr>
              <w:spacing w:line="400" w:lineRule="exact"/>
              <w:jc w:val="center"/>
              <w:rPr>
                <w:rFonts w:hint="eastAsia" w:ascii="宋体" w:hAnsi="宋体" w:eastAsia="宋体" w:cs="宋体"/>
                <w:highlight w:val="none"/>
              </w:rPr>
            </w:pPr>
          </w:p>
        </w:tc>
        <w:tc>
          <w:tcPr>
            <w:tcW w:w="900" w:type="dxa"/>
            <w:noWrap w:val="0"/>
            <w:vAlign w:val="center"/>
          </w:tcPr>
          <w:p w14:paraId="10DE5D07">
            <w:pPr>
              <w:spacing w:line="400" w:lineRule="exact"/>
              <w:jc w:val="center"/>
              <w:rPr>
                <w:rFonts w:hint="eastAsia" w:ascii="宋体" w:hAnsi="宋体" w:eastAsia="宋体" w:cs="宋体"/>
                <w:highlight w:val="none"/>
              </w:rPr>
            </w:pPr>
          </w:p>
        </w:tc>
        <w:tc>
          <w:tcPr>
            <w:tcW w:w="900" w:type="dxa"/>
            <w:noWrap w:val="0"/>
            <w:vAlign w:val="center"/>
          </w:tcPr>
          <w:p w14:paraId="42C9C1A3">
            <w:pPr>
              <w:adjustRightInd w:val="0"/>
              <w:snapToGrid w:val="0"/>
              <w:jc w:val="center"/>
              <w:rPr>
                <w:rFonts w:hint="eastAsia" w:ascii="宋体" w:hAnsi="宋体" w:eastAsia="宋体" w:cs="宋体"/>
                <w:highlight w:val="none"/>
              </w:rPr>
            </w:pPr>
          </w:p>
        </w:tc>
        <w:tc>
          <w:tcPr>
            <w:tcW w:w="900" w:type="dxa"/>
            <w:noWrap w:val="0"/>
            <w:vAlign w:val="center"/>
          </w:tcPr>
          <w:p w14:paraId="0A97DDCE">
            <w:pPr>
              <w:jc w:val="center"/>
              <w:textAlignment w:val="center"/>
              <w:rPr>
                <w:rFonts w:hint="eastAsia" w:ascii="宋体" w:hAnsi="宋体" w:eastAsia="宋体" w:cs="宋体"/>
                <w:highlight w:val="none"/>
              </w:rPr>
            </w:pPr>
          </w:p>
        </w:tc>
        <w:tc>
          <w:tcPr>
            <w:tcW w:w="894" w:type="dxa"/>
            <w:noWrap w:val="0"/>
            <w:vAlign w:val="center"/>
          </w:tcPr>
          <w:p w14:paraId="1DE29517">
            <w:pPr>
              <w:jc w:val="center"/>
              <w:textAlignment w:val="center"/>
              <w:rPr>
                <w:rFonts w:hint="eastAsia" w:ascii="宋体" w:hAnsi="宋体" w:eastAsia="宋体" w:cs="宋体"/>
                <w:highlight w:val="none"/>
              </w:rPr>
            </w:pPr>
          </w:p>
        </w:tc>
        <w:tc>
          <w:tcPr>
            <w:tcW w:w="839" w:type="dxa"/>
            <w:noWrap w:val="0"/>
            <w:vAlign w:val="center"/>
          </w:tcPr>
          <w:p w14:paraId="00830565">
            <w:pPr>
              <w:jc w:val="center"/>
              <w:textAlignment w:val="center"/>
              <w:rPr>
                <w:rFonts w:hint="eastAsia" w:ascii="宋体" w:hAnsi="宋体" w:eastAsia="宋体" w:cs="宋体"/>
                <w:highlight w:val="none"/>
              </w:rPr>
            </w:pPr>
          </w:p>
        </w:tc>
      </w:tr>
      <w:tr w14:paraId="38947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noWrap w:val="0"/>
            <w:vAlign w:val="center"/>
          </w:tcPr>
          <w:p w14:paraId="14DAE297">
            <w:pPr>
              <w:adjustRightInd w:val="0"/>
              <w:snapToGrid w:val="0"/>
              <w:jc w:val="center"/>
              <w:rPr>
                <w:rFonts w:hint="eastAsia" w:ascii="宋体" w:hAnsi="宋体" w:eastAsia="宋体" w:cs="宋体"/>
                <w:highlight w:val="none"/>
              </w:rPr>
            </w:pPr>
            <w:r>
              <w:rPr>
                <w:rFonts w:hint="eastAsia" w:ascii="宋体" w:hAnsi="宋体" w:eastAsia="宋体" w:cs="宋体"/>
                <w:highlight w:val="none"/>
              </w:rPr>
              <w:t>3</w:t>
            </w:r>
          </w:p>
        </w:tc>
        <w:tc>
          <w:tcPr>
            <w:tcW w:w="1620" w:type="dxa"/>
            <w:noWrap w:val="0"/>
            <w:vAlign w:val="center"/>
          </w:tcPr>
          <w:p w14:paraId="2A79113A">
            <w:pPr>
              <w:adjustRightInd w:val="0"/>
              <w:snapToGrid w:val="0"/>
              <w:jc w:val="center"/>
              <w:rPr>
                <w:rFonts w:hint="eastAsia" w:ascii="宋体" w:hAnsi="宋体" w:eastAsia="宋体" w:cs="宋体"/>
                <w:highlight w:val="none"/>
              </w:rPr>
            </w:pPr>
          </w:p>
        </w:tc>
        <w:tc>
          <w:tcPr>
            <w:tcW w:w="1260" w:type="dxa"/>
            <w:noWrap w:val="0"/>
            <w:vAlign w:val="center"/>
          </w:tcPr>
          <w:p w14:paraId="74A80D5C">
            <w:pPr>
              <w:jc w:val="center"/>
              <w:rPr>
                <w:rFonts w:hint="eastAsia" w:ascii="宋体" w:hAnsi="宋体" w:eastAsia="宋体" w:cs="宋体"/>
                <w:highlight w:val="none"/>
              </w:rPr>
            </w:pPr>
          </w:p>
        </w:tc>
        <w:tc>
          <w:tcPr>
            <w:tcW w:w="900" w:type="dxa"/>
            <w:noWrap w:val="0"/>
            <w:vAlign w:val="center"/>
          </w:tcPr>
          <w:p w14:paraId="26EAB956">
            <w:pPr>
              <w:spacing w:line="400" w:lineRule="exact"/>
              <w:jc w:val="center"/>
              <w:rPr>
                <w:rFonts w:hint="eastAsia" w:ascii="宋体" w:hAnsi="宋体" w:eastAsia="宋体" w:cs="宋体"/>
                <w:highlight w:val="none"/>
              </w:rPr>
            </w:pPr>
          </w:p>
        </w:tc>
        <w:tc>
          <w:tcPr>
            <w:tcW w:w="900" w:type="dxa"/>
            <w:noWrap w:val="0"/>
            <w:vAlign w:val="center"/>
          </w:tcPr>
          <w:p w14:paraId="6AC05F78">
            <w:pPr>
              <w:adjustRightInd w:val="0"/>
              <w:snapToGrid w:val="0"/>
              <w:jc w:val="center"/>
              <w:rPr>
                <w:rFonts w:hint="eastAsia" w:ascii="宋体" w:hAnsi="宋体" w:eastAsia="宋体" w:cs="宋体"/>
                <w:highlight w:val="none"/>
              </w:rPr>
            </w:pPr>
          </w:p>
        </w:tc>
        <w:tc>
          <w:tcPr>
            <w:tcW w:w="900" w:type="dxa"/>
            <w:noWrap w:val="0"/>
            <w:vAlign w:val="center"/>
          </w:tcPr>
          <w:p w14:paraId="7073E77B">
            <w:pPr>
              <w:jc w:val="center"/>
              <w:textAlignment w:val="center"/>
              <w:rPr>
                <w:rFonts w:hint="eastAsia" w:ascii="宋体" w:hAnsi="宋体" w:eastAsia="宋体" w:cs="宋体"/>
                <w:highlight w:val="none"/>
              </w:rPr>
            </w:pPr>
          </w:p>
        </w:tc>
        <w:tc>
          <w:tcPr>
            <w:tcW w:w="894" w:type="dxa"/>
            <w:noWrap w:val="0"/>
            <w:vAlign w:val="center"/>
          </w:tcPr>
          <w:p w14:paraId="3E4980D4">
            <w:pPr>
              <w:jc w:val="center"/>
              <w:textAlignment w:val="center"/>
              <w:rPr>
                <w:rFonts w:hint="eastAsia" w:ascii="宋体" w:hAnsi="宋体" w:eastAsia="宋体" w:cs="宋体"/>
                <w:highlight w:val="none"/>
              </w:rPr>
            </w:pPr>
          </w:p>
        </w:tc>
        <w:tc>
          <w:tcPr>
            <w:tcW w:w="839" w:type="dxa"/>
            <w:noWrap w:val="0"/>
            <w:vAlign w:val="center"/>
          </w:tcPr>
          <w:p w14:paraId="65C10B08">
            <w:pPr>
              <w:jc w:val="center"/>
              <w:textAlignment w:val="center"/>
              <w:rPr>
                <w:rFonts w:hint="eastAsia" w:ascii="宋体" w:hAnsi="宋体" w:eastAsia="宋体" w:cs="宋体"/>
                <w:highlight w:val="none"/>
              </w:rPr>
            </w:pPr>
          </w:p>
        </w:tc>
      </w:tr>
      <w:tr w14:paraId="4F6C2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2406" w:type="dxa"/>
            <w:gridSpan w:val="2"/>
            <w:noWrap w:val="0"/>
            <w:vAlign w:val="center"/>
          </w:tcPr>
          <w:p w14:paraId="58D76E65">
            <w:pPr>
              <w:adjustRightInd w:val="0"/>
              <w:snapToGrid w:val="0"/>
              <w:jc w:val="center"/>
              <w:rPr>
                <w:rFonts w:hint="eastAsia" w:ascii="宋体" w:hAnsi="宋体" w:eastAsia="宋体" w:cs="宋体"/>
                <w:b/>
                <w:sz w:val="24"/>
                <w:highlight w:val="none"/>
              </w:rPr>
            </w:pPr>
            <w:r>
              <w:rPr>
                <w:rFonts w:hint="eastAsia" w:ascii="宋体" w:hAnsi="宋体" w:eastAsia="宋体" w:cs="宋体"/>
                <w:b/>
                <w:sz w:val="24"/>
                <w:highlight w:val="none"/>
              </w:rPr>
              <w:t>总计（人民币/元）</w:t>
            </w:r>
          </w:p>
        </w:tc>
        <w:tc>
          <w:tcPr>
            <w:tcW w:w="5693" w:type="dxa"/>
            <w:gridSpan w:val="6"/>
            <w:noWrap w:val="0"/>
            <w:vAlign w:val="center"/>
          </w:tcPr>
          <w:p w14:paraId="3A9189B1">
            <w:pPr>
              <w:adjustRightInd w:val="0"/>
              <w:snapToGrid w:val="0"/>
              <w:rPr>
                <w:rFonts w:hint="eastAsia" w:ascii="宋体" w:hAnsi="宋体" w:eastAsia="宋体" w:cs="宋体"/>
                <w:b/>
                <w:sz w:val="24"/>
                <w:highlight w:val="none"/>
              </w:rPr>
            </w:pPr>
            <w:r>
              <w:rPr>
                <w:rFonts w:hint="eastAsia" w:ascii="宋体" w:hAnsi="宋体" w:eastAsia="宋体" w:cs="宋体"/>
                <w:b/>
                <w:sz w:val="24"/>
                <w:highlight w:val="none"/>
              </w:rPr>
              <w:t>￥：       （大写）</w:t>
            </w:r>
          </w:p>
        </w:tc>
      </w:tr>
    </w:tbl>
    <w:p w14:paraId="2AD02E92">
      <w:pPr>
        <w:kinsoku w:val="0"/>
        <w:spacing w:line="400" w:lineRule="exact"/>
        <w:ind w:firstLine="600" w:firstLineChars="250"/>
        <w:rPr>
          <w:rFonts w:hint="eastAsia" w:ascii="宋体" w:hAnsi="宋体" w:eastAsia="宋体" w:cs="宋体"/>
          <w:sz w:val="24"/>
          <w:highlight w:val="none"/>
        </w:rPr>
      </w:pPr>
      <w:r>
        <w:rPr>
          <w:rFonts w:hint="eastAsia" w:ascii="宋体" w:hAnsi="宋体" w:eastAsia="宋体" w:cs="宋体"/>
          <w:sz w:val="24"/>
          <w:highlight w:val="none"/>
        </w:rPr>
        <w:t>（详细参数用附件说明）</w:t>
      </w:r>
    </w:p>
    <w:p w14:paraId="3999BDAE">
      <w:pPr>
        <w:spacing w:line="400" w:lineRule="exact"/>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二、合同价格</w:t>
      </w:r>
    </w:p>
    <w:p w14:paraId="67E35A28">
      <w:pPr>
        <w:kinsoku w:val="0"/>
        <w:spacing w:line="4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合同总价：人民币大写：</w:t>
      </w:r>
      <w:r>
        <w:rPr>
          <w:rFonts w:hint="eastAsia" w:ascii="宋体" w:hAnsi="宋体" w:eastAsia="宋体" w:cs="宋体"/>
          <w:b/>
          <w:sz w:val="24"/>
          <w:highlight w:val="none"/>
          <w:u w:val="single"/>
        </w:rPr>
        <w:t xml:space="preserve">           </w:t>
      </w:r>
      <w:r>
        <w:rPr>
          <w:rFonts w:hint="eastAsia" w:ascii="宋体" w:hAnsi="宋体" w:eastAsia="宋体" w:cs="宋体"/>
          <w:b/>
          <w:sz w:val="24"/>
          <w:highlight w:val="none"/>
        </w:rPr>
        <w:t>元整；</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b/>
          <w:sz w:val="24"/>
          <w:highlight w:val="none"/>
          <w:u w:val="single"/>
        </w:rPr>
        <w:t xml:space="preserve">  </w:t>
      </w:r>
      <w:r>
        <w:rPr>
          <w:rFonts w:hint="eastAsia" w:ascii="宋体" w:hAnsi="宋体" w:eastAsia="宋体" w:cs="宋体"/>
          <w:sz w:val="24"/>
          <w:highlight w:val="none"/>
        </w:rPr>
        <w:t>元。</w:t>
      </w:r>
    </w:p>
    <w:p w14:paraId="0B6EB788">
      <w:pPr>
        <w:kinsoku w:val="0"/>
        <w:spacing w:line="400" w:lineRule="exact"/>
        <w:ind w:firstLine="480" w:firstLineChars="200"/>
        <w:rPr>
          <w:rFonts w:hint="eastAsia" w:ascii="宋体" w:hAnsi="宋体" w:eastAsia="宋体" w:cs="宋体"/>
          <w:sz w:val="24"/>
          <w:highlight w:val="none"/>
        </w:rPr>
      </w:pPr>
      <w:r>
        <w:rPr>
          <w:rFonts w:hint="eastAsia" w:ascii="宋体" w:hAnsi="宋体" w:eastAsia="宋体" w:cs="宋体"/>
          <w:color w:val="000000"/>
          <w:sz w:val="24"/>
          <w:highlight w:val="none"/>
        </w:rPr>
        <w:t>合同总价包括：产品的价格及所发生的运输费、杂费（含保险）、商检费、搬运费、安装调试费等</w:t>
      </w:r>
      <w:r>
        <w:rPr>
          <w:rFonts w:hint="eastAsia" w:ascii="宋体" w:hAnsi="宋体" w:eastAsia="宋体" w:cs="宋体"/>
          <w:sz w:val="24"/>
          <w:highlight w:val="none"/>
        </w:rPr>
        <w:t>一切费用。合同总价不可变更，不受市场价格或汇率变化的影响，不受实际数量变化的影响。</w:t>
      </w:r>
    </w:p>
    <w:p w14:paraId="54BF75B5">
      <w:pPr>
        <w:spacing w:line="400" w:lineRule="exact"/>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三、款项支付</w:t>
      </w:r>
    </w:p>
    <w:p w14:paraId="118C79BC">
      <w:pPr>
        <w:spacing w:line="360" w:lineRule="exact"/>
        <w:ind w:left="420"/>
        <w:rPr>
          <w:rFonts w:hint="eastAsia" w:ascii="宋体" w:hAnsi="宋体" w:eastAsia="宋体" w:cs="宋体"/>
          <w:bCs/>
          <w:sz w:val="24"/>
          <w:szCs w:val="24"/>
          <w:highlight w:val="none"/>
        </w:rPr>
      </w:pPr>
      <w:r>
        <w:rPr>
          <w:rFonts w:hint="eastAsia" w:ascii="宋体" w:hAnsi="宋体" w:eastAsia="宋体" w:cs="宋体"/>
          <w:bCs/>
          <w:sz w:val="24"/>
          <w:szCs w:val="24"/>
          <w:highlight w:val="none"/>
        </w:rPr>
        <w:t>（1）甲方以最终实际供货数量结算，发票在货到验收合格后由乙方开具给甲方。</w:t>
      </w:r>
    </w:p>
    <w:p w14:paraId="74738DED">
      <w:pPr>
        <w:spacing w:line="360" w:lineRule="exact"/>
        <w:ind w:left="420"/>
        <w:rPr>
          <w:rFonts w:hint="eastAsia" w:ascii="宋体" w:hAnsi="宋体" w:eastAsia="宋体" w:cs="宋体"/>
          <w:bCs/>
          <w:sz w:val="24"/>
          <w:szCs w:val="24"/>
          <w:highlight w:val="none"/>
        </w:rPr>
      </w:pPr>
      <w:r>
        <w:rPr>
          <w:rFonts w:hint="eastAsia" w:ascii="宋体" w:hAnsi="宋体" w:eastAsia="宋体" w:cs="宋体"/>
          <w:bCs/>
          <w:sz w:val="24"/>
          <w:szCs w:val="24"/>
          <w:highlight w:val="none"/>
        </w:rPr>
        <w:t>（2）甲方收到乙方开具的全额发票后及时向乙方支付合同总价款的100%。</w:t>
      </w:r>
    </w:p>
    <w:p w14:paraId="5052F7A9">
      <w:pPr>
        <w:spacing w:line="360" w:lineRule="exact"/>
        <w:ind w:left="420"/>
        <w:rPr>
          <w:rFonts w:hint="eastAsia" w:ascii="宋体" w:hAnsi="宋体" w:eastAsia="宋体" w:cs="宋体"/>
          <w:sz w:val="24"/>
          <w:szCs w:val="24"/>
          <w:highlight w:val="none"/>
        </w:rPr>
      </w:pPr>
      <w:r>
        <w:rPr>
          <w:rFonts w:hint="eastAsia" w:ascii="宋体" w:hAnsi="宋体" w:eastAsia="宋体" w:cs="宋体"/>
          <w:bCs/>
          <w:sz w:val="24"/>
          <w:szCs w:val="24"/>
          <w:highlight w:val="none"/>
        </w:rPr>
        <w:t>（3）签订合同前，乙方应缴纳合同金额5%的履约保证金。项目验收合格后，甲方一次性无息退还5%的履约保证金。</w:t>
      </w:r>
    </w:p>
    <w:p w14:paraId="7ABE390E">
      <w:pPr>
        <w:spacing w:line="360" w:lineRule="exact"/>
        <w:ind w:left="420"/>
        <w:rPr>
          <w:rFonts w:hint="eastAsia" w:ascii="宋体" w:hAnsi="宋体" w:eastAsia="宋体" w:cs="宋体"/>
          <w:sz w:val="24"/>
          <w:szCs w:val="24"/>
          <w:highlight w:val="none"/>
        </w:rPr>
      </w:pPr>
      <w:r>
        <w:rPr>
          <w:rFonts w:hint="eastAsia" w:ascii="宋体" w:hAnsi="宋体" w:eastAsia="宋体" w:cs="宋体"/>
          <w:sz w:val="24"/>
          <w:szCs w:val="24"/>
          <w:highlight w:val="none"/>
        </w:rPr>
        <w:t>（4）结算方式：银行转账</w:t>
      </w:r>
    </w:p>
    <w:p w14:paraId="1EB08BAA">
      <w:pPr>
        <w:spacing w:line="360" w:lineRule="exact"/>
        <w:ind w:left="420"/>
        <w:rPr>
          <w:rFonts w:hint="eastAsia" w:ascii="宋体" w:hAnsi="宋体" w:eastAsia="宋体" w:cs="宋体"/>
          <w:sz w:val="24"/>
          <w:szCs w:val="24"/>
          <w:highlight w:val="none"/>
        </w:rPr>
      </w:pPr>
      <w:r>
        <w:rPr>
          <w:rFonts w:hint="eastAsia" w:ascii="宋体" w:hAnsi="宋体" w:eastAsia="宋体" w:cs="宋体"/>
          <w:sz w:val="24"/>
          <w:szCs w:val="24"/>
          <w:highlight w:val="none"/>
        </w:rPr>
        <w:t>（5）货款支付单位为：陕西科技大学</w:t>
      </w:r>
    </w:p>
    <w:p w14:paraId="769EF657">
      <w:pPr>
        <w:spacing w:line="400" w:lineRule="exact"/>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四、交货条件</w:t>
      </w:r>
    </w:p>
    <w:p w14:paraId="7BA8F089">
      <w:pPr>
        <w:kinsoku w:val="0"/>
        <w:spacing w:line="400" w:lineRule="exact"/>
        <w:ind w:firstLine="600" w:firstLineChars="250"/>
        <w:rPr>
          <w:rFonts w:hint="eastAsia" w:ascii="宋体" w:hAnsi="宋体" w:eastAsia="宋体" w:cs="宋体"/>
          <w:sz w:val="24"/>
          <w:highlight w:val="none"/>
        </w:rPr>
      </w:pPr>
      <w:r>
        <w:rPr>
          <w:rFonts w:hint="eastAsia" w:ascii="宋体" w:hAnsi="宋体" w:eastAsia="宋体" w:cs="宋体"/>
          <w:sz w:val="24"/>
          <w:highlight w:val="none"/>
        </w:rPr>
        <w:t>1、交货地点：陕西省西安市未央区陕西科技大学内指定地点。</w:t>
      </w:r>
    </w:p>
    <w:p w14:paraId="3D30B9F4">
      <w:pPr>
        <w:kinsoku w:val="0"/>
        <w:spacing w:line="400" w:lineRule="exact"/>
        <w:ind w:firstLine="600" w:firstLineChars="250"/>
        <w:rPr>
          <w:rFonts w:hint="eastAsia" w:ascii="宋体" w:hAnsi="宋体" w:eastAsia="宋体" w:cs="宋体"/>
          <w:sz w:val="24"/>
          <w:szCs w:val="24"/>
          <w:highlight w:val="none"/>
        </w:rPr>
      </w:pPr>
      <w:r>
        <w:rPr>
          <w:rFonts w:hint="eastAsia" w:ascii="宋体" w:hAnsi="宋体" w:eastAsia="宋体" w:cs="宋体"/>
          <w:sz w:val="24"/>
          <w:highlight w:val="none"/>
        </w:rPr>
        <w:t>2、交货日期：</w:t>
      </w:r>
      <w:r>
        <w:rPr>
          <w:rFonts w:hint="eastAsia" w:ascii="宋体" w:hAnsi="宋体" w:eastAsia="宋体" w:cs="宋体"/>
          <w:sz w:val="24"/>
          <w:szCs w:val="24"/>
          <w:highlight w:val="none"/>
        </w:rPr>
        <w:t>双方签字盖章后合同生效，合同生效后</w:t>
      </w:r>
      <w:r>
        <w:rPr>
          <w:rFonts w:hint="eastAsia" w:ascii="宋体" w:hAnsi="宋体" w:eastAsia="宋体" w:cs="宋体"/>
          <w:sz w:val="24"/>
          <w:szCs w:val="24"/>
          <w:highlight w:val="none"/>
          <w:u w:val="single"/>
        </w:rPr>
        <w:t xml:space="preserve">      个</w:t>
      </w:r>
      <w:r>
        <w:rPr>
          <w:rFonts w:hint="eastAsia" w:ascii="宋体" w:hAnsi="宋体" w:eastAsia="宋体" w:cs="宋体"/>
          <w:sz w:val="24"/>
          <w:szCs w:val="24"/>
          <w:highlight w:val="none"/>
        </w:rPr>
        <w:t>日历日内完成交货。</w:t>
      </w:r>
    </w:p>
    <w:p w14:paraId="506226C2">
      <w:pPr>
        <w:spacing w:line="400" w:lineRule="exact"/>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五、运输方式：</w:t>
      </w:r>
      <w:r>
        <w:rPr>
          <w:rFonts w:hint="eastAsia" w:ascii="宋体" w:hAnsi="宋体" w:eastAsia="宋体" w:cs="宋体"/>
          <w:sz w:val="24"/>
          <w:highlight w:val="none"/>
        </w:rPr>
        <w:t>根据产品特性，由乙方在保证产品质量的前提下，自行选择运输及包装方式，发生的一切费用全部由乙方承担。</w:t>
      </w:r>
    </w:p>
    <w:p w14:paraId="2F8D24F5">
      <w:pPr>
        <w:adjustRightInd w:val="0"/>
        <w:snapToGrid w:val="0"/>
        <w:spacing w:line="400" w:lineRule="exact"/>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六、质量保证</w:t>
      </w:r>
    </w:p>
    <w:p w14:paraId="11D92054">
      <w:pPr>
        <w:adjustRightInd w:val="0"/>
        <w:snapToGrid w:val="0"/>
        <w:spacing w:line="4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1、乙方提供的产品必须满足招标文件及合同的技术参数要求。</w:t>
      </w:r>
    </w:p>
    <w:p w14:paraId="7A8EE00C">
      <w:pPr>
        <w:adjustRightInd w:val="0"/>
        <w:snapToGrid w:val="0"/>
        <w:spacing w:line="400" w:lineRule="exact"/>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2、乙方保证货物应是全新、未曾使用过的、优质工艺及材料制造的产品，并保证所供产品的完整性。</w:t>
      </w:r>
    </w:p>
    <w:p w14:paraId="18089A76">
      <w:pPr>
        <w:adjustRightInd w:val="0"/>
        <w:snapToGrid w:val="0"/>
        <w:spacing w:line="4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3、乙方保证所提供的产品质量可靠、进货渠道正规、配置合理、技术性能完全满足招标文件要求。</w:t>
      </w:r>
    </w:p>
    <w:p w14:paraId="18A168FF">
      <w:pPr>
        <w:adjustRightInd w:val="0"/>
        <w:snapToGrid w:val="0"/>
        <w:spacing w:line="4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4、乙方应随产品提供检验报告等相关材料。</w:t>
      </w:r>
    </w:p>
    <w:p w14:paraId="5435E69E">
      <w:pPr>
        <w:adjustRightInd w:val="0"/>
        <w:snapToGrid w:val="0"/>
        <w:spacing w:line="400" w:lineRule="exact"/>
        <w:ind w:firstLine="480" w:firstLineChars="200"/>
        <w:rPr>
          <w:rFonts w:hint="eastAsia" w:ascii="宋体" w:hAnsi="宋体" w:eastAsia="宋体" w:cs="宋体"/>
          <w:bCs/>
          <w:sz w:val="24"/>
          <w:highlight w:val="none"/>
        </w:rPr>
      </w:pPr>
      <w:r>
        <w:rPr>
          <w:rFonts w:hint="eastAsia" w:ascii="宋体" w:hAnsi="宋体" w:eastAsia="宋体" w:cs="宋体"/>
          <w:sz w:val="24"/>
          <w:highlight w:val="none"/>
        </w:rPr>
        <w:t>5、产品</w:t>
      </w:r>
      <w:r>
        <w:rPr>
          <w:rFonts w:hint="eastAsia" w:ascii="宋体" w:hAnsi="宋体" w:eastAsia="宋体" w:cs="宋体"/>
          <w:bCs/>
          <w:sz w:val="24"/>
          <w:highlight w:val="none"/>
        </w:rPr>
        <w:t>性能未达到招标文件技术参数要求的，甲方有权拒收产品或拒绝验收，乙方可进行限期整改；整改后仍达不到要求的，甲方有权解除合同，保留依法索赔的权利。</w:t>
      </w:r>
    </w:p>
    <w:p w14:paraId="179B5419">
      <w:pPr>
        <w:adjustRightInd w:val="0"/>
        <w:snapToGrid w:val="0"/>
        <w:spacing w:line="400" w:lineRule="exact"/>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七、质保期与承诺</w:t>
      </w:r>
    </w:p>
    <w:p w14:paraId="1741F0F1">
      <w:pPr>
        <w:adjustRightInd w:val="0"/>
        <w:snapToGrid w:val="0"/>
        <w:spacing w:line="400" w:lineRule="exact"/>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rPr>
        <w:t>1、产品的质保期为验收合格后</w:t>
      </w:r>
      <w:r>
        <w:rPr>
          <w:rFonts w:hint="eastAsia" w:ascii="宋体" w:hAnsi="宋体" w:eastAsia="宋体" w:cs="宋体"/>
          <w:bCs/>
          <w:sz w:val="24"/>
          <w:highlight w:val="none"/>
        </w:rPr>
        <w:t xml:space="preserve">     </w:t>
      </w:r>
      <w:r>
        <w:rPr>
          <w:rFonts w:hint="eastAsia" w:ascii="宋体" w:hAnsi="宋体" w:eastAsia="宋体" w:cs="宋体"/>
          <w:sz w:val="24"/>
          <w:highlight w:val="none"/>
        </w:rPr>
        <w:t>年。</w:t>
      </w:r>
    </w:p>
    <w:p w14:paraId="62FF7B62">
      <w:pPr>
        <w:adjustRightInd w:val="0"/>
        <w:snapToGrid w:val="0"/>
        <w:spacing w:line="400" w:lineRule="exact"/>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2、质保期内，若发生产品质量问题，乙方应免费解决；否则，甲方将乙方列入“政府采购联合惩戒黑名单”，并追究法律责任。</w:t>
      </w:r>
    </w:p>
    <w:p w14:paraId="7B7C84EB">
      <w:pPr>
        <w:adjustRightInd w:val="0"/>
        <w:snapToGrid w:val="0"/>
        <w:spacing w:line="4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3、乙方承诺免费延长质保，按照厂家承诺执行。</w:t>
      </w:r>
      <w:r>
        <w:rPr>
          <w:rFonts w:hint="eastAsia" w:ascii="宋体" w:hAnsi="宋体" w:eastAsia="宋体" w:cs="宋体"/>
          <w:bCs/>
          <w:sz w:val="24"/>
          <w:highlight w:val="none"/>
        </w:rPr>
        <w:t>否则，甲方将乙方列入“政府采购联合惩戒黑名单”，并追究法律责任。</w:t>
      </w:r>
    </w:p>
    <w:p w14:paraId="51ACFA2B">
      <w:pPr>
        <w:adjustRightInd w:val="0"/>
        <w:snapToGrid w:val="0"/>
        <w:spacing w:line="400" w:lineRule="exact"/>
        <w:ind w:firstLine="359" w:firstLineChars="149"/>
        <w:rPr>
          <w:rFonts w:hint="eastAsia" w:ascii="宋体" w:hAnsi="宋体" w:eastAsia="宋体" w:cs="宋体"/>
          <w:b/>
          <w:sz w:val="24"/>
          <w:highlight w:val="none"/>
        </w:rPr>
      </w:pPr>
      <w:r>
        <w:rPr>
          <w:rFonts w:hint="eastAsia" w:ascii="宋体" w:hAnsi="宋体" w:eastAsia="宋体" w:cs="宋体"/>
          <w:b/>
          <w:sz w:val="24"/>
          <w:highlight w:val="none"/>
        </w:rPr>
        <w:t>八、安装、调试及技术服务</w:t>
      </w:r>
    </w:p>
    <w:p w14:paraId="1C4C567E">
      <w:pPr>
        <w:spacing w:line="400" w:lineRule="exact"/>
        <w:ind w:firstLine="496" w:firstLineChars="207"/>
        <w:rPr>
          <w:rFonts w:hint="eastAsia" w:ascii="宋体" w:hAnsi="宋体" w:eastAsia="宋体" w:cs="宋体"/>
          <w:sz w:val="24"/>
          <w:highlight w:val="none"/>
        </w:rPr>
      </w:pPr>
      <w:r>
        <w:rPr>
          <w:rFonts w:hint="eastAsia" w:ascii="宋体" w:hAnsi="宋体" w:eastAsia="宋体" w:cs="宋体"/>
          <w:sz w:val="24"/>
          <w:highlight w:val="none"/>
        </w:rPr>
        <w:t>1、技术资料包括：出厂检测报告、产品使用说明书、合格证等其它相关资料。</w:t>
      </w:r>
    </w:p>
    <w:p w14:paraId="3DF4FE7D">
      <w:pPr>
        <w:spacing w:line="4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2、在质保期内，乙方在接到用户对所购产品进行售后的要求后，如发生质量问题提供不低于同档次的获取替代。</w:t>
      </w:r>
    </w:p>
    <w:p w14:paraId="5F107017">
      <w:pPr>
        <w:spacing w:line="4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3、安装调试完成后，产品的性能、稳定性等未达到招标文件要求，甲方有权拒绝验收。</w:t>
      </w:r>
    </w:p>
    <w:p w14:paraId="5B880F76">
      <w:pPr>
        <w:adjustRightInd w:val="0"/>
        <w:snapToGrid w:val="0"/>
        <w:spacing w:line="4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4、服务承诺：按投标文件中的服务承诺执行。</w:t>
      </w:r>
    </w:p>
    <w:p w14:paraId="37523500">
      <w:pPr>
        <w:spacing w:line="400" w:lineRule="exact"/>
        <w:ind w:firstLine="532"/>
        <w:rPr>
          <w:rFonts w:hint="eastAsia" w:ascii="宋体" w:hAnsi="宋体" w:eastAsia="宋体" w:cs="宋体"/>
          <w:b/>
          <w:sz w:val="24"/>
          <w:highlight w:val="none"/>
        </w:rPr>
      </w:pPr>
      <w:r>
        <w:rPr>
          <w:rFonts w:hint="eastAsia" w:ascii="宋体" w:hAnsi="宋体" w:eastAsia="宋体" w:cs="宋体"/>
          <w:b/>
          <w:sz w:val="24"/>
          <w:highlight w:val="none"/>
        </w:rPr>
        <w:t>九、产品验收</w:t>
      </w:r>
    </w:p>
    <w:p w14:paraId="55572A04">
      <w:pPr>
        <w:spacing w:line="4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1、产品到货后，乙方负责发放。</w:t>
      </w:r>
    </w:p>
    <w:p w14:paraId="62188EA4">
      <w:pPr>
        <w:spacing w:line="4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2、甲方根据合同要求对产品进行验收、确认产品的产地、规格、型号和数量。验收依据为本合同文本、招投标文件和国内相应的标准、规范。</w:t>
      </w:r>
    </w:p>
    <w:p w14:paraId="3E3960FE">
      <w:pPr>
        <w:tabs>
          <w:tab w:val="left" w:pos="5355"/>
        </w:tabs>
        <w:spacing w:line="400" w:lineRule="exact"/>
        <w:ind w:firstLine="506" w:firstLineChars="210"/>
        <w:rPr>
          <w:rFonts w:hint="eastAsia" w:ascii="宋体" w:hAnsi="宋体" w:eastAsia="宋体" w:cs="宋体"/>
          <w:b/>
          <w:sz w:val="24"/>
          <w:highlight w:val="none"/>
        </w:rPr>
      </w:pPr>
      <w:r>
        <w:rPr>
          <w:rFonts w:hint="eastAsia" w:ascii="宋体" w:hAnsi="宋体" w:eastAsia="宋体" w:cs="宋体"/>
          <w:b/>
          <w:sz w:val="24"/>
          <w:highlight w:val="none"/>
        </w:rPr>
        <w:t>十、违约责任：</w:t>
      </w:r>
    </w:p>
    <w:p w14:paraId="26D77B17">
      <w:pPr>
        <w:adjustRightInd w:val="0"/>
        <w:snapToGrid w:val="0"/>
        <w:spacing w:line="4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1、按《中华人民共和国民法典》中的相关条款执行。</w:t>
      </w:r>
    </w:p>
    <w:p w14:paraId="2FCFCE57">
      <w:pPr>
        <w:adjustRightInd w:val="0"/>
        <w:snapToGrid w:val="0"/>
        <w:spacing w:line="4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2、若乙方出现不能供货等违约情况，甲方将不退合同金额10%的履约保证金。</w:t>
      </w:r>
    </w:p>
    <w:p w14:paraId="0EACE78A">
      <w:pPr>
        <w:adjustRightInd w:val="0"/>
        <w:snapToGrid w:val="0"/>
        <w:spacing w:line="4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3、未按合同要求提供产品或设备质量不能满足招标的技术要求，甲方有权终止合同，并保留追究乙方违约责任的权利。</w:t>
      </w:r>
    </w:p>
    <w:p w14:paraId="6591E51B">
      <w:pPr>
        <w:adjustRightInd w:val="0"/>
        <w:snapToGrid w:val="0"/>
        <w:spacing w:line="4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4、因供货期迟延的，乙方按照每天1‰向甲方承担违约责任。</w:t>
      </w:r>
    </w:p>
    <w:p w14:paraId="22015720">
      <w:pPr>
        <w:adjustRightInd w:val="0"/>
        <w:snapToGrid w:val="0"/>
        <w:spacing w:line="4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5、因产品质量问题违约的，除了按照迟延时间计算违约金外，另可以采取退货、换货等方式，由乙方承担一切费用。</w:t>
      </w:r>
    </w:p>
    <w:p w14:paraId="592F1498">
      <w:pPr>
        <w:tabs>
          <w:tab w:val="left" w:pos="5355"/>
        </w:tabs>
        <w:spacing w:line="400" w:lineRule="exact"/>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十一、合同争议的解决：</w:t>
      </w:r>
    </w:p>
    <w:p w14:paraId="310E812F">
      <w:pPr>
        <w:tabs>
          <w:tab w:val="left" w:pos="5355"/>
        </w:tabs>
        <w:spacing w:line="400" w:lineRule="exact"/>
        <w:ind w:firstLine="480" w:firstLineChars="200"/>
        <w:rPr>
          <w:rFonts w:hint="eastAsia" w:ascii="宋体" w:hAnsi="宋体" w:eastAsia="宋体" w:cs="宋体"/>
          <w:b/>
          <w:sz w:val="24"/>
          <w:highlight w:val="none"/>
        </w:rPr>
      </w:pPr>
      <w:r>
        <w:rPr>
          <w:rFonts w:hint="eastAsia" w:ascii="宋体" w:hAnsi="宋体" w:eastAsia="宋体" w:cs="宋体"/>
          <w:sz w:val="24"/>
          <w:highlight w:val="none"/>
        </w:rPr>
        <w:t>合同一经签订，不得随意变更、中止或终止。对确需变更、调整或者中止、终止合同的，应按规定履行相应的手续。</w:t>
      </w:r>
    </w:p>
    <w:p w14:paraId="136E3FCD">
      <w:pPr>
        <w:tabs>
          <w:tab w:val="left" w:pos="5355"/>
        </w:tabs>
        <w:spacing w:line="4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合同执行中发生争议的，甲、乙双方应协商解决，协商达不成一致时，可向甲方所在地人民法院提请诉讼。</w:t>
      </w:r>
    </w:p>
    <w:p w14:paraId="02A2C51A">
      <w:pPr>
        <w:tabs>
          <w:tab w:val="left" w:pos="5355"/>
        </w:tabs>
        <w:spacing w:line="400" w:lineRule="exact"/>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十二、其它事项</w:t>
      </w:r>
    </w:p>
    <w:p w14:paraId="1150C81E">
      <w:pPr>
        <w:adjustRightInd w:val="0"/>
        <w:snapToGrid w:val="0"/>
        <w:spacing w:line="400" w:lineRule="exact"/>
        <w:ind w:firstLine="600" w:firstLineChars="250"/>
        <w:rPr>
          <w:rFonts w:hint="eastAsia" w:ascii="宋体" w:hAnsi="宋体" w:eastAsia="宋体" w:cs="宋体"/>
          <w:sz w:val="24"/>
          <w:highlight w:val="none"/>
        </w:rPr>
      </w:pPr>
      <w:r>
        <w:rPr>
          <w:rFonts w:hint="eastAsia" w:ascii="宋体" w:hAnsi="宋体" w:eastAsia="宋体" w:cs="宋体"/>
          <w:sz w:val="24"/>
          <w:highlight w:val="none"/>
        </w:rPr>
        <w:t>1、甲、乙双方做为合同执行的主体，有义务及时完全履行合同。招标代理机构陕西德勤招标有限公司监督履行。</w:t>
      </w:r>
    </w:p>
    <w:p w14:paraId="5884D48F">
      <w:pPr>
        <w:adjustRightInd w:val="0"/>
        <w:snapToGrid w:val="0"/>
        <w:spacing w:line="400" w:lineRule="exact"/>
        <w:ind w:firstLine="600" w:firstLineChars="250"/>
        <w:rPr>
          <w:rFonts w:hint="eastAsia" w:ascii="宋体" w:hAnsi="宋体" w:eastAsia="宋体" w:cs="宋体"/>
          <w:sz w:val="24"/>
          <w:highlight w:val="none"/>
        </w:rPr>
      </w:pPr>
      <w:r>
        <w:rPr>
          <w:rFonts w:hint="eastAsia" w:ascii="宋体" w:hAnsi="宋体" w:eastAsia="宋体" w:cs="宋体"/>
          <w:sz w:val="24"/>
          <w:highlight w:val="none"/>
        </w:rPr>
        <w:t>2、甲方使用部门代表学校签署合同，并随时监督合同履行情况。</w:t>
      </w:r>
    </w:p>
    <w:p w14:paraId="739D5434">
      <w:pPr>
        <w:adjustRightInd w:val="0"/>
        <w:snapToGrid w:val="0"/>
        <w:spacing w:line="400" w:lineRule="exact"/>
        <w:ind w:firstLine="600" w:firstLineChars="250"/>
        <w:rPr>
          <w:rFonts w:hint="eastAsia" w:ascii="宋体" w:hAnsi="宋体" w:eastAsia="宋体" w:cs="宋体"/>
          <w:sz w:val="24"/>
          <w:highlight w:val="none"/>
        </w:rPr>
      </w:pPr>
      <w:r>
        <w:rPr>
          <w:rFonts w:hint="eastAsia" w:ascii="宋体" w:hAnsi="宋体" w:eastAsia="宋体" w:cs="宋体"/>
          <w:sz w:val="24"/>
          <w:highlight w:val="none"/>
        </w:rPr>
        <w:t>3、合同未尽事宜，由甲、乙双方协商，协商方案作为本合同不可分割的组成部分，与本合同具有同等法律效力。</w:t>
      </w:r>
    </w:p>
    <w:p w14:paraId="2F6919AF">
      <w:pPr>
        <w:adjustRightInd w:val="0"/>
        <w:snapToGrid w:val="0"/>
        <w:spacing w:line="400" w:lineRule="exact"/>
        <w:ind w:firstLine="600" w:firstLineChars="250"/>
        <w:rPr>
          <w:rFonts w:hint="eastAsia" w:ascii="宋体" w:hAnsi="宋体" w:eastAsia="宋体" w:cs="宋体"/>
          <w:sz w:val="24"/>
          <w:highlight w:val="none"/>
        </w:rPr>
      </w:pPr>
      <w:r>
        <w:rPr>
          <w:rFonts w:hint="eastAsia" w:ascii="宋体" w:hAnsi="宋体" w:eastAsia="宋体" w:cs="宋体"/>
          <w:sz w:val="24"/>
          <w:highlight w:val="none"/>
        </w:rPr>
        <w:t>4、招标文件和乙方的投标文件以及合同附件均为合同不可分割的部分。</w:t>
      </w:r>
    </w:p>
    <w:p w14:paraId="6FFAF971">
      <w:pPr>
        <w:adjustRightInd w:val="0"/>
        <w:snapToGrid w:val="0"/>
        <w:spacing w:line="400" w:lineRule="exact"/>
        <w:ind w:firstLine="600" w:firstLineChars="250"/>
        <w:rPr>
          <w:rFonts w:hint="eastAsia" w:ascii="宋体" w:hAnsi="宋体" w:eastAsia="宋体" w:cs="宋体"/>
          <w:sz w:val="24"/>
          <w:highlight w:val="none"/>
        </w:rPr>
      </w:pPr>
      <w:r>
        <w:rPr>
          <w:rFonts w:hint="eastAsia" w:ascii="宋体" w:hAnsi="宋体" w:eastAsia="宋体" w:cs="宋体"/>
          <w:sz w:val="24"/>
          <w:highlight w:val="none"/>
        </w:rPr>
        <w:t>5、合同一式柒份，甲方持伍份、乙方执壹份，招标代理机构壹份。双方签字盖章后生效，合同执行完毕自动失效。（合同的服务承诺长期有效）。</w:t>
      </w:r>
    </w:p>
    <w:p w14:paraId="50B9BBC2">
      <w:pPr>
        <w:tabs>
          <w:tab w:val="left" w:pos="5355"/>
        </w:tabs>
        <w:spacing w:line="400" w:lineRule="exact"/>
        <w:rPr>
          <w:rFonts w:hint="eastAsia" w:ascii="宋体" w:hAnsi="宋体" w:eastAsia="宋体" w:cs="宋体"/>
          <w:sz w:val="24"/>
          <w:highlight w:val="none"/>
        </w:rPr>
      </w:pPr>
      <w:r>
        <w:rPr>
          <w:rFonts w:hint="eastAsia" w:ascii="宋体" w:hAnsi="宋体" w:eastAsia="宋体" w:cs="宋体"/>
          <w:sz w:val="24"/>
          <w:highlight w:val="none"/>
        </w:rPr>
        <w:t xml:space="preserve">    6、使用单位收货、验货人员：____________  电话：_______________</w:t>
      </w:r>
    </w:p>
    <w:tbl>
      <w:tblPr>
        <w:tblStyle w:val="4"/>
        <w:tblpPr w:leftFromText="180" w:rightFromText="180" w:vertAnchor="text" w:horzAnchor="page" w:tblpX="1469" w:tblpY="559"/>
        <w:tblOverlap w:val="never"/>
        <w:tblW w:w="9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0"/>
        <w:gridCol w:w="4580"/>
      </w:tblGrid>
      <w:tr w14:paraId="0E4DB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2720599E">
            <w:pPr>
              <w:spacing w:line="288" w:lineRule="auto"/>
              <w:rPr>
                <w:rFonts w:hint="eastAsia" w:ascii="宋体" w:hAnsi="宋体" w:eastAsia="宋体" w:cs="宋体"/>
                <w:sz w:val="24"/>
                <w:highlight w:val="none"/>
              </w:rPr>
            </w:pPr>
            <w:r>
              <w:rPr>
                <w:rFonts w:hint="eastAsia" w:ascii="宋体" w:hAnsi="宋体" w:eastAsia="宋体" w:cs="宋体"/>
                <w:sz w:val="24"/>
                <w:highlight w:val="none"/>
              </w:rPr>
              <w:t xml:space="preserve">甲  方：陕西科技大学  </w:t>
            </w:r>
          </w:p>
        </w:tc>
        <w:tc>
          <w:tcPr>
            <w:tcW w:w="4580" w:type="dxa"/>
            <w:tcBorders>
              <w:top w:val="single" w:color="auto" w:sz="4" w:space="0"/>
              <w:left w:val="single" w:color="auto" w:sz="4" w:space="0"/>
              <w:bottom w:val="single" w:color="auto" w:sz="4" w:space="0"/>
              <w:right w:val="single" w:color="auto" w:sz="4" w:space="0"/>
            </w:tcBorders>
            <w:noWrap/>
            <w:vAlign w:val="center"/>
          </w:tcPr>
          <w:p w14:paraId="6398CF90">
            <w:pPr>
              <w:spacing w:line="288" w:lineRule="auto"/>
              <w:rPr>
                <w:rFonts w:hint="eastAsia" w:ascii="宋体" w:hAnsi="宋体" w:eastAsia="宋体" w:cs="宋体"/>
                <w:sz w:val="24"/>
                <w:highlight w:val="none"/>
              </w:rPr>
            </w:pPr>
            <w:r>
              <w:rPr>
                <w:rFonts w:hint="eastAsia" w:ascii="宋体" w:hAnsi="宋体" w:eastAsia="宋体" w:cs="宋体"/>
                <w:sz w:val="24"/>
                <w:highlight w:val="none"/>
              </w:rPr>
              <w:t xml:space="preserve">乙  方： </w:t>
            </w:r>
          </w:p>
        </w:tc>
      </w:tr>
      <w:tr w14:paraId="3202F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686C6BB7">
            <w:pPr>
              <w:spacing w:line="288" w:lineRule="auto"/>
              <w:rPr>
                <w:rFonts w:hint="eastAsia" w:ascii="宋体" w:hAnsi="宋体" w:eastAsia="宋体" w:cs="宋体"/>
                <w:sz w:val="24"/>
                <w:highlight w:val="none"/>
              </w:rPr>
            </w:pPr>
            <w:r>
              <w:rPr>
                <w:rFonts w:hint="eastAsia" w:ascii="宋体" w:hAnsi="宋体" w:eastAsia="宋体" w:cs="宋体"/>
                <w:sz w:val="24"/>
                <w:highlight w:val="none"/>
              </w:rPr>
              <w:t>地  址：陕西省西安市未央大学园区</w:t>
            </w:r>
          </w:p>
        </w:tc>
        <w:tc>
          <w:tcPr>
            <w:tcW w:w="4580" w:type="dxa"/>
            <w:tcBorders>
              <w:top w:val="single" w:color="auto" w:sz="4" w:space="0"/>
              <w:left w:val="single" w:color="auto" w:sz="4" w:space="0"/>
              <w:bottom w:val="single" w:color="auto" w:sz="4" w:space="0"/>
              <w:right w:val="single" w:color="auto" w:sz="4" w:space="0"/>
            </w:tcBorders>
            <w:noWrap/>
            <w:vAlign w:val="center"/>
          </w:tcPr>
          <w:p w14:paraId="71CFF2A3">
            <w:pPr>
              <w:spacing w:line="288" w:lineRule="auto"/>
              <w:rPr>
                <w:rFonts w:hint="eastAsia" w:ascii="宋体" w:hAnsi="宋体" w:eastAsia="宋体" w:cs="宋体"/>
                <w:sz w:val="24"/>
                <w:highlight w:val="none"/>
              </w:rPr>
            </w:pPr>
            <w:r>
              <w:rPr>
                <w:rFonts w:hint="eastAsia" w:ascii="宋体" w:hAnsi="宋体" w:eastAsia="宋体" w:cs="宋体"/>
                <w:sz w:val="24"/>
                <w:highlight w:val="none"/>
              </w:rPr>
              <w:t>地  址：</w:t>
            </w:r>
          </w:p>
        </w:tc>
      </w:tr>
      <w:tr w14:paraId="53835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38011BDC">
            <w:pPr>
              <w:spacing w:line="288" w:lineRule="auto"/>
              <w:rPr>
                <w:rFonts w:hint="eastAsia" w:ascii="宋体" w:hAnsi="宋体" w:eastAsia="宋体" w:cs="宋体"/>
                <w:sz w:val="24"/>
                <w:highlight w:val="none"/>
              </w:rPr>
            </w:pPr>
            <w:r>
              <w:rPr>
                <w:rFonts w:hint="eastAsia" w:ascii="宋体" w:hAnsi="宋体" w:eastAsia="宋体" w:cs="宋体"/>
                <w:sz w:val="24"/>
                <w:highlight w:val="none"/>
              </w:rPr>
              <w:t>代理人：</w:t>
            </w:r>
          </w:p>
        </w:tc>
        <w:tc>
          <w:tcPr>
            <w:tcW w:w="4580" w:type="dxa"/>
            <w:tcBorders>
              <w:top w:val="single" w:color="auto" w:sz="4" w:space="0"/>
              <w:left w:val="single" w:color="auto" w:sz="4" w:space="0"/>
              <w:bottom w:val="single" w:color="auto" w:sz="4" w:space="0"/>
              <w:right w:val="single" w:color="auto" w:sz="4" w:space="0"/>
            </w:tcBorders>
            <w:noWrap/>
            <w:vAlign w:val="center"/>
          </w:tcPr>
          <w:p w14:paraId="349C31FD">
            <w:pPr>
              <w:tabs>
                <w:tab w:val="left" w:pos="5355"/>
              </w:tabs>
              <w:spacing w:line="288" w:lineRule="auto"/>
              <w:rPr>
                <w:rFonts w:hint="eastAsia" w:ascii="宋体" w:hAnsi="宋体" w:eastAsia="宋体" w:cs="宋体"/>
                <w:sz w:val="24"/>
                <w:highlight w:val="none"/>
              </w:rPr>
            </w:pPr>
            <w:r>
              <w:rPr>
                <w:rFonts w:hint="eastAsia" w:ascii="宋体" w:hAnsi="宋体" w:eastAsia="宋体" w:cs="宋体"/>
                <w:sz w:val="24"/>
                <w:highlight w:val="none"/>
              </w:rPr>
              <w:t>代理人：</w:t>
            </w:r>
          </w:p>
        </w:tc>
      </w:tr>
      <w:tr w14:paraId="131D2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0FDC096C">
            <w:pPr>
              <w:spacing w:line="288" w:lineRule="auto"/>
              <w:rPr>
                <w:rFonts w:hint="eastAsia" w:ascii="宋体" w:hAnsi="宋体" w:eastAsia="宋体" w:cs="宋体"/>
                <w:sz w:val="24"/>
                <w:highlight w:val="none"/>
              </w:rPr>
            </w:pPr>
            <w:r>
              <w:rPr>
                <w:rFonts w:hint="eastAsia" w:ascii="宋体" w:hAnsi="宋体" w:eastAsia="宋体" w:cs="宋体"/>
                <w:sz w:val="24"/>
                <w:highlight w:val="none"/>
              </w:rPr>
              <w:t xml:space="preserve">技术确认：        </w:t>
            </w:r>
          </w:p>
        </w:tc>
        <w:tc>
          <w:tcPr>
            <w:tcW w:w="4580" w:type="dxa"/>
            <w:tcBorders>
              <w:top w:val="single" w:color="auto" w:sz="4" w:space="0"/>
              <w:left w:val="single" w:color="auto" w:sz="4" w:space="0"/>
              <w:bottom w:val="single" w:color="auto" w:sz="4" w:space="0"/>
              <w:right w:val="single" w:color="auto" w:sz="4" w:space="0"/>
            </w:tcBorders>
            <w:noWrap/>
            <w:vAlign w:val="center"/>
          </w:tcPr>
          <w:p w14:paraId="2EFE14AF">
            <w:pPr>
              <w:tabs>
                <w:tab w:val="left" w:pos="5355"/>
              </w:tabs>
              <w:spacing w:line="288" w:lineRule="auto"/>
              <w:rPr>
                <w:rFonts w:hint="eastAsia" w:ascii="宋体" w:hAnsi="宋体" w:eastAsia="宋体" w:cs="宋体"/>
                <w:sz w:val="24"/>
                <w:highlight w:val="none"/>
              </w:rPr>
            </w:pPr>
            <w:r>
              <w:rPr>
                <w:rFonts w:hint="eastAsia" w:ascii="宋体" w:hAnsi="宋体" w:eastAsia="宋体" w:cs="宋体"/>
                <w:sz w:val="24"/>
                <w:highlight w:val="none"/>
              </w:rPr>
              <w:t>技术确认：</w:t>
            </w:r>
          </w:p>
        </w:tc>
      </w:tr>
      <w:tr w14:paraId="2286E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3078DE56">
            <w:pPr>
              <w:spacing w:line="288" w:lineRule="auto"/>
              <w:rPr>
                <w:rFonts w:hint="eastAsia" w:ascii="宋体" w:hAnsi="宋体" w:eastAsia="宋体" w:cs="宋体"/>
                <w:sz w:val="24"/>
                <w:highlight w:val="none"/>
              </w:rPr>
            </w:pPr>
            <w:r>
              <w:rPr>
                <w:rFonts w:hint="eastAsia" w:ascii="宋体" w:hAnsi="宋体" w:eastAsia="宋体" w:cs="宋体"/>
                <w:sz w:val="24"/>
                <w:highlight w:val="none"/>
              </w:rPr>
              <w:t>联系电话：029-86168123</w:t>
            </w:r>
          </w:p>
        </w:tc>
        <w:tc>
          <w:tcPr>
            <w:tcW w:w="4580" w:type="dxa"/>
            <w:tcBorders>
              <w:top w:val="single" w:color="auto" w:sz="4" w:space="0"/>
              <w:left w:val="single" w:color="auto" w:sz="4" w:space="0"/>
              <w:bottom w:val="single" w:color="auto" w:sz="4" w:space="0"/>
              <w:right w:val="single" w:color="auto" w:sz="4" w:space="0"/>
            </w:tcBorders>
            <w:noWrap/>
            <w:vAlign w:val="center"/>
          </w:tcPr>
          <w:p w14:paraId="25C4D0FD">
            <w:pPr>
              <w:spacing w:line="288" w:lineRule="auto"/>
              <w:rPr>
                <w:rFonts w:hint="eastAsia" w:ascii="宋体" w:hAnsi="宋体" w:eastAsia="宋体" w:cs="宋体"/>
                <w:sz w:val="24"/>
                <w:highlight w:val="none"/>
              </w:rPr>
            </w:pPr>
            <w:r>
              <w:rPr>
                <w:rFonts w:hint="eastAsia" w:ascii="宋体" w:hAnsi="宋体" w:eastAsia="宋体" w:cs="宋体"/>
                <w:sz w:val="24"/>
                <w:highlight w:val="none"/>
              </w:rPr>
              <w:t>联系电话：</w:t>
            </w:r>
          </w:p>
        </w:tc>
      </w:tr>
      <w:tr w14:paraId="4E2C7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1C5B2475">
            <w:pPr>
              <w:spacing w:line="288" w:lineRule="auto"/>
              <w:rPr>
                <w:rFonts w:hint="eastAsia" w:ascii="宋体" w:hAnsi="宋体" w:eastAsia="宋体" w:cs="宋体"/>
                <w:sz w:val="24"/>
                <w:highlight w:val="none"/>
              </w:rPr>
            </w:pPr>
            <w:r>
              <w:rPr>
                <w:rFonts w:hint="eastAsia" w:ascii="宋体" w:hAnsi="宋体" w:eastAsia="宋体" w:cs="宋体"/>
                <w:sz w:val="24"/>
                <w:highlight w:val="none"/>
              </w:rPr>
              <w:t xml:space="preserve">开户行：中国银行西安浐灞区支行 </w:t>
            </w:r>
          </w:p>
        </w:tc>
        <w:tc>
          <w:tcPr>
            <w:tcW w:w="4580" w:type="dxa"/>
            <w:tcBorders>
              <w:top w:val="single" w:color="auto" w:sz="4" w:space="0"/>
              <w:left w:val="single" w:color="auto" w:sz="4" w:space="0"/>
              <w:bottom w:val="single" w:color="auto" w:sz="4" w:space="0"/>
              <w:right w:val="single" w:color="auto" w:sz="4" w:space="0"/>
            </w:tcBorders>
            <w:noWrap/>
            <w:vAlign w:val="center"/>
          </w:tcPr>
          <w:p w14:paraId="4EE060D1">
            <w:pPr>
              <w:tabs>
                <w:tab w:val="left" w:pos="5355"/>
              </w:tabs>
              <w:spacing w:line="288" w:lineRule="auto"/>
              <w:rPr>
                <w:rFonts w:hint="eastAsia" w:ascii="宋体" w:hAnsi="宋体" w:eastAsia="宋体" w:cs="宋体"/>
                <w:sz w:val="24"/>
                <w:highlight w:val="none"/>
              </w:rPr>
            </w:pPr>
            <w:r>
              <w:rPr>
                <w:rFonts w:hint="eastAsia" w:ascii="宋体" w:hAnsi="宋体" w:eastAsia="宋体" w:cs="宋体"/>
                <w:sz w:val="24"/>
                <w:highlight w:val="none"/>
              </w:rPr>
              <w:t xml:space="preserve">开户行： </w:t>
            </w:r>
          </w:p>
        </w:tc>
      </w:tr>
      <w:tr w14:paraId="4C699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296C8977">
            <w:pPr>
              <w:spacing w:line="288" w:lineRule="auto"/>
              <w:rPr>
                <w:rFonts w:hint="eastAsia" w:ascii="宋体" w:hAnsi="宋体" w:eastAsia="宋体" w:cs="宋体"/>
                <w:sz w:val="24"/>
                <w:highlight w:val="none"/>
              </w:rPr>
            </w:pPr>
            <w:r>
              <w:rPr>
                <w:rFonts w:hint="eastAsia" w:ascii="宋体" w:hAnsi="宋体" w:eastAsia="宋体" w:cs="宋体"/>
                <w:sz w:val="24"/>
                <w:highlight w:val="none"/>
              </w:rPr>
              <w:t xml:space="preserve">账号：1028 8745 5445  </w:t>
            </w:r>
          </w:p>
        </w:tc>
        <w:tc>
          <w:tcPr>
            <w:tcW w:w="4580" w:type="dxa"/>
            <w:tcBorders>
              <w:top w:val="single" w:color="auto" w:sz="4" w:space="0"/>
              <w:left w:val="single" w:color="auto" w:sz="4" w:space="0"/>
              <w:bottom w:val="single" w:color="auto" w:sz="4" w:space="0"/>
              <w:right w:val="single" w:color="auto" w:sz="4" w:space="0"/>
            </w:tcBorders>
            <w:noWrap/>
            <w:vAlign w:val="center"/>
          </w:tcPr>
          <w:p w14:paraId="009A3926">
            <w:pPr>
              <w:tabs>
                <w:tab w:val="left" w:pos="5355"/>
              </w:tabs>
              <w:spacing w:line="288" w:lineRule="auto"/>
              <w:rPr>
                <w:rFonts w:hint="eastAsia" w:ascii="宋体" w:hAnsi="宋体" w:eastAsia="宋体" w:cs="宋体"/>
                <w:sz w:val="24"/>
                <w:highlight w:val="none"/>
              </w:rPr>
            </w:pPr>
            <w:r>
              <w:rPr>
                <w:rFonts w:hint="eastAsia" w:ascii="宋体" w:hAnsi="宋体" w:eastAsia="宋体" w:cs="宋体"/>
                <w:sz w:val="24"/>
                <w:highlight w:val="none"/>
              </w:rPr>
              <w:t>账号：</w:t>
            </w:r>
          </w:p>
        </w:tc>
      </w:tr>
      <w:tr w14:paraId="665A3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627B3ED7">
            <w:pPr>
              <w:spacing w:line="288" w:lineRule="auto"/>
              <w:rPr>
                <w:rFonts w:hint="eastAsia" w:ascii="宋体" w:hAnsi="宋体" w:eastAsia="宋体" w:cs="宋体"/>
                <w:sz w:val="24"/>
                <w:highlight w:val="none"/>
              </w:rPr>
            </w:pPr>
            <w:r>
              <w:rPr>
                <w:rFonts w:hint="eastAsia" w:ascii="宋体" w:hAnsi="宋体" w:eastAsia="宋体" w:cs="宋体"/>
                <w:sz w:val="24"/>
                <w:highlight w:val="none"/>
              </w:rPr>
              <w:t>税号：12610000435630669J</w:t>
            </w:r>
          </w:p>
        </w:tc>
        <w:tc>
          <w:tcPr>
            <w:tcW w:w="4580" w:type="dxa"/>
            <w:tcBorders>
              <w:top w:val="single" w:color="auto" w:sz="4" w:space="0"/>
              <w:left w:val="single" w:color="auto" w:sz="4" w:space="0"/>
              <w:bottom w:val="single" w:color="auto" w:sz="4" w:space="0"/>
              <w:right w:val="single" w:color="auto" w:sz="4" w:space="0"/>
            </w:tcBorders>
            <w:noWrap/>
            <w:vAlign w:val="center"/>
          </w:tcPr>
          <w:p w14:paraId="0DEEE970">
            <w:pPr>
              <w:spacing w:line="288" w:lineRule="auto"/>
              <w:rPr>
                <w:rFonts w:hint="eastAsia" w:ascii="宋体" w:hAnsi="宋体" w:eastAsia="宋体" w:cs="宋体"/>
                <w:sz w:val="24"/>
                <w:highlight w:val="none"/>
              </w:rPr>
            </w:pPr>
            <w:r>
              <w:rPr>
                <w:rFonts w:hint="eastAsia" w:ascii="宋体" w:hAnsi="宋体" w:eastAsia="宋体" w:cs="宋体"/>
                <w:sz w:val="24"/>
                <w:highlight w:val="none"/>
              </w:rPr>
              <w:t>税号：</w:t>
            </w:r>
          </w:p>
        </w:tc>
      </w:tr>
      <w:tr w14:paraId="2ACEB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63E062DA">
            <w:pPr>
              <w:spacing w:line="288" w:lineRule="auto"/>
              <w:rPr>
                <w:rFonts w:hint="eastAsia" w:ascii="宋体" w:hAnsi="宋体" w:eastAsia="宋体" w:cs="宋体"/>
                <w:sz w:val="24"/>
                <w:highlight w:val="none"/>
              </w:rPr>
            </w:pPr>
            <w:r>
              <w:rPr>
                <w:rFonts w:hint="eastAsia" w:ascii="宋体" w:hAnsi="宋体" w:eastAsia="宋体" w:cs="宋体"/>
                <w:sz w:val="24"/>
                <w:highlight w:val="none"/>
              </w:rPr>
              <w:t>日 期：    年    月    日</w:t>
            </w:r>
          </w:p>
        </w:tc>
        <w:tc>
          <w:tcPr>
            <w:tcW w:w="4580" w:type="dxa"/>
            <w:tcBorders>
              <w:top w:val="single" w:color="auto" w:sz="4" w:space="0"/>
              <w:left w:val="single" w:color="auto" w:sz="4" w:space="0"/>
              <w:bottom w:val="single" w:color="auto" w:sz="4" w:space="0"/>
              <w:right w:val="single" w:color="auto" w:sz="4" w:space="0"/>
            </w:tcBorders>
            <w:noWrap/>
            <w:vAlign w:val="center"/>
          </w:tcPr>
          <w:p w14:paraId="4730343F">
            <w:pPr>
              <w:spacing w:line="288" w:lineRule="auto"/>
              <w:rPr>
                <w:rFonts w:hint="eastAsia" w:ascii="宋体" w:hAnsi="宋体" w:eastAsia="宋体" w:cs="宋体"/>
                <w:sz w:val="24"/>
                <w:highlight w:val="none"/>
              </w:rPr>
            </w:pPr>
            <w:r>
              <w:rPr>
                <w:rFonts w:hint="eastAsia" w:ascii="宋体" w:hAnsi="宋体" w:eastAsia="宋体" w:cs="宋体"/>
                <w:sz w:val="24"/>
                <w:highlight w:val="none"/>
              </w:rPr>
              <w:t>日 期：   年    月   日</w:t>
            </w:r>
          </w:p>
        </w:tc>
      </w:tr>
    </w:tbl>
    <w:p w14:paraId="243FD8A4">
      <w:pPr>
        <w:pStyle w:val="2"/>
        <w:rPr>
          <w:rFonts w:hint="eastAsia" w:ascii="宋体" w:hAnsi="宋体" w:eastAsia="宋体" w:cs="宋体"/>
          <w:sz w:val="20"/>
          <w:szCs w:val="20"/>
          <w:highlight w:val="none"/>
        </w:rPr>
      </w:pPr>
    </w:p>
    <w:p w14:paraId="634BF6DF">
      <w:bookmarkStart w:id="4" w:name="_GoBack"/>
      <w:bookmarkEnd w:id="4"/>
    </w:p>
    <w:sectPr>
      <w:headerReference r:id="rId3" w:type="default"/>
      <w:footerReference r:id="rId4"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524EC9">
    <w:pPr>
      <w:pStyle w:val="3"/>
      <w:pBdr>
        <w:bottom w:val="double" w:color="auto" w:sz="8" w:space="1"/>
      </w:pBdr>
      <w:jc w:val="left"/>
      <w:rPr>
        <w:rFonts w:hint="eastAsia" w:ascii="黑体" w:hAnsi="黑体" w:eastAsia="黑体" w:cs="黑体"/>
        <w:kern w:val="2"/>
      </w:rPr>
    </w:pPr>
    <w:r>
      <mc:AlternateContent>
        <mc:Choice Requires="wps">
          <w:drawing>
            <wp:anchor distT="0" distB="0" distL="114300" distR="114300" simplePos="0" relativeHeight="251659264" behindDoc="0" locked="0" layoutInCell="1" allowOverlap="1">
              <wp:simplePos x="0" y="0"/>
              <wp:positionH relativeFrom="margin">
                <wp:posOffset>2515235</wp:posOffset>
              </wp:positionH>
              <wp:positionV relativeFrom="paragraph">
                <wp:posOffset>0</wp:posOffset>
              </wp:positionV>
              <wp:extent cx="1118235" cy="296545"/>
              <wp:effectExtent l="0" t="0" r="0" b="0"/>
              <wp:wrapNone/>
              <wp:docPr id="13" name="文本框 16"/>
              <wp:cNvGraphicFramePr/>
              <a:graphic xmlns:a="http://schemas.openxmlformats.org/drawingml/2006/main">
                <a:graphicData uri="http://schemas.microsoft.com/office/word/2010/wordprocessingShape">
                  <wps:wsp>
                    <wps:cNvSpPr txBox="1"/>
                    <wps:spPr>
                      <a:xfrm>
                        <a:off x="0" y="0"/>
                        <a:ext cx="1118235" cy="296545"/>
                      </a:xfrm>
                      <a:prstGeom prst="rect">
                        <a:avLst/>
                      </a:prstGeom>
                      <a:noFill/>
                      <a:ln>
                        <a:noFill/>
                      </a:ln>
                    </wps:spPr>
                    <wps:txbx>
                      <w:txbxContent>
                        <w:p w14:paraId="430BFE26">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sz w:val="18"/>
                            </w:rPr>
                            <w:t>84</w:t>
                          </w:r>
                          <w:r>
                            <w:rPr>
                              <w:rFonts w:hint="eastAsia"/>
                              <w:sz w:val="18"/>
                            </w:rPr>
                            <w:fldChar w:fldCharType="end"/>
                          </w:r>
                          <w:r>
                            <w:rPr>
                              <w:rFonts w:hint="eastAsia"/>
                              <w:sz w:val="18"/>
                            </w:rPr>
                            <w:t xml:space="preserve"> 页</w:t>
                          </w:r>
                        </w:p>
                      </w:txbxContent>
                    </wps:txbx>
                    <wps:bodyPr wrap="square" lIns="0" tIns="0" rIns="0" bIns="0"/>
                  </wps:wsp>
                </a:graphicData>
              </a:graphic>
            </wp:anchor>
          </w:drawing>
        </mc:Choice>
        <mc:Fallback>
          <w:pict>
            <v:shape id="文本框 16" o:spid="_x0000_s1026" o:spt="202" type="#_x0000_t202" style="position:absolute;left:0pt;margin-left:198.05pt;margin-top:0pt;height:23.35pt;width:88.05pt;mso-position-horizontal-relative:margin;z-index:251659264;mso-width-relative:page;mso-height-relative:page;" filled="f" stroked="f" coordsize="21600,21600" o:gfxdata="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25NWcNcAAAAHAQAADwAAAAAAAAABACAAAAAiAAAAZHJzL2Rvd25yZXYueG1s&#10;UEsBAhQAFAAAAAgAh07iQPIzNJLAAQAAdgMAAA4AAAAAAAAAAQAgAAAAJgEAAGRycy9lMm9Eb2Mu&#10;eG1sUEsFBgAAAAAGAAYAWQEAAFgFAAAAAA==&#10;">
              <v:fill on="f" focussize="0,0"/>
              <v:stroke on="f"/>
              <v:imagedata o:title=""/>
              <o:lock v:ext="edit" aspectratio="f"/>
              <v:textbox inset="0mm,0mm,0mm,0mm">
                <w:txbxContent>
                  <w:p w14:paraId="430BFE26">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sz w:val="18"/>
                      </w:rPr>
                      <w:t>84</w:t>
                    </w:r>
                    <w:r>
                      <w:rPr>
                        <w:rFonts w:hint="eastAsia"/>
                        <w:sz w:val="18"/>
                      </w:rPr>
                      <w:fldChar w:fldCharType="end"/>
                    </w:r>
                    <w:r>
                      <w:rPr>
                        <w:rFonts w:hint="eastAsia"/>
                        <w:sz w:val="18"/>
                      </w:rPr>
                      <w:t xml:space="preserve"> 页</w:t>
                    </w:r>
                  </w:p>
                </w:txbxContent>
              </v:textbox>
            </v:shape>
          </w:pict>
        </mc:Fallback>
      </mc:AlternateContent>
    </w:r>
    <w:r>
      <w:rPr>
        <w:rFonts w:hint="eastAsia" w:ascii="黑体" w:hAnsi="黑体" w:eastAsia="黑体" w:cs="黑体"/>
        <w:kern w:val="2"/>
      </w:rPr>
      <w:t>陕西德勤招标有限公司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865EB4">
    <w:pPr>
      <w:pStyle w:val="3"/>
      <w:pBdr>
        <w:bottom w:val="double" w:color="auto" w:sz="8" w:space="1"/>
      </w:pBdr>
      <w:jc w:val="left"/>
      <w:rPr>
        <w:rFonts w:hint="eastAsia" w:ascii="黑体" w:hAnsi="黑体" w:eastAsia="黑体" w:cs="黑体"/>
        <w:kern w:val="2"/>
      </w:rPr>
    </w:pPr>
    <w:r>
      <w:rPr>
        <w:rFonts w:hint="eastAsia" w:ascii="黑体" w:hAnsi="黑体" w:eastAsia="黑体" w:cs="黑体"/>
        <w:kern w:val="2"/>
        <w:highlight w:val="none"/>
        <w:lang w:eastAsia="zh-CN"/>
      </w:rPr>
      <w:t>便携式光学成像及认知神经采集、行为分析系统及虚拟现实图形化实验生理采集人机环境同步平台采购项目</w:t>
    </w:r>
    <w:r>
      <w:rPr>
        <w:rFonts w:hint="eastAsia" w:ascii="黑体" w:hAnsi="黑体" w:eastAsia="黑体" w:cs="黑体"/>
        <w:kern w:val="2"/>
      </w:rPr>
      <w:t>公开招标文件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3E5A52"/>
    <w:rsid w:val="613E5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99"/>
    <w:rPr>
      <w:rFonts w:ascii="Calibri" w:hAnsi="Calibri" w:cs="Times New Roman"/>
      <w:kern w:val="0"/>
    </w:rPr>
  </w:style>
  <w:style w:type="paragraph" w:styleId="3">
    <w:name w:val="header"/>
    <w:basedOn w:val="1"/>
    <w:qFormat/>
    <w:uiPriority w:val="99"/>
    <w:pPr>
      <w:pBdr>
        <w:bottom w:val="single" w:color="auto" w:sz="6" w:space="1"/>
      </w:pBdr>
      <w:tabs>
        <w:tab w:val="center" w:pos="4153"/>
        <w:tab w:val="right" w:pos="8306"/>
      </w:tabs>
      <w:snapToGrid w:val="0"/>
      <w:jc w:val="center"/>
    </w:pPr>
    <w:rPr>
      <w:rFonts w:ascii="Calibri" w:hAnsi="Calibri" w:cs="Times New Roman"/>
      <w:kern w:val="0"/>
      <w:sz w:val="18"/>
      <w:szCs w:val="18"/>
    </w:rPr>
  </w:style>
  <w:style w:type="character" w:customStyle="1" w:styleId="6">
    <w:name w:val="标题 1 Char"/>
    <w:autoRedefine/>
    <w:qFormat/>
    <w:locked/>
    <w:uiPriority w:val="99"/>
    <w:rPr>
      <w:rFonts w:ascii="Calibri" w:hAnsi="Calibri" w:cs="Calibri"/>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2025-11-12T08:01:00Z</dcterms:created>
  <dc:creator>饣耳</dc:creator>
  <cp:lastModifiedBy>饣耳</cp:lastModifiedBy>
  <dcterms:modified xsi:type="dcterms:W3CDTF">2025-11-12T08:03:13Z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683DB26DA8A244B7948893B7C986F1A4_11</vt:lpwstr>
  </property>
  <property fmtid="{D5CDD505-2E9C-101B-9397-08002B2CF9AE}" pid="4" name="KSOTemplateDocerSaveRecord">
    <vt:lpwstr>eyJoZGlkIjoiYWMyZGEzMDVkZmYyMmUwMDAyY2MyMWRkMDIzODQ1YjEiLCJ1c2VySWQiOiI2MTQ1NzE3NTUifQ==</vt:lpwstr>
  </property>
</Properties>
</file>