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lang w:eastAsia="zh-CN"/>
        </w:rPr>
      </w:pPr>
    </w:p>
    <w:p w14:paraId="44EDC691">
      <w:pPr>
        <w:spacing w:line="660" w:lineRule="exact"/>
        <w:ind w:firstLine="1760" w:firstLineChars="550"/>
        <w:jc w:val="center"/>
        <w:rPr>
          <w:rFonts w:hint="eastAsia" w:ascii="华文中宋" w:hAnsi="华文中宋" w:eastAsia="华文中宋"/>
          <w:color w:val="000000"/>
          <w:kern w:val="0"/>
          <w:sz w:val="32"/>
          <w:szCs w:val="32"/>
          <w:lang w:val="en-US" w:eastAsia="zh-CN"/>
        </w:rPr>
      </w:pPr>
    </w:p>
    <w:p w14:paraId="1A812C69">
      <w:pPr>
        <w:spacing w:line="600" w:lineRule="auto"/>
        <w:jc w:val="center"/>
        <w:rPr>
          <w:rFonts w:hint="eastAsia" w:ascii="华文中宋" w:hAnsi="华文中宋" w:eastAsia="华文中宋"/>
          <w:color w:val="000000"/>
          <w:kern w:val="0"/>
          <w:sz w:val="48"/>
          <w:szCs w:val="48"/>
          <w:lang w:val="en-US" w:eastAsia="zh-CN"/>
        </w:rPr>
      </w:pPr>
      <w:r>
        <w:rPr>
          <w:rFonts w:hint="eastAsia" w:ascii="华文中宋" w:hAnsi="华文中宋" w:eastAsia="华文中宋"/>
          <w:color w:val="000000"/>
          <w:kern w:val="0"/>
          <w:sz w:val="48"/>
          <w:szCs w:val="48"/>
          <w:lang w:val="en-US" w:eastAsia="zh-CN"/>
        </w:rPr>
        <w:t>2025 年度陕西省数据和政务服务中心</w:t>
      </w:r>
    </w:p>
    <w:p w14:paraId="65C13CC3">
      <w:pPr>
        <w:spacing w:line="600" w:lineRule="auto"/>
        <w:jc w:val="center"/>
        <w:rPr>
          <w:rFonts w:hint="eastAsia" w:ascii="华文中宋" w:hAnsi="华文中宋" w:eastAsia="华文中宋"/>
          <w:color w:val="000000"/>
          <w:kern w:val="0"/>
          <w:sz w:val="48"/>
          <w:szCs w:val="48"/>
          <w:lang w:val="en-US" w:eastAsia="zh-CN"/>
        </w:rPr>
      </w:pPr>
      <w:r>
        <w:rPr>
          <w:rFonts w:hint="eastAsia" w:ascii="华文中宋" w:hAnsi="华文中宋" w:eastAsia="华文中宋"/>
          <w:color w:val="000000"/>
          <w:kern w:val="0"/>
          <w:sz w:val="48"/>
          <w:szCs w:val="48"/>
          <w:lang w:val="en-US" w:eastAsia="zh-CN"/>
        </w:rPr>
        <w:t>基础设施运维服务项目</w:t>
      </w:r>
    </w:p>
    <w:p w14:paraId="6AA8E2DF">
      <w:pPr>
        <w:spacing w:line="660" w:lineRule="exact"/>
        <w:ind w:firstLine="1760" w:firstLineChars="550"/>
        <w:rPr>
          <w:rFonts w:hint="eastAsia" w:ascii="华文中宋" w:hAnsi="华文中宋" w:eastAsia="华文中宋"/>
          <w:color w:val="000000"/>
          <w:kern w:val="0"/>
          <w:sz w:val="32"/>
          <w:szCs w:val="32"/>
          <w:lang w:val="en-US" w:eastAsia="zh-CN"/>
        </w:rPr>
      </w:pPr>
    </w:p>
    <w:p w14:paraId="370E8A75">
      <w:pPr>
        <w:jc w:val="center"/>
        <w:rPr>
          <w:rFonts w:hint="default" w:ascii="华文中宋" w:hAnsi="华文中宋" w:eastAsia="华文中宋" w:cs="Times New Roman"/>
          <w:b/>
          <w:bCs/>
          <w:color w:val="000000"/>
          <w:kern w:val="0"/>
          <w:sz w:val="72"/>
          <w:szCs w:val="72"/>
          <w:lang w:val="en-US" w:eastAsia="zh-CN"/>
        </w:rPr>
      </w:pPr>
      <w:r>
        <w:rPr>
          <w:rFonts w:hint="eastAsia" w:ascii="华文中宋" w:hAnsi="华文中宋" w:eastAsia="华文中宋" w:cs="Times New Roman"/>
          <w:b/>
          <w:bCs/>
          <w:color w:val="000000"/>
          <w:kern w:val="0"/>
          <w:sz w:val="72"/>
          <w:szCs w:val="72"/>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rPr>
      </w:pPr>
    </w:p>
    <w:p w14:paraId="6DAE1147">
      <w:pPr>
        <w:pStyle w:val="13"/>
        <w:rPr>
          <w:rFonts w:hint="eastAsia" w:ascii="华文中宋" w:hAnsi="华文中宋" w:eastAsia="华文中宋" w:cs="Times New Roman"/>
          <w:color w:val="000000"/>
          <w:kern w:val="0"/>
          <w:sz w:val="52"/>
          <w:szCs w:val="52"/>
        </w:rPr>
      </w:pPr>
    </w:p>
    <w:p w14:paraId="563557A4">
      <w:pPr>
        <w:rPr>
          <w:rFonts w:hint="eastAsia" w:ascii="华文中宋" w:hAnsi="华文中宋" w:eastAsia="华文中宋" w:cs="Times New Roman"/>
          <w:color w:val="000000"/>
          <w:kern w:val="0"/>
          <w:sz w:val="52"/>
          <w:szCs w:val="52"/>
        </w:rPr>
      </w:pPr>
    </w:p>
    <w:p w14:paraId="048B8B10">
      <w:pPr>
        <w:rPr>
          <w:rFonts w:hint="eastAsia" w:ascii="华文中宋" w:hAnsi="华文中宋" w:eastAsia="华文中宋" w:cs="Times New Roman"/>
          <w:color w:val="000000"/>
          <w:kern w:val="0"/>
          <w:sz w:val="52"/>
          <w:szCs w:val="52"/>
        </w:rPr>
      </w:pPr>
    </w:p>
    <w:p w14:paraId="3920E041">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项目编号：SNJZ-2025-163</w:t>
      </w:r>
    </w:p>
    <w:p w14:paraId="282C3F7C">
      <w:pPr>
        <w:spacing w:line="660" w:lineRule="exact"/>
        <w:ind w:firstLine="1760" w:firstLineChars="550"/>
        <w:rPr>
          <w:rFonts w:hint="eastAsia" w:ascii="华文中宋" w:hAnsi="华文中宋" w:eastAsia="华文中宋"/>
          <w:color w:val="000000"/>
          <w:kern w:val="0"/>
          <w:sz w:val="32"/>
          <w:szCs w:val="32"/>
          <w:lang w:val="en-US" w:eastAsia="zh-CN"/>
        </w:rPr>
      </w:pPr>
      <w:r>
        <w:rPr>
          <w:rFonts w:hint="eastAsia" w:ascii="华文中宋" w:hAnsi="华文中宋" w:eastAsia="华文中宋"/>
          <w:color w:val="000000"/>
          <w:kern w:val="0"/>
          <w:sz w:val="32"/>
          <w:szCs w:val="32"/>
        </w:rPr>
        <w:t>甲    方：</w:t>
      </w:r>
      <w:r>
        <w:rPr>
          <w:rFonts w:hint="eastAsia" w:ascii="华文中宋" w:hAnsi="华文中宋" w:eastAsia="华文中宋"/>
          <w:color w:val="000000"/>
          <w:kern w:val="0"/>
          <w:sz w:val="32"/>
          <w:szCs w:val="32"/>
          <w:lang w:eastAsia="zh-CN"/>
        </w:rPr>
        <w:t>陕西省</w:t>
      </w:r>
      <w:r>
        <w:rPr>
          <w:rFonts w:hint="eastAsia" w:ascii="华文中宋" w:hAnsi="华文中宋" w:eastAsia="华文中宋"/>
          <w:color w:val="000000"/>
          <w:kern w:val="0"/>
          <w:sz w:val="32"/>
          <w:szCs w:val="32"/>
          <w:lang w:val="en-US" w:eastAsia="zh-CN"/>
        </w:rPr>
        <w:t>数据和政务服务中心</w:t>
      </w:r>
    </w:p>
    <w:p w14:paraId="12009406">
      <w:pPr>
        <w:spacing w:line="660" w:lineRule="exact"/>
        <w:ind w:firstLine="1760" w:firstLineChars="550"/>
        <w:rPr>
          <w:rFonts w:hint="eastAsia" w:ascii="华文中宋" w:hAnsi="华文中宋" w:eastAsia="华文中宋" w:cs="Times New Roman"/>
          <w:color w:val="000000"/>
          <w:kern w:val="0"/>
          <w:sz w:val="32"/>
          <w:szCs w:val="32"/>
          <w:lang w:eastAsia="zh-CN"/>
        </w:rPr>
      </w:pPr>
      <w:r>
        <w:rPr>
          <w:rFonts w:hint="eastAsia" w:ascii="华文中宋" w:hAnsi="华文中宋" w:eastAsia="华文中宋" w:cs="Times New Roman"/>
          <w:color w:val="000000"/>
          <w:kern w:val="0"/>
          <w:sz w:val="32"/>
          <w:szCs w:val="32"/>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签定地点：陕西·西安</w:t>
      </w:r>
    </w:p>
    <w:p w14:paraId="1799871A">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rPr>
      </w:pPr>
    </w:p>
    <w:p w14:paraId="72BE9304">
      <w:pPr>
        <w:pStyle w:val="11"/>
        <w:spacing w:line="338" w:lineRule="auto"/>
        <w:rPr>
          <w:rFonts w:ascii="仿宋" w:hAnsi="仿宋" w:eastAsia="仿宋"/>
          <w:sz w:val="24"/>
          <w:szCs w:val="24"/>
        </w:rPr>
      </w:pPr>
    </w:p>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471B40FB">
      <w:pPr>
        <w:pStyle w:val="11"/>
        <w:spacing w:line="338" w:lineRule="auto"/>
        <w:rPr>
          <w:rFonts w:ascii="仿宋" w:hAnsi="仿宋" w:eastAsia="仿宋"/>
          <w:color w:val="auto"/>
          <w:sz w:val="24"/>
          <w:szCs w:val="24"/>
          <w:lang w:eastAsia="zh-CN"/>
        </w:rPr>
      </w:pPr>
      <w:r>
        <w:rPr>
          <w:rFonts w:ascii="仿宋" w:hAnsi="仿宋" w:eastAsia="仿宋"/>
          <w:color w:val="auto"/>
          <w:sz w:val="24"/>
          <w:szCs w:val="24"/>
        </w:rPr>
        <w:t>甲方:</w:t>
      </w:r>
      <w:r>
        <w:rPr>
          <w:rFonts w:ascii="仿宋" w:hAnsi="仿宋" w:eastAsia="仿宋"/>
          <w:color w:val="auto"/>
          <w:sz w:val="24"/>
          <w:szCs w:val="24"/>
          <w:lang w:eastAsia="zh-CN"/>
        </w:rPr>
        <w:t>陕西省数据和政务服务中心</w:t>
      </w:r>
    </w:p>
    <w:p w14:paraId="7B98A6D6">
      <w:pPr>
        <w:pStyle w:val="11"/>
        <w:spacing w:line="338" w:lineRule="auto"/>
        <w:rPr>
          <w:rFonts w:ascii="仿宋" w:hAnsi="仿宋" w:eastAsia="仿宋"/>
          <w:color w:val="auto"/>
          <w:sz w:val="24"/>
          <w:szCs w:val="24"/>
          <w:lang w:eastAsia="zh-CN"/>
        </w:rPr>
      </w:pPr>
      <w:r>
        <w:rPr>
          <w:rFonts w:ascii="仿宋" w:hAnsi="仿宋" w:eastAsia="仿宋"/>
          <w:color w:val="auto"/>
          <w:sz w:val="24"/>
          <w:szCs w:val="24"/>
        </w:rPr>
        <w:t>乙方:</w:t>
      </w:r>
    </w:p>
    <w:p w14:paraId="2A454ECA">
      <w:pPr>
        <w:pStyle w:val="11"/>
        <w:spacing w:line="338" w:lineRule="auto"/>
        <w:ind w:firstLine="960"/>
        <w:rPr>
          <w:rFonts w:ascii="仿宋" w:hAnsi="仿宋" w:eastAsia="仿宋"/>
          <w:color w:val="auto"/>
          <w:sz w:val="24"/>
          <w:szCs w:val="24"/>
        </w:rPr>
      </w:pPr>
    </w:p>
    <w:p w14:paraId="6E5BE40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陕西省政务大数据服务中心</w:t>
      </w:r>
      <w:r>
        <w:rPr>
          <w:rFonts w:ascii="仿宋" w:hAnsi="仿宋" w:eastAsia="仿宋"/>
          <w:color w:val="auto"/>
          <w:sz w:val="24"/>
          <w:szCs w:val="24"/>
        </w:rPr>
        <w:t>（以下简称甲方</w:t>
      </w:r>
      <w:r>
        <w:rPr>
          <w:rFonts w:ascii="仿宋" w:hAnsi="仿宋" w:eastAsia="仿宋"/>
          <w:color w:val="auto"/>
          <w:sz w:val="24"/>
          <w:szCs w:val="24"/>
          <w:lang w:eastAsia="zh-CN"/>
        </w:rPr>
        <w:t>）</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2025 年度陕西省数据和政务服务中心基础设施运维服务项目</w:t>
      </w:r>
      <w:r>
        <w:rPr>
          <w:rFonts w:ascii="仿宋" w:hAnsi="仿宋" w:eastAsia="仿宋"/>
          <w:color w:val="auto"/>
          <w:sz w:val="24"/>
          <w:szCs w:val="24"/>
          <w:lang w:eastAsia="zh-CN"/>
        </w:rPr>
        <w:t>采购</w:t>
      </w:r>
      <w:r>
        <w:rPr>
          <w:rFonts w:ascii="仿宋" w:hAnsi="仿宋" w:eastAsia="仿宋"/>
          <w:color w:val="auto"/>
          <w:sz w:val="24"/>
          <w:szCs w:val="24"/>
        </w:rPr>
        <w:t>，在</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陕西省财政厅</w:t>
      </w:r>
      <w:r>
        <w:rPr>
          <w:rFonts w:ascii="仿宋" w:hAnsi="仿宋" w:eastAsia="仿宋"/>
          <w:color w:val="auto"/>
          <w:sz w:val="24"/>
          <w:szCs w:val="24"/>
          <w:u w:val="single"/>
        </w:rPr>
        <w:t xml:space="preserve"> </w:t>
      </w:r>
      <w:r>
        <w:rPr>
          <w:rFonts w:ascii="仿宋" w:hAnsi="仿宋" w:eastAsia="仿宋"/>
          <w:color w:val="auto"/>
          <w:sz w:val="24"/>
          <w:szCs w:val="24"/>
        </w:rPr>
        <w:t>的监督管理下，由陕西教育招标有限责任公司组织采购，选定</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 xml:space="preserve">         (</w:t>
      </w:r>
      <w:r>
        <w:rPr>
          <w:rFonts w:ascii="仿宋" w:hAnsi="仿宋" w:eastAsia="仿宋"/>
          <w:color w:val="auto"/>
          <w:sz w:val="24"/>
          <w:szCs w:val="24"/>
        </w:rPr>
        <w:t>以下简称乙方）为该项目</w:t>
      </w:r>
      <w:r>
        <w:rPr>
          <w:rFonts w:ascii="仿宋" w:hAnsi="仿宋" w:eastAsia="仿宋"/>
          <w:color w:val="auto"/>
          <w:sz w:val="24"/>
          <w:szCs w:val="24"/>
          <w:lang w:eastAsia="zh-CN"/>
        </w:rPr>
        <w:t>中标人</w:t>
      </w:r>
      <w:r>
        <w:rPr>
          <w:rFonts w:ascii="仿宋" w:hAnsi="仿宋" w:eastAsia="仿宋"/>
          <w:color w:val="auto"/>
          <w:sz w:val="24"/>
          <w:szCs w:val="24"/>
        </w:rPr>
        <w:t>。根据《中华人民共和国民法典》《中华人民共和国政府采购法》及国家的有关法律、行政法规之规定，遵循平等、自愿、公平和诚实信用的原则，甲乙双方就甲方委托乙方提供</w:t>
      </w:r>
      <w:r>
        <w:rPr>
          <w:rFonts w:ascii="仿宋" w:hAnsi="仿宋" w:eastAsia="仿宋"/>
          <w:color w:val="auto"/>
          <w:sz w:val="24"/>
          <w:szCs w:val="24"/>
          <w:u w:val="single"/>
          <w:lang w:eastAsia="zh-CN"/>
        </w:rPr>
        <w:t>基础设施服务</w:t>
      </w:r>
      <w:r>
        <w:rPr>
          <w:rFonts w:ascii="仿宋" w:hAnsi="仿宋" w:eastAsia="仿宋"/>
          <w:color w:val="auto"/>
          <w:sz w:val="24"/>
          <w:szCs w:val="24"/>
          <w:lang w:eastAsia="zh-CN"/>
        </w:rPr>
        <w:t>事宜</w:t>
      </w:r>
      <w:r>
        <w:rPr>
          <w:rFonts w:ascii="仿宋" w:hAnsi="仿宋" w:eastAsia="仿宋"/>
          <w:color w:val="auto"/>
          <w:sz w:val="24"/>
          <w:szCs w:val="24"/>
        </w:rPr>
        <w:t>，经友好协商一致,订立本合同，以兹共同遵守。</w:t>
      </w:r>
    </w:p>
    <w:p w14:paraId="24E2F5F7">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一、服务范围</w:t>
      </w:r>
    </w:p>
    <w:p w14:paraId="704A2EAA">
      <w:pPr>
        <w:widowControl w:val="0"/>
        <w:kinsoku/>
        <w:autoSpaceDE/>
        <w:autoSpaceDN/>
        <w:adjustRightInd/>
        <w:snapToGrid/>
        <w:spacing w:line="360" w:lineRule="auto"/>
        <w:ind w:firstLine="480"/>
        <w:jc w:val="both"/>
        <w:textAlignment w:val="auto"/>
        <w:rPr>
          <w:rFonts w:hint="eastAsia" w:ascii="仿宋" w:hAnsi="仿宋" w:eastAsia="仿宋" w:cstheme="minorBidi"/>
          <w:snapToGrid/>
          <w:color w:val="auto"/>
          <w:sz w:val="24"/>
          <w:szCs w:val="24"/>
          <w:lang w:eastAsia="zh-Hans"/>
        </w:rPr>
      </w:pPr>
      <w:r>
        <w:rPr>
          <w:rFonts w:ascii="仿宋" w:hAnsi="仿宋" w:eastAsia="仿宋" w:cstheme="minorBidi"/>
          <w:snapToGrid/>
          <w:color w:val="auto"/>
          <w:sz w:val="24"/>
          <w:szCs w:val="24"/>
          <w:lang w:eastAsia="zh-Hans"/>
        </w:rPr>
        <w:t>本项目服务范围主要包括电子政务外网节点设备运维服务</w:t>
      </w:r>
      <w:r>
        <w:rPr>
          <w:rFonts w:ascii="仿宋" w:hAnsi="仿宋" w:eastAsia="仿宋" w:cstheme="minorBidi"/>
          <w:snapToGrid/>
          <w:color w:val="auto"/>
          <w:sz w:val="24"/>
          <w:szCs w:val="24"/>
          <w:lang w:eastAsia="zh-CN"/>
        </w:rPr>
        <w:t>、</w:t>
      </w:r>
      <w:r>
        <w:rPr>
          <w:rFonts w:ascii="仿宋" w:hAnsi="仿宋" w:eastAsia="仿宋" w:cstheme="minorBidi"/>
          <w:snapToGrid/>
          <w:color w:val="auto"/>
          <w:sz w:val="24"/>
          <w:szCs w:val="24"/>
          <w:lang w:eastAsia="zh-Hans"/>
        </w:rPr>
        <w:t>省政务云西咸节点1（电信）运维服务</w:t>
      </w:r>
      <w:r>
        <w:rPr>
          <w:rFonts w:ascii="仿宋" w:hAnsi="仿宋" w:eastAsia="仿宋" w:cstheme="minorBidi"/>
          <w:snapToGrid/>
          <w:color w:val="auto"/>
          <w:sz w:val="24"/>
          <w:szCs w:val="24"/>
          <w:lang w:eastAsia="zh-CN"/>
        </w:rPr>
        <w:t>、</w:t>
      </w:r>
      <w:r>
        <w:rPr>
          <w:rFonts w:ascii="仿宋" w:hAnsi="仿宋" w:eastAsia="仿宋" w:cstheme="minorBidi"/>
          <w:snapToGrid/>
          <w:color w:val="auto"/>
          <w:sz w:val="24"/>
          <w:szCs w:val="24"/>
          <w:lang w:eastAsia="zh-Hans"/>
        </w:rPr>
        <w:t>省政府园区网络运维服务</w:t>
      </w:r>
      <w:r>
        <w:rPr>
          <w:rFonts w:ascii="仿宋" w:hAnsi="仿宋" w:eastAsia="仿宋" w:cstheme="minorBidi"/>
          <w:snapToGrid/>
          <w:color w:val="auto"/>
          <w:sz w:val="24"/>
          <w:szCs w:val="24"/>
          <w:lang w:eastAsia="zh-CN"/>
        </w:rPr>
        <w:t>、</w:t>
      </w:r>
      <w:r>
        <w:rPr>
          <w:rFonts w:ascii="仿宋" w:hAnsi="仿宋" w:eastAsia="仿宋" w:cstheme="minorBidi"/>
          <w:snapToGrid/>
          <w:color w:val="auto"/>
          <w:sz w:val="24"/>
          <w:szCs w:val="24"/>
          <w:lang w:eastAsia="zh-Hans"/>
        </w:rPr>
        <w:t>秦岭视频综合监管系统运营运维服务</w:t>
      </w:r>
      <w:r>
        <w:rPr>
          <w:rFonts w:ascii="仿宋" w:hAnsi="仿宋" w:eastAsia="仿宋" w:cstheme="minorBidi"/>
          <w:snapToGrid/>
          <w:color w:val="auto"/>
          <w:sz w:val="24"/>
          <w:szCs w:val="24"/>
          <w:lang w:eastAsia="zh-CN"/>
        </w:rPr>
        <w:t>、</w:t>
      </w:r>
      <w:r>
        <w:rPr>
          <w:rFonts w:ascii="仿宋" w:hAnsi="仿宋" w:eastAsia="仿宋" w:cstheme="minorBidi"/>
          <w:snapToGrid/>
          <w:color w:val="auto"/>
          <w:sz w:val="24"/>
          <w:szCs w:val="24"/>
          <w:lang w:eastAsia="zh-Hans"/>
        </w:rPr>
        <w:t>陕西RA密码认证服务</w:t>
      </w:r>
      <w:r>
        <w:rPr>
          <w:rFonts w:ascii="仿宋" w:hAnsi="仿宋" w:eastAsia="仿宋" w:cstheme="minorBidi"/>
          <w:snapToGrid/>
          <w:color w:val="auto"/>
          <w:sz w:val="24"/>
          <w:szCs w:val="24"/>
          <w:lang w:eastAsia="zh-CN"/>
        </w:rPr>
        <w:t>、</w:t>
      </w:r>
      <w:r>
        <w:rPr>
          <w:rFonts w:ascii="仿宋" w:hAnsi="仿宋" w:eastAsia="仿宋" w:cstheme="minorBidi"/>
          <w:snapToGrid/>
          <w:color w:val="auto"/>
          <w:sz w:val="24"/>
          <w:szCs w:val="24"/>
          <w:lang w:eastAsia="zh-Hans"/>
        </w:rPr>
        <w:t>备品备件服务等。运维服务内容</w:t>
      </w:r>
      <w:r>
        <w:rPr>
          <w:rFonts w:hint="eastAsia" w:ascii="仿宋" w:hAnsi="仿宋" w:eastAsia="仿宋" w:cstheme="minorBidi"/>
          <w:snapToGrid/>
          <w:color w:val="auto"/>
          <w:sz w:val="24"/>
          <w:szCs w:val="24"/>
          <w:lang w:eastAsia="zh-Hans"/>
        </w:rPr>
        <w:t>包括</w:t>
      </w:r>
      <w:r>
        <w:rPr>
          <w:rFonts w:ascii="仿宋" w:hAnsi="仿宋" w:eastAsia="仿宋" w:cstheme="minorBidi"/>
          <w:snapToGrid/>
          <w:color w:val="auto"/>
          <w:sz w:val="24"/>
          <w:szCs w:val="24"/>
          <w:lang w:eastAsia="zh-Hans"/>
        </w:rPr>
        <w:t>服务器、网络、存储、安全、视频监控等设备及操作系统、数据库、中间件、虚拟机、工具性平台软件等的配置、巡检、优化升级、故障处理、技术咨询、响应支持、专项服务、备品备件等，通过相关服务保障基础设施安全稳定高效运行。</w:t>
      </w:r>
    </w:p>
    <w:p w14:paraId="7B754C10">
      <w:pPr>
        <w:pStyle w:val="11"/>
        <w:numPr>
          <w:ilvl w:val="255"/>
          <w:numId w:val="0"/>
        </w:numPr>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二、服务内容及要求</w:t>
      </w:r>
    </w:p>
    <w:tbl>
      <w:tblPr>
        <w:tblStyle w:val="8"/>
        <w:tblW w:w="7937" w:type="dxa"/>
        <w:jc w:val="center"/>
        <w:tblLayout w:type="fixed"/>
        <w:tblCellMar>
          <w:top w:w="0" w:type="dxa"/>
          <w:left w:w="108" w:type="dxa"/>
          <w:bottom w:w="0" w:type="dxa"/>
          <w:right w:w="108" w:type="dxa"/>
        </w:tblCellMar>
      </w:tblPr>
      <w:tblGrid>
        <w:gridCol w:w="388"/>
        <w:gridCol w:w="906"/>
        <w:gridCol w:w="1033"/>
        <w:gridCol w:w="5610"/>
      </w:tblGrid>
      <w:tr w14:paraId="6C2E6E71">
        <w:tblPrEx>
          <w:tblCellMar>
            <w:top w:w="0" w:type="dxa"/>
            <w:left w:w="108" w:type="dxa"/>
            <w:bottom w:w="0" w:type="dxa"/>
            <w:right w:w="108" w:type="dxa"/>
          </w:tblCellMar>
        </w:tblPrEx>
        <w:trPr>
          <w:trHeight w:val="288" w:hRule="atLeast"/>
          <w:jc w:val="center"/>
        </w:trPr>
        <w:tc>
          <w:tcPr>
            <w:tcW w:w="244"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E9F4AAB">
            <w:pP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序号</w:t>
            </w:r>
          </w:p>
        </w:tc>
        <w:tc>
          <w:tcPr>
            <w:tcW w:w="57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4394FDD">
            <w:pPr>
              <w:jc w:val="cente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服务</w:t>
            </w:r>
          </w:p>
          <w:p w14:paraId="01902DE6">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分项</w:t>
            </w:r>
          </w:p>
        </w:tc>
        <w:tc>
          <w:tcPr>
            <w:tcW w:w="65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B01B6EF">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服务对象</w:t>
            </w:r>
          </w:p>
        </w:tc>
        <w:tc>
          <w:tcPr>
            <w:tcW w:w="3534"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58EA7AE">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范围</w:t>
            </w:r>
          </w:p>
        </w:tc>
      </w:tr>
      <w:tr w14:paraId="1CD09492">
        <w:tblPrEx>
          <w:tblCellMar>
            <w:top w:w="0" w:type="dxa"/>
            <w:left w:w="108" w:type="dxa"/>
            <w:bottom w:w="0" w:type="dxa"/>
            <w:right w:w="108" w:type="dxa"/>
          </w:tblCellMar>
        </w:tblPrEx>
        <w:trPr>
          <w:trHeight w:val="480" w:hRule="atLeast"/>
          <w:jc w:val="center"/>
        </w:trPr>
        <w:tc>
          <w:tcPr>
            <w:tcW w:w="244" w:type="pct"/>
            <w:vMerge w:val="restart"/>
            <w:tcBorders>
              <w:top w:val="single" w:color="000000" w:sz="4" w:space="0"/>
              <w:left w:val="single" w:color="000000" w:sz="4" w:space="0"/>
              <w:bottom w:val="single" w:color="000000" w:sz="4" w:space="0"/>
              <w:right w:val="single" w:color="000000" w:sz="4" w:space="0"/>
            </w:tcBorders>
            <w:noWrap/>
            <w:vAlign w:val="center"/>
          </w:tcPr>
          <w:p w14:paraId="5174E1F3">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1</w:t>
            </w:r>
          </w:p>
        </w:tc>
        <w:tc>
          <w:tcPr>
            <w:tcW w:w="571" w:type="pct"/>
            <w:vMerge w:val="restart"/>
            <w:tcBorders>
              <w:top w:val="single" w:color="000000" w:sz="4" w:space="0"/>
              <w:left w:val="single" w:color="000000" w:sz="4" w:space="0"/>
              <w:bottom w:val="single" w:color="000000" w:sz="4" w:space="0"/>
              <w:right w:val="single" w:color="000000" w:sz="4" w:space="0"/>
            </w:tcBorders>
            <w:vAlign w:val="center"/>
          </w:tcPr>
          <w:p w14:paraId="136066BC">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电子政务外网运维服务</w:t>
            </w:r>
          </w:p>
        </w:tc>
        <w:tc>
          <w:tcPr>
            <w:tcW w:w="651" w:type="pct"/>
            <w:tcBorders>
              <w:top w:val="single" w:color="000000" w:sz="4" w:space="0"/>
              <w:left w:val="single" w:color="000000" w:sz="4" w:space="0"/>
              <w:bottom w:val="single" w:color="000000" w:sz="4" w:space="0"/>
              <w:right w:val="single" w:color="000000" w:sz="4" w:space="0"/>
            </w:tcBorders>
            <w:vAlign w:val="center"/>
          </w:tcPr>
          <w:p w14:paraId="7C2D8385">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硬件运维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457A830F">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电子政务外网节点广域网硬件设备94台，其中网络设备总数88台，安全设备总数6台。电子政务外网节点省级城域网部分硬件设备78台，其中网络设备总数50台、服务器设备总数2台、安全设备总数26台。</w:t>
            </w:r>
          </w:p>
          <w:p w14:paraId="5A99E5ED">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包含网络设备、安全设备等设备进行例行操作服务、响应支持服务。</w:t>
            </w:r>
          </w:p>
        </w:tc>
      </w:tr>
      <w:tr w14:paraId="4E578489">
        <w:tblPrEx>
          <w:tblCellMar>
            <w:top w:w="0" w:type="dxa"/>
            <w:left w:w="108" w:type="dxa"/>
            <w:bottom w:w="0" w:type="dxa"/>
            <w:right w:w="108" w:type="dxa"/>
          </w:tblCellMar>
        </w:tblPrEx>
        <w:trPr>
          <w:trHeight w:val="48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noWrap/>
            <w:vAlign w:val="center"/>
          </w:tcPr>
          <w:p w14:paraId="583BD8E5">
            <w:pPr>
              <w:jc w:val="center"/>
              <w:textAlignment w:val="center"/>
              <w:rPr>
                <w:rFonts w:hint="eastAsia" w:ascii="宋体" w:hAnsi="宋体" w:eastAsia="宋体" w:cs="宋体"/>
                <w:color w:val="auto"/>
                <w:sz w:val="20"/>
                <w:szCs w:val="20"/>
                <w:lang w:eastAsia="zh-CN" w:bidi="ar"/>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632512BA">
            <w:pPr>
              <w:textAlignment w:val="center"/>
              <w:rPr>
                <w:rFonts w:hint="eastAsia" w:ascii="宋体" w:hAnsi="宋体" w:eastAsia="宋体" w:cs="宋体"/>
                <w:color w:val="auto"/>
                <w:sz w:val="20"/>
                <w:szCs w:val="20"/>
                <w:lang w:eastAsia="zh-CN" w:bidi="ar"/>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4C1EDF42">
            <w:pPr>
              <w:jc w:val="cente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安全设备运维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7DFE760A">
            <w:pP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对电子政务外网安全设备提供日志分析与处理、网络流量分析、病毒库特征库升级、配置优化升级等例行操作服务；以及提供故障处理等响应支持服务。</w:t>
            </w:r>
          </w:p>
        </w:tc>
      </w:tr>
      <w:tr w14:paraId="654FF28F">
        <w:tblPrEx>
          <w:tblCellMar>
            <w:top w:w="0" w:type="dxa"/>
            <w:left w:w="108" w:type="dxa"/>
            <w:bottom w:w="0" w:type="dxa"/>
            <w:right w:w="108" w:type="dxa"/>
          </w:tblCellMar>
        </w:tblPrEx>
        <w:trPr>
          <w:trHeight w:val="19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noWrap/>
            <w:vAlign w:val="center"/>
          </w:tcPr>
          <w:p w14:paraId="1FCCE12B">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615AAB4D">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29790E0C">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其他运维服务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4A0ECF75">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其他运维服务的例行操作服务需求包括针对运行分析、运维审计、监控管理终端、资产现场管理、拓扑更新、运维资料管理、备品备件管理、业务IP地址管理等的例行操作相关工作内容。</w:t>
            </w:r>
            <w:r>
              <w:rPr>
                <w:rFonts w:hint="eastAsia" w:ascii="宋体" w:hAnsi="宋体" w:eastAsia="宋体" w:cs="宋体"/>
                <w:color w:val="auto"/>
                <w:sz w:val="20"/>
                <w:szCs w:val="20"/>
                <w:lang w:eastAsia="zh-CN" w:bidi="ar"/>
              </w:rPr>
              <w:br w:type="textWrapping"/>
            </w:r>
            <w:r>
              <w:rPr>
                <w:rFonts w:hint="eastAsia" w:ascii="宋体" w:hAnsi="宋体" w:eastAsia="宋体" w:cs="宋体"/>
                <w:color w:val="auto"/>
                <w:sz w:val="20"/>
                <w:szCs w:val="20"/>
                <w:lang w:eastAsia="zh-CN" w:bidi="ar"/>
              </w:rPr>
              <w:t>其他运维服务的响应支持服务需求包括针对应急演练、运维安全保障、重要时期保障、运维审计、协助用户分析排查业务系统运行故障、配合其他项目调研等的响应支持相关工作内容。</w:t>
            </w:r>
          </w:p>
        </w:tc>
      </w:tr>
      <w:tr w14:paraId="306BAE3A">
        <w:tblPrEx>
          <w:tblCellMar>
            <w:top w:w="0" w:type="dxa"/>
            <w:left w:w="108" w:type="dxa"/>
            <w:bottom w:w="0" w:type="dxa"/>
            <w:right w:w="108" w:type="dxa"/>
          </w:tblCellMar>
        </w:tblPrEx>
        <w:trPr>
          <w:trHeight w:val="48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noWrap/>
            <w:vAlign w:val="center"/>
          </w:tcPr>
          <w:p w14:paraId="7B89F091">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5AC2D9A1">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0770AB48">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维保服务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3751A513">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对广域网设备需提供11个月的维保服务。</w:t>
            </w:r>
            <w:r>
              <w:rPr>
                <w:rFonts w:hint="eastAsia" w:ascii="宋体" w:hAnsi="宋体" w:eastAsia="宋体" w:cs="宋体"/>
                <w:color w:val="auto"/>
                <w:sz w:val="20"/>
                <w:szCs w:val="20"/>
                <w:lang w:eastAsia="zh-CN" w:bidi="ar"/>
              </w:rPr>
              <w:br w:type="textWrapping"/>
            </w:r>
            <w:r>
              <w:rPr>
                <w:rFonts w:hint="eastAsia" w:ascii="宋体" w:hAnsi="宋体" w:eastAsia="宋体" w:cs="宋体"/>
                <w:color w:val="auto"/>
                <w:sz w:val="20"/>
                <w:szCs w:val="20"/>
                <w:lang w:eastAsia="zh-CN" w:bidi="ar"/>
              </w:rPr>
              <w:t>对省级城域网设备需提供19个月的维保服务。</w:t>
            </w:r>
          </w:p>
        </w:tc>
      </w:tr>
      <w:tr w14:paraId="0B29CAC8">
        <w:tblPrEx>
          <w:tblCellMar>
            <w:top w:w="0" w:type="dxa"/>
            <w:left w:w="108" w:type="dxa"/>
            <w:bottom w:w="0" w:type="dxa"/>
            <w:right w:w="108" w:type="dxa"/>
          </w:tblCellMar>
        </w:tblPrEx>
        <w:trPr>
          <w:trHeight w:val="480" w:hRule="atLeast"/>
          <w:jc w:val="center"/>
        </w:trPr>
        <w:tc>
          <w:tcPr>
            <w:tcW w:w="244" w:type="pct"/>
            <w:vMerge w:val="restart"/>
            <w:tcBorders>
              <w:top w:val="single" w:color="000000" w:sz="4" w:space="0"/>
              <w:left w:val="single" w:color="000000" w:sz="4" w:space="0"/>
              <w:bottom w:val="single" w:color="000000" w:sz="4" w:space="0"/>
              <w:right w:val="single" w:color="000000" w:sz="4" w:space="0"/>
            </w:tcBorders>
            <w:vAlign w:val="center"/>
          </w:tcPr>
          <w:p w14:paraId="41B3978A">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2</w:t>
            </w:r>
          </w:p>
        </w:tc>
        <w:tc>
          <w:tcPr>
            <w:tcW w:w="571" w:type="pct"/>
            <w:vMerge w:val="restart"/>
            <w:tcBorders>
              <w:top w:val="single" w:color="000000" w:sz="4" w:space="0"/>
              <w:left w:val="single" w:color="000000" w:sz="4" w:space="0"/>
              <w:bottom w:val="single" w:color="000000" w:sz="4" w:space="0"/>
              <w:right w:val="single" w:color="000000" w:sz="4" w:space="0"/>
            </w:tcBorders>
            <w:vAlign w:val="center"/>
          </w:tcPr>
          <w:p w14:paraId="411DC52F">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省政府园区网络运维服务</w:t>
            </w:r>
          </w:p>
        </w:tc>
        <w:tc>
          <w:tcPr>
            <w:tcW w:w="651" w:type="pct"/>
            <w:tcBorders>
              <w:top w:val="single" w:color="000000" w:sz="4" w:space="0"/>
              <w:left w:val="single" w:color="000000" w:sz="4" w:space="0"/>
              <w:bottom w:val="single" w:color="000000" w:sz="4" w:space="0"/>
              <w:right w:val="single" w:color="000000" w:sz="4" w:space="0"/>
            </w:tcBorders>
            <w:vAlign w:val="center"/>
          </w:tcPr>
          <w:p w14:paraId="12F85719">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硬件运维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5F21A490">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省政府园区网络部分硬件设备27台，其中网络设备总数21台、服务器设备总数5台、安全设备总数1台。包含网络设备、安全设备、服务器等设备进行例行操作服务、响应支持服务方面。</w:t>
            </w:r>
          </w:p>
        </w:tc>
      </w:tr>
      <w:tr w14:paraId="2D2C4544">
        <w:tblPrEx>
          <w:tblCellMar>
            <w:top w:w="0" w:type="dxa"/>
            <w:left w:w="108" w:type="dxa"/>
            <w:bottom w:w="0" w:type="dxa"/>
            <w:right w:w="108" w:type="dxa"/>
          </w:tblCellMar>
        </w:tblPrEx>
        <w:trPr>
          <w:trHeight w:val="48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5E6E7CE4">
            <w:pPr>
              <w:jc w:val="center"/>
              <w:textAlignment w:val="center"/>
              <w:rPr>
                <w:rFonts w:hint="eastAsia" w:ascii="宋体" w:hAnsi="宋体" w:eastAsia="宋体" w:cs="宋体"/>
                <w:color w:val="auto"/>
                <w:sz w:val="20"/>
                <w:szCs w:val="20"/>
                <w:lang w:eastAsia="zh-CN" w:bidi="ar"/>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1EF8E411">
            <w:pPr>
              <w:textAlignment w:val="center"/>
              <w:rPr>
                <w:rFonts w:hint="eastAsia" w:ascii="宋体" w:hAnsi="宋体" w:eastAsia="宋体" w:cs="宋体"/>
                <w:color w:val="auto"/>
                <w:sz w:val="20"/>
                <w:szCs w:val="20"/>
                <w:lang w:eastAsia="zh-CN" w:bidi="ar"/>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664745BE">
            <w:pPr>
              <w:jc w:val="cente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安全设备运维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34B0C63A">
            <w:pP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安全设备运维的例行操作服务需求包括安全设备的例行操作相关工作内容。针对安全设备，需提供日志分析与处理及网络流量分析运维服务。针对安全设备需提供病毒库、特征库升级及配置优化升级服务。</w:t>
            </w:r>
          </w:p>
          <w:p w14:paraId="7A3AF95E">
            <w:pP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安全设备运维的响应支持服务需求包括安全设备的响应支持相关工作内容，主要需对以上设备进行安全加固验证及故障排查处理等相关运维工作。</w:t>
            </w:r>
          </w:p>
        </w:tc>
      </w:tr>
      <w:tr w14:paraId="0BD23662">
        <w:tblPrEx>
          <w:tblCellMar>
            <w:top w:w="0" w:type="dxa"/>
            <w:left w:w="108" w:type="dxa"/>
            <w:bottom w:w="0" w:type="dxa"/>
            <w:right w:w="108" w:type="dxa"/>
          </w:tblCellMar>
        </w:tblPrEx>
        <w:trPr>
          <w:trHeight w:val="19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772EDA3A">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5FCFCB73">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1475A9F0">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其他运维服务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1B3C2161">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其他运维服务的例行操作服务需求包括针对运行分析、运维审计、监控管理终端、资产现场管理、拓扑更新、运维资料管理、备品备件管理、业务IP地址管理等的例行操作相关工作内容。</w:t>
            </w:r>
            <w:r>
              <w:rPr>
                <w:rFonts w:hint="eastAsia" w:ascii="宋体" w:hAnsi="宋体" w:eastAsia="宋体" w:cs="宋体"/>
                <w:color w:val="auto"/>
                <w:sz w:val="20"/>
                <w:szCs w:val="20"/>
                <w:lang w:eastAsia="zh-CN" w:bidi="ar"/>
              </w:rPr>
              <w:br w:type="textWrapping"/>
            </w:r>
            <w:r>
              <w:rPr>
                <w:rFonts w:hint="eastAsia" w:ascii="宋体" w:hAnsi="宋体" w:eastAsia="宋体" w:cs="宋体"/>
                <w:color w:val="auto"/>
                <w:sz w:val="20"/>
                <w:szCs w:val="20"/>
                <w:lang w:eastAsia="zh-CN" w:bidi="ar"/>
              </w:rPr>
              <w:t>其他运维服务的响应支持服务需求包括针对应急演练、运维安全保障、重要时期保障、运维审计、协助用户分析排查业务系统运行故障、配合其他项目调研等的响应支持相关工作内容。</w:t>
            </w:r>
          </w:p>
        </w:tc>
      </w:tr>
      <w:tr w14:paraId="09D48F8A">
        <w:tblPrEx>
          <w:tblCellMar>
            <w:top w:w="0" w:type="dxa"/>
            <w:left w:w="108" w:type="dxa"/>
            <w:bottom w:w="0" w:type="dxa"/>
            <w:right w:w="108" w:type="dxa"/>
          </w:tblCellMar>
        </w:tblPrEx>
        <w:trPr>
          <w:trHeight w:val="288"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16B0D621">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0E76692C">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2FA12B89">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维保服务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5B574D9D">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对省政府园区网络设备需提供19个月的维保服务。</w:t>
            </w:r>
          </w:p>
        </w:tc>
      </w:tr>
      <w:tr w14:paraId="347520C9">
        <w:tblPrEx>
          <w:tblCellMar>
            <w:top w:w="0" w:type="dxa"/>
            <w:left w:w="108" w:type="dxa"/>
            <w:bottom w:w="0" w:type="dxa"/>
            <w:right w:w="108" w:type="dxa"/>
          </w:tblCellMar>
        </w:tblPrEx>
        <w:trPr>
          <w:trHeight w:val="480" w:hRule="atLeast"/>
          <w:jc w:val="center"/>
        </w:trPr>
        <w:tc>
          <w:tcPr>
            <w:tcW w:w="244" w:type="pct"/>
            <w:vMerge w:val="restart"/>
            <w:tcBorders>
              <w:top w:val="single" w:color="000000" w:sz="4" w:space="0"/>
              <w:left w:val="single" w:color="000000" w:sz="4" w:space="0"/>
              <w:bottom w:val="single" w:color="000000" w:sz="4" w:space="0"/>
              <w:right w:val="single" w:color="000000" w:sz="4" w:space="0"/>
            </w:tcBorders>
            <w:vAlign w:val="center"/>
          </w:tcPr>
          <w:p w14:paraId="7D5F7195">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3</w:t>
            </w:r>
          </w:p>
        </w:tc>
        <w:tc>
          <w:tcPr>
            <w:tcW w:w="571" w:type="pct"/>
            <w:vMerge w:val="restart"/>
            <w:tcBorders>
              <w:top w:val="single" w:color="000000" w:sz="4" w:space="0"/>
              <w:left w:val="single" w:color="000000" w:sz="4" w:space="0"/>
              <w:bottom w:val="single" w:color="000000" w:sz="4" w:space="0"/>
              <w:right w:val="single" w:color="000000" w:sz="4" w:space="0"/>
            </w:tcBorders>
            <w:vAlign w:val="center"/>
          </w:tcPr>
          <w:p w14:paraId="08BC4667">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省政务云西咸节点1（电信）运维服务</w:t>
            </w:r>
          </w:p>
        </w:tc>
        <w:tc>
          <w:tcPr>
            <w:tcW w:w="651" w:type="pct"/>
            <w:tcBorders>
              <w:top w:val="single" w:color="000000" w:sz="4" w:space="0"/>
              <w:left w:val="single" w:color="000000" w:sz="4" w:space="0"/>
              <w:bottom w:val="single" w:color="000000" w:sz="4" w:space="0"/>
              <w:right w:val="single" w:color="000000" w:sz="4" w:space="0"/>
            </w:tcBorders>
            <w:vAlign w:val="center"/>
          </w:tcPr>
          <w:p w14:paraId="3AC2B8C3">
            <w:pPr>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基础环境运维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5EE0A752">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为省政务云西咸节点1（电信）提供机柜及配套基础环境服务。一期72个机柜，二期92个，延安灾备机房机柜8个，总计172个机柜。</w:t>
            </w:r>
          </w:p>
        </w:tc>
      </w:tr>
      <w:tr w14:paraId="19543671">
        <w:tblPrEx>
          <w:tblCellMar>
            <w:top w:w="0" w:type="dxa"/>
            <w:left w:w="108" w:type="dxa"/>
            <w:bottom w:w="0" w:type="dxa"/>
            <w:right w:w="108" w:type="dxa"/>
          </w:tblCellMar>
        </w:tblPrEx>
        <w:trPr>
          <w:trHeight w:val="494"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2044B679">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3BCA26E3">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3040DFAD">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硬件运维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1F1B2BD8">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硬件运维需求包括两部分，一期包含服务器341台、存储设备9台、网络设备54台、安全设备86台（其中密码管理平台设备7套），共计490台进行例行操作服务、响应支持服务。</w:t>
            </w:r>
            <w:r>
              <w:rPr>
                <w:rFonts w:hint="eastAsia" w:ascii="宋体" w:hAnsi="宋体" w:eastAsia="宋体" w:cs="宋体"/>
                <w:color w:val="auto"/>
                <w:sz w:val="20"/>
                <w:szCs w:val="20"/>
                <w:lang w:eastAsia="zh-CN" w:bidi="ar"/>
              </w:rPr>
              <w:br w:type="textWrapping"/>
            </w:r>
            <w:r>
              <w:rPr>
                <w:rFonts w:hint="eastAsia" w:ascii="宋体" w:hAnsi="宋体" w:eastAsia="宋体" w:cs="宋体"/>
                <w:color w:val="auto"/>
                <w:sz w:val="20"/>
                <w:szCs w:val="20"/>
                <w:lang w:eastAsia="zh-CN" w:bidi="ar"/>
              </w:rPr>
              <w:t>二期包含服务器523台、存储设备19台、网络设备170台、安全设备40台，共计752台进行例行操作服务、响应支持服务。</w:t>
            </w:r>
          </w:p>
        </w:tc>
      </w:tr>
      <w:tr w14:paraId="77B880B3">
        <w:tblPrEx>
          <w:tblCellMar>
            <w:top w:w="0" w:type="dxa"/>
            <w:left w:w="108" w:type="dxa"/>
            <w:bottom w:w="0" w:type="dxa"/>
            <w:right w:w="108" w:type="dxa"/>
          </w:tblCellMar>
        </w:tblPrEx>
        <w:trPr>
          <w:trHeight w:val="7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74C7C6E4">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087C8B40">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0F2BD5A6">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软件及平台运维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3EE6C2D7">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软件及平台运维需求包含云平台、操作系统、中间件、数据库、工具软件等14445套，其包括一期1387套、二期13058套。对以上对象进行例行操作服务、响应支持服务。</w:t>
            </w:r>
          </w:p>
        </w:tc>
      </w:tr>
      <w:tr w14:paraId="2EC35167">
        <w:tblPrEx>
          <w:tblCellMar>
            <w:top w:w="0" w:type="dxa"/>
            <w:left w:w="108" w:type="dxa"/>
            <w:bottom w:w="0" w:type="dxa"/>
            <w:right w:w="108" w:type="dxa"/>
          </w:tblCellMar>
        </w:tblPrEx>
        <w:trPr>
          <w:trHeight w:val="7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53DDDEA1">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7BE47A22">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4CE519AB">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安全设备运维</w:t>
            </w:r>
          </w:p>
        </w:tc>
        <w:tc>
          <w:tcPr>
            <w:tcW w:w="3534" w:type="pct"/>
            <w:tcBorders>
              <w:top w:val="single" w:color="000000" w:sz="4" w:space="0"/>
              <w:left w:val="single" w:color="000000" w:sz="4" w:space="0"/>
              <w:bottom w:val="single" w:color="000000" w:sz="4" w:space="0"/>
              <w:right w:val="single" w:color="000000" w:sz="4" w:space="0"/>
            </w:tcBorders>
            <w:vAlign w:val="center"/>
          </w:tcPr>
          <w:p w14:paraId="3FFD239A">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安全设备运维需求包含安全设备等共计126台，其中包括一期86台、二期40台，本项目将对安全设备进行例行操作服务、响应支持服务。</w:t>
            </w:r>
          </w:p>
        </w:tc>
      </w:tr>
      <w:tr w14:paraId="6BEDD3DB">
        <w:tblPrEx>
          <w:tblCellMar>
            <w:top w:w="0" w:type="dxa"/>
            <w:left w:w="108" w:type="dxa"/>
            <w:bottom w:w="0" w:type="dxa"/>
            <w:right w:w="108" w:type="dxa"/>
          </w:tblCellMar>
        </w:tblPrEx>
        <w:trPr>
          <w:trHeight w:val="7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7C3C25A0">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0F63D02E">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1D911025">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其他运维服务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7605966F">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其他运维服务的例行操作服务需求包括针对运行分析、运维审计、监控管理终端、资产现场管理、拓扑更新、备品备件管理等的例行操作相关工作内容。</w:t>
            </w:r>
          </w:p>
        </w:tc>
      </w:tr>
      <w:tr w14:paraId="535A5583">
        <w:tblPrEx>
          <w:tblCellMar>
            <w:top w:w="0" w:type="dxa"/>
            <w:left w:w="108" w:type="dxa"/>
            <w:bottom w:w="0" w:type="dxa"/>
            <w:right w:w="108" w:type="dxa"/>
          </w:tblCellMar>
        </w:tblPrEx>
        <w:trPr>
          <w:trHeight w:val="7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604E49DF">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5E1DDFDF">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50247558">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维保服务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00D34351">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对其平台及相关IT设备提供维保服务，由于质保期截止时间不一致，需提供一期19个月、二期13个月的维保服务。</w:t>
            </w:r>
          </w:p>
        </w:tc>
      </w:tr>
      <w:tr w14:paraId="39AECA4D">
        <w:tblPrEx>
          <w:tblCellMar>
            <w:top w:w="0" w:type="dxa"/>
            <w:left w:w="108" w:type="dxa"/>
            <w:bottom w:w="0" w:type="dxa"/>
            <w:right w:w="108" w:type="dxa"/>
          </w:tblCellMar>
        </w:tblPrEx>
        <w:trPr>
          <w:trHeight w:val="72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2A8A7C1D">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2D97CA6C">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6E6A27AC">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专业技术支撑服务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1B7D6E0D">
            <w:pPr>
              <w:textAlignment w:val="center"/>
              <w:rPr>
                <w:rFonts w:hint="eastAsia" w:ascii="宋体" w:hAnsi="宋体" w:eastAsia="宋体" w:cs="宋体"/>
                <w:color w:val="auto"/>
                <w:sz w:val="20"/>
                <w:szCs w:val="20"/>
                <w:lang w:eastAsia="zh-CN" w:bidi="ar"/>
              </w:rPr>
            </w:pPr>
            <w:r>
              <w:rPr>
                <w:rFonts w:hint="eastAsia" w:ascii="宋体" w:hAnsi="宋体" w:eastAsia="宋体" w:cs="宋体"/>
                <w:color w:val="auto"/>
                <w:sz w:val="20"/>
                <w:szCs w:val="20"/>
                <w:lang w:eastAsia="zh-CN" w:bidi="ar"/>
              </w:rPr>
              <w:t>1.原厂工程师驻场提供华为设备及产品的信息配置和维护；</w:t>
            </w:r>
          </w:p>
          <w:p w14:paraId="14EFC678">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2.按照《国家互联网信息办公室 国家发展和改革委员会 工业和信息化部 财政部关于发布《云计算服务安全评估办法》的公告》要求，完成评估工作。</w:t>
            </w:r>
          </w:p>
        </w:tc>
      </w:tr>
      <w:tr w14:paraId="6F598114">
        <w:tblPrEx>
          <w:tblCellMar>
            <w:top w:w="0" w:type="dxa"/>
            <w:left w:w="108" w:type="dxa"/>
            <w:bottom w:w="0" w:type="dxa"/>
            <w:right w:w="108" w:type="dxa"/>
          </w:tblCellMar>
        </w:tblPrEx>
        <w:trPr>
          <w:trHeight w:val="960" w:hRule="atLeast"/>
          <w:jc w:val="center"/>
        </w:trPr>
        <w:tc>
          <w:tcPr>
            <w:tcW w:w="244" w:type="pct"/>
            <w:vMerge w:val="restart"/>
            <w:tcBorders>
              <w:top w:val="single" w:color="000000" w:sz="4" w:space="0"/>
              <w:left w:val="single" w:color="000000" w:sz="4" w:space="0"/>
              <w:bottom w:val="single" w:color="000000" w:sz="4" w:space="0"/>
              <w:right w:val="single" w:color="000000" w:sz="4" w:space="0"/>
            </w:tcBorders>
            <w:vAlign w:val="center"/>
          </w:tcPr>
          <w:p w14:paraId="07B5D173">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4</w:t>
            </w:r>
          </w:p>
        </w:tc>
        <w:tc>
          <w:tcPr>
            <w:tcW w:w="571" w:type="pct"/>
            <w:vMerge w:val="restart"/>
            <w:tcBorders>
              <w:top w:val="single" w:color="000000" w:sz="4" w:space="0"/>
              <w:left w:val="single" w:color="000000" w:sz="4" w:space="0"/>
              <w:bottom w:val="single" w:color="000000" w:sz="4" w:space="0"/>
              <w:right w:val="single" w:color="000000" w:sz="4" w:space="0"/>
            </w:tcBorders>
            <w:vAlign w:val="center"/>
          </w:tcPr>
          <w:p w14:paraId="011EBF7C">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秦岭视频综合监管系统运维服务</w:t>
            </w:r>
          </w:p>
        </w:tc>
        <w:tc>
          <w:tcPr>
            <w:tcW w:w="651" w:type="pct"/>
            <w:tcBorders>
              <w:top w:val="single" w:color="000000" w:sz="4" w:space="0"/>
              <w:left w:val="single" w:color="000000" w:sz="4" w:space="0"/>
              <w:bottom w:val="single" w:color="000000" w:sz="4" w:space="0"/>
              <w:right w:val="single" w:color="000000" w:sz="4" w:space="0"/>
            </w:tcBorders>
            <w:vAlign w:val="center"/>
          </w:tcPr>
          <w:p w14:paraId="7D00B5F8">
            <w:pPr>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秦岭视频综合监管运维服务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3D89FDF9">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1.硬件设备运维服务（300个低点位）：设备现场巡检、异常情况复检、设备更换。</w:t>
            </w:r>
            <w:r>
              <w:rPr>
                <w:rFonts w:hint="eastAsia" w:ascii="宋体" w:hAnsi="宋体" w:eastAsia="宋体" w:cs="宋体"/>
                <w:color w:val="auto"/>
                <w:sz w:val="20"/>
                <w:szCs w:val="20"/>
                <w:lang w:eastAsia="zh-CN" w:bidi="ar"/>
              </w:rPr>
              <w:br w:type="textWrapping"/>
            </w:r>
            <w:r>
              <w:rPr>
                <w:rFonts w:hint="eastAsia" w:ascii="宋体" w:hAnsi="宋体" w:eastAsia="宋体" w:cs="宋体"/>
                <w:color w:val="auto"/>
                <w:sz w:val="20"/>
                <w:szCs w:val="20"/>
                <w:lang w:eastAsia="zh-CN" w:bidi="ar"/>
              </w:rPr>
              <w:t>2.硬件设备运维服务（110个高点位）：设备现场巡检、设备故障处理、设备更换。</w:t>
            </w:r>
          </w:p>
        </w:tc>
      </w:tr>
      <w:tr w14:paraId="6311E830">
        <w:tblPrEx>
          <w:tblCellMar>
            <w:top w:w="0" w:type="dxa"/>
            <w:left w:w="108" w:type="dxa"/>
            <w:bottom w:w="0" w:type="dxa"/>
            <w:right w:w="108" w:type="dxa"/>
          </w:tblCellMar>
        </w:tblPrEx>
        <w:trPr>
          <w:trHeight w:val="48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29140D07">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160F2D0E">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5944AF13">
            <w:pPr>
              <w:jc w:val="cente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秦岭视频综合监管系统运营服务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68B79F25">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运营服务包括：视频资源接入与共享服务、视频资源管理服务、视频监管服务、系统数据汇总分析、优化改善。</w:t>
            </w:r>
          </w:p>
        </w:tc>
      </w:tr>
      <w:tr w14:paraId="4346EACD">
        <w:tblPrEx>
          <w:tblCellMar>
            <w:top w:w="0" w:type="dxa"/>
            <w:left w:w="108" w:type="dxa"/>
            <w:bottom w:w="0" w:type="dxa"/>
            <w:right w:w="108" w:type="dxa"/>
          </w:tblCellMar>
        </w:tblPrEx>
        <w:trPr>
          <w:trHeight w:val="960" w:hRule="atLeast"/>
          <w:jc w:val="center"/>
        </w:trPr>
        <w:tc>
          <w:tcPr>
            <w:tcW w:w="244" w:type="pct"/>
            <w:vMerge w:val="continue"/>
            <w:tcBorders>
              <w:top w:val="single" w:color="000000" w:sz="4" w:space="0"/>
              <w:left w:val="single" w:color="000000" w:sz="4" w:space="0"/>
              <w:bottom w:val="single" w:color="000000" w:sz="4" w:space="0"/>
              <w:right w:val="single" w:color="000000" w:sz="4" w:space="0"/>
            </w:tcBorders>
            <w:vAlign w:val="center"/>
          </w:tcPr>
          <w:p w14:paraId="3967B56B">
            <w:pPr>
              <w:jc w:val="center"/>
              <w:rPr>
                <w:rFonts w:hint="eastAsia" w:ascii="宋体" w:hAnsi="宋体" w:eastAsia="宋体" w:cs="宋体"/>
                <w:color w:val="auto"/>
                <w:sz w:val="20"/>
                <w:szCs w:val="20"/>
                <w:lang w:eastAsia="zh-CN"/>
              </w:rPr>
            </w:pPr>
          </w:p>
        </w:tc>
        <w:tc>
          <w:tcPr>
            <w:tcW w:w="571" w:type="pct"/>
            <w:vMerge w:val="continue"/>
            <w:tcBorders>
              <w:top w:val="single" w:color="000000" w:sz="4" w:space="0"/>
              <w:left w:val="single" w:color="000000" w:sz="4" w:space="0"/>
              <w:bottom w:val="single" w:color="000000" w:sz="4" w:space="0"/>
              <w:right w:val="single" w:color="000000" w:sz="4" w:space="0"/>
            </w:tcBorders>
            <w:vAlign w:val="center"/>
          </w:tcPr>
          <w:p w14:paraId="73E1C029">
            <w:pPr>
              <w:rPr>
                <w:rFonts w:hint="eastAsia" w:ascii="宋体" w:hAnsi="宋体" w:eastAsia="宋体" w:cs="宋体"/>
                <w:color w:val="auto"/>
                <w:sz w:val="20"/>
                <w:szCs w:val="20"/>
                <w:lang w:eastAsia="zh-CN"/>
              </w:rPr>
            </w:pPr>
          </w:p>
        </w:tc>
        <w:tc>
          <w:tcPr>
            <w:tcW w:w="651" w:type="pct"/>
            <w:tcBorders>
              <w:top w:val="single" w:color="000000" w:sz="4" w:space="0"/>
              <w:left w:val="single" w:color="000000" w:sz="4" w:space="0"/>
              <w:bottom w:val="single" w:color="000000" w:sz="4" w:space="0"/>
              <w:right w:val="single" w:color="000000" w:sz="4" w:space="0"/>
            </w:tcBorders>
            <w:vAlign w:val="center"/>
          </w:tcPr>
          <w:p w14:paraId="6AE17DC8">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网络链路等租用</w:t>
            </w:r>
          </w:p>
        </w:tc>
        <w:tc>
          <w:tcPr>
            <w:tcW w:w="3534" w:type="pct"/>
            <w:tcBorders>
              <w:top w:val="single" w:color="000000" w:sz="4" w:space="0"/>
              <w:left w:val="single" w:color="000000" w:sz="4" w:space="0"/>
              <w:bottom w:val="single" w:color="000000" w:sz="4" w:space="0"/>
              <w:right w:val="single" w:color="000000" w:sz="4" w:space="0"/>
            </w:tcBorders>
            <w:vAlign w:val="center"/>
          </w:tcPr>
          <w:p w14:paraId="07424BB6">
            <w:pPr>
              <w:textAlignment w:val="center"/>
              <w:rPr>
                <w:rFonts w:hint="eastAsia" w:ascii="宋体" w:hAnsi="宋体" w:eastAsia="宋体" w:cs="宋体"/>
                <w:color w:val="auto"/>
                <w:sz w:val="20"/>
                <w:szCs w:val="20"/>
                <w:lang w:eastAsia="zh-CN" w:bidi="ar"/>
              </w:rPr>
            </w:pPr>
            <w:r>
              <w:rPr>
                <w:rFonts w:ascii="宋体" w:hAnsi="宋体" w:eastAsia="宋体" w:cs="宋体"/>
                <w:color w:val="auto"/>
                <w:sz w:val="20"/>
                <w:szCs w:val="20"/>
                <w:lang w:eastAsia="zh-CN" w:bidi="ar"/>
              </w:rPr>
              <w:t>1.</w:t>
            </w:r>
            <w:r>
              <w:rPr>
                <w:rFonts w:hint="eastAsia" w:ascii="宋体" w:hAnsi="宋体" w:eastAsia="宋体" w:cs="宋体"/>
                <w:color w:val="auto"/>
                <w:sz w:val="20"/>
                <w:szCs w:val="20"/>
                <w:lang w:eastAsia="zh-CN" w:bidi="ar"/>
              </w:rPr>
              <w:t>网络链路（前端视频监控设备－利用铁塔架设）：</w:t>
            </w:r>
            <w:r>
              <w:rPr>
                <w:rFonts w:ascii="宋体" w:hAnsi="宋体" w:eastAsia="宋体" w:cs="宋体"/>
                <w:color w:val="auto"/>
                <w:sz w:val="20"/>
                <w:szCs w:val="20"/>
                <w:lang w:eastAsia="zh-CN" w:bidi="ar"/>
              </w:rPr>
              <w:t>110</w:t>
            </w:r>
            <w:r>
              <w:rPr>
                <w:rFonts w:hint="eastAsia" w:ascii="宋体" w:hAnsi="宋体" w:eastAsia="宋体" w:cs="宋体"/>
                <w:color w:val="auto"/>
                <w:sz w:val="20"/>
                <w:szCs w:val="20"/>
                <w:lang w:eastAsia="zh-CN" w:bidi="ar"/>
              </w:rPr>
              <w:t>处点位所需的</w:t>
            </w:r>
            <w:r>
              <w:rPr>
                <w:rFonts w:ascii="宋体" w:hAnsi="宋体" w:eastAsia="宋体" w:cs="宋体"/>
                <w:color w:val="auto"/>
                <w:sz w:val="20"/>
                <w:szCs w:val="20"/>
                <w:lang w:eastAsia="zh-CN" w:bidi="ar"/>
              </w:rPr>
              <w:t>100M</w:t>
            </w:r>
            <w:r>
              <w:rPr>
                <w:rFonts w:hint="eastAsia" w:ascii="宋体" w:hAnsi="宋体" w:eastAsia="宋体" w:cs="宋体"/>
                <w:color w:val="auto"/>
                <w:sz w:val="20"/>
                <w:szCs w:val="20"/>
                <w:lang w:eastAsia="zh-CN" w:bidi="ar"/>
              </w:rPr>
              <w:t>宽带互联网传输链路。</w:t>
            </w:r>
          </w:p>
          <w:p w14:paraId="4A624191">
            <w:pPr>
              <w:textAlignment w:val="center"/>
              <w:rPr>
                <w:rFonts w:hint="eastAsia" w:ascii="宋体" w:hAnsi="宋体" w:eastAsia="宋体" w:cs="宋体"/>
                <w:color w:val="auto"/>
                <w:sz w:val="20"/>
                <w:szCs w:val="20"/>
                <w:lang w:eastAsia="zh-CN" w:bidi="ar"/>
              </w:rPr>
            </w:pPr>
            <w:r>
              <w:rPr>
                <w:rFonts w:ascii="宋体" w:hAnsi="宋体" w:eastAsia="宋体" w:cs="宋体"/>
                <w:color w:val="auto"/>
                <w:sz w:val="20"/>
                <w:szCs w:val="20"/>
                <w:lang w:eastAsia="zh-CN" w:bidi="ar"/>
              </w:rPr>
              <w:t>2.</w:t>
            </w:r>
            <w:r>
              <w:rPr>
                <w:rFonts w:hint="eastAsia" w:ascii="宋体" w:hAnsi="宋体" w:eastAsia="宋体" w:cs="宋体"/>
                <w:color w:val="auto"/>
                <w:sz w:val="20"/>
                <w:szCs w:val="20"/>
                <w:lang w:eastAsia="zh-CN" w:bidi="ar"/>
              </w:rPr>
              <w:t>塔桅资源：</w:t>
            </w:r>
            <w:r>
              <w:rPr>
                <w:rFonts w:ascii="宋体" w:hAnsi="宋体" w:eastAsia="宋体" w:cs="宋体"/>
                <w:color w:val="auto"/>
                <w:sz w:val="20"/>
                <w:szCs w:val="20"/>
                <w:lang w:eastAsia="zh-CN" w:bidi="ar"/>
              </w:rPr>
              <w:t>110</w:t>
            </w:r>
            <w:r>
              <w:rPr>
                <w:rFonts w:hint="eastAsia" w:ascii="宋体" w:hAnsi="宋体" w:eastAsia="宋体" w:cs="宋体"/>
                <w:color w:val="auto"/>
                <w:sz w:val="20"/>
                <w:szCs w:val="20"/>
                <w:lang w:eastAsia="zh-CN" w:bidi="ar"/>
              </w:rPr>
              <w:t>处高点位塔桅资源服务。</w:t>
            </w:r>
          </w:p>
          <w:p w14:paraId="2FF8033E">
            <w:pPr>
              <w:textAlignment w:val="center"/>
              <w:rPr>
                <w:rFonts w:hint="eastAsia" w:ascii="宋体" w:hAnsi="宋体" w:eastAsia="宋体" w:cs="宋体"/>
                <w:color w:val="auto"/>
                <w:sz w:val="20"/>
                <w:szCs w:val="20"/>
                <w:lang w:eastAsia="zh-CN" w:bidi="ar"/>
              </w:rPr>
            </w:pPr>
            <w:r>
              <w:rPr>
                <w:rFonts w:ascii="宋体" w:hAnsi="宋体" w:eastAsia="宋体" w:cs="宋体"/>
                <w:color w:val="auto"/>
                <w:sz w:val="20"/>
                <w:szCs w:val="20"/>
                <w:lang w:eastAsia="zh-CN" w:bidi="ar"/>
              </w:rPr>
              <w:t>3.</w:t>
            </w:r>
            <w:r>
              <w:rPr>
                <w:rFonts w:hint="eastAsia" w:ascii="宋体" w:hAnsi="宋体" w:eastAsia="宋体" w:cs="宋体"/>
                <w:color w:val="auto"/>
                <w:sz w:val="20"/>
                <w:szCs w:val="20"/>
                <w:lang w:eastAsia="zh-CN" w:bidi="ar"/>
              </w:rPr>
              <w:t>网络链路（前端视频监控设备－利用立杆架设）：</w:t>
            </w:r>
            <w:r>
              <w:rPr>
                <w:rFonts w:ascii="宋体" w:hAnsi="宋体" w:eastAsia="宋体" w:cs="宋体"/>
                <w:color w:val="auto"/>
                <w:sz w:val="20"/>
                <w:szCs w:val="20"/>
                <w:lang w:eastAsia="zh-CN" w:bidi="ar"/>
              </w:rPr>
              <w:t>300</w:t>
            </w:r>
            <w:r>
              <w:rPr>
                <w:rFonts w:hint="eastAsia" w:ascii="宋体" w:hAnsi="宋体" w:eastAsia="宋体" w:cs="宋体"/>
                <w:color w:val="auto"/>
                <w:sz w:val="20"/>
                <w:szCs w:val="20"/>
                <w:lang w:eastAsia="zh-CN" w:bidi="ar"/>
              </w:rPr>
              <w:t>处点位，视频光缆专线接入。</w:t>
            </w:r>
          </w:p>
          <w:p w14:paraId="5F3D0A50">
            <w:pPr>
              <w:textAlignment w:val="center"/>
              <w:rPr>
                <w:rFonts w:hint="eastAsia" w:ascii="宋体" w:hAnsi="宋体" w:eastAsia="宋体" w:cs="宋体"/>
                <w:color w:val="auto"/>
                <w:sz w:val="20"/>
                <w:szCs w:val="20"/>
                <w:lang w:eastAsia="zh-CN"/>
              </w:rPr>
            </w:pPr>
            <w:r>
              <w:rPr>
                <w:rFonts w:ascii="宋体" w:hAnsi="宋体" w:eastAsia="宋体" w:cs="宋体"/>
                <w:color w:val="auto"/>
                <w:sz w:val="20"/>
                <w:szCs w:val="20"/>
                <w:lang w:eastAsia="zh-CN" w:bidi="ar"/>
              </w:rPr>
              <w:t>4.</w:t>
            </w:r>
            <w:r>
              <w:rPr>
                <w:rFonts w:hint="eastAsia" w:ascii="宋体" w:hAnsi="宋体" w:eastAsia="宋体" w:cs="宋体"/>
                <w:color w:val="auto"/>
                <w:sz w:val="20"/>
                <w:szCs w:val="20"/>
                <w:lang w:eastAsia="zh-CN" w:bidi="ar"/>
              </w:rPr>
              <w:t>供电费用：上述</w:t>
            </w:r>
            <w:r>
              <w:rPr>
                <w:rFonts w:ascii="宋体" w:hAnsi="宋体" w:eastAsia="宋体" w:cs="宋体"/>
                <w:color w:val="auto"/>
                <w:sz w:val="20"/>
                <w:szCs w:val="20"/>
                <w:lang w:eastAsia="zh-CN" w:bidi="ar"/>
              </w:rPr>
              <w:t>410</w:t>
            </w:r>
            <w:r>
              <w:rPr>
                <w:rFonts w:hint="eastAsia" w:ascii="宋体" w:hAnsi="宋体" w:eastAsia="宋体" w:cs="宋体"/>
                <w:color w:val="auto"/>
                <w:sz w:val="20"/>
                <w:szCs w:val="20"/>
                <w:lang w:eastAsia="zh-CN" w:bidi="ar"/>
              </w:rPr>
              <w:t>个点位，其监控设备、智能运维箱及线路传输设备提供</w:t>
            </w:r>
            <w:r>
              <w:rPr>
                <w:rFonts w:ascii="宋体" w:hAnsi="宋体" w:eastAsia="宋体" w:cs="宋体"/>
                <w:color w:val="auto"/>
                <w:sz w:val="20"/>
                <w:szCs w:val="20"/>
                <w:lang w:eastAsia="zh-CN" w:bidi="ar"/>
              </w:rPr>
              <w:t>220V</w:t>
            </w:r>
            <w:r>
              <w:rPr>
                <w:rFonts w:hint="eastAsia" w:ascii="宋体" w:hAnsi="宋体" w:eastAsia="宋体" w:cs="宋体"/>
                <w:color w:val="auto"/>
                <w:sz w:val="20"/>
                <w:szCs w:val="20"/>
                <w:lang w:eastAsia="zh-CN" w:bidi="ar"/>
              </w:rPr>
              <w:t>供电。</w:t>
            </w:r>
          </w:p>
        </w:tc>
      </w:tr>
      <w:tr w14:paraId="41B9D535">
        <w:tblPrEx>
          <w:tblCellMar>
            <w:top w:w="0" w:type="dxa"/>
            <w:left w:w="108" w:type="dxa"/>
            <w:bottom w:w="0" w:type="dxa"/>
            <w:right w:w="108" w:type="dxa"/>
          </w:tblCellMar>
        </w:tblPrEx>
        <w:trPr>
          <w:trHeight w:val="480" w:hRule="atLeast"/>
          <w:jc w:val="center"/>
        </w:trPr>
        <w:tc>
          <w:tcPr>
            <w:tcW w:w="244" w:type="pct"/>
            <w:tcBorders>
              <w:top w:val="single" w:color="000000" w:sz="4" w:space="0"/>
              <w:left w:val="single" w:color="000000" w:sz="4" w:space="0"/>
              <w:bottom w:val="single" w:color="000000" w:sz="4" w:space="0"/>
              <w:right w:val="single" w:color="000000" w:sz="4" w:space="0"/>
            </w:tcBorders>
            <w:vAlign w:val="center"/>
          </w:tcPr>
          <w:p w14:paraId="3612B6AB">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5</w:t>
            </w:r>
          </w:p>
        </w:tc>
        <w:tc>
          <w:tcPr>
            <w:tcW w:w="571" w:type="pct"/>
            <w:tcBorders>
              <w:top w:val="single" w:color="000000" w:sz="4" w:space="0"/>
              <w:left w:val="single" w:color="000000" w:sz="4" w:space="0"/>
              <w:bottom w:val="single" w:color="000000" w:sz="4" w:space="0"/>
              <w:right w:val="single" w:color="000000" w:sz="4" w:space="0"/>
            </w:tcBorders>
            <w:vAlign w:val="center"/>
          </w:tcPr>
          <w:p w14:paraId="57506539">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陕西RA密码认证服务</w:t>
            </w:r>
          </w:p>
        </w:tc>
        <w:tc>
          <w:tcPr>
            <w:tcW w:w="651" w:type="pct"/>
            <w:tcBorders>
              <w:top w:val="single" w:color="000000" w:sz="4" w:space="0"/>
              <w:left w:val="single" w:color="000000" w:sz="4" w:space="0"/>
              <w:bottom w:val="single" w:color="000000" w:sz="4" w:space="0"/>
              <w:right w:val="single" w:color="000000" w:sz="4" w:space="0"/>
            </w:tcBorders>
            <w:vAlign w:val="center"/>
          </w:tcPr>
          <w:p w14:paraId="200FE32D">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陕西RA密码认证服务</w:t>
            </w:r>
          </w:p>
        </w:tc>
        <w:tc>
          <w:tcPr>
            <w:tcW w:w="3534" w:type="pct"/>
            <w:tcBorders>
              <w:top w:val="single" w:color="000000" w:sz="4" w:space="0"/>
              <w:left w:val="single" w:color="000000" w:sz="4" w:space="0"/>
              <w:bottom w:val="single" w:color="000000" w:sz="4" w:space="0"/>
              <w:right w:val="single" w:color="000000" w:sz="4" w:space="0"/>
            </w:tcBorders>
            <w:vAlign w:val="center"/>
          </w:tcPr>
          <w:p w14:paraId="12CFB5FF">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bidi="ar"/>
              </w:rPr>
              <w:t>国家电子政务外网陕西节点接入认证服务1项</w:t>
            </w:r>
          </w:p>
        </w:tc>
      </w:tr>
      <w:tr w14:paraId="16940568">
        <w:tblPrEx>
          <w:tblCellMar>
            <w:top w:w="0" w:type="dxa"/>
            <w:left w:w="108" w:type="dxa"/>
            <w:bottom w:w="0" w:type="dxa"/>
            <w:right w:w="108" w:type="dxa"/>
          </w:tblCellMar>
        </w:tblPrEx>
        <w:trPr>
          <w:trHeight w:val="288" w:hRule="atLeast"/>
          <w:jc w:val="center"/>
        </w:trPr>
        <w:tc>
          <w:tcPr>
            <w:tcW w:w="244" w:type="pct"/>
            <w:tcBorders>
              <w:top w:val="single" w:color="000000" w:sz="4" w:space="0"/>
              <w:left w:val="single" w:color="000000" w:sz="4" w:space="0"/>
              <w:bottom w:val="single" w:color="000000" w:sz="4" w:space="0"/>
              <w:right w:val="single" w:color="000000" w:sz="4" w:space="0"/>
            </w:tcBorders>
            <w:vAlign w:val="center"/>
          </w:tcPr>
          <w:p w14:paraId="70B09393">
            <w:pPr>
              <w:jc w:val="cente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6</w:t>
            </w:r>
          </w:p>
        </w:tc>
        <w:tc>
          <w:tcPr>
            <w:tcW w:w="571" w:type="pct"/>
            <w:tcBorders>
              <w:top w:val="single" w:color="000000" w:sz="4" w:space="0"/>
              <w:left w:val="single" w:color="000000" w:sz="4" w:space="0"/>
              <w:bottom w:val="single" w:color="000000" w:sz="4" w:space="0"/>
              <w:right w:val="single" w:color="000000" w:sz="4" w:space="0"/>
            </w:tcBorders>
            <w:vAlign w:val="center"/>
          </w:tcPr>
          <w:p w14:paraId="4667672F">
            <w:pP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备品备件</w:t>
            </w:r>
          </w:p>
        </w:tc>
        <w:tc>
          <w:tcPr>
            <w:tcW w:w="651" w:type="pct"/>
            <w:tcBorders>
              <w:top w:val="single" w:color="000000" w:sz="4" w:space="0"/>
              <w:left w:val="single" w:color="000000" w:sz="4" w:space="0"/>
              <w:bottom w:val="single" w:color="000000" w:sz="4" w:space="0"/>
              <w:right w:val="single" w:color="000000" w:sz="4" w:space="0"/>
            </w:tcBorders>
            <w:vAlign w:val="center"/>
          </w:tcPr>
          <w:p w14:paraId="5FA590E8">
            <w:pPr>
              <w:textAlignment w:val="center"/>
              <w:rPr>
                <w:rFonts w:hint="eastAsia" w:ascii="宋体" w:hAnsi="宋体" w:eastAsia="宋体" w:cs="宋体"/>
                <w:color w:val="auto"/>
                <w:sz w:val="20"/>
                <w:szCs w:val="20"/>
              </w:rPr>
            </w:pPr>
            <w:r>
              <w:rPr>
                <w:rFonts w:hint="eastAsia" w:ascii="宋体" w:hAnsi="宋体" w:eastAsia="宋体" w:cs="宋体"/>
                <w:color w:val="auto"/>
                <w:sz w:val="20"/>
                <w:szCs w:val="20"/>
                <w:lang w:eastAsia="zh-CN" w:bidi="ar"/>
              </w:rPr>
              <w:t>备品备件</w:t>
            </w:r>
          </w:p>
        </w:tc>
        <w:tc>
          <w:tcPr>
            <w:tcW w:w="3534" w:type="pct"/>
            <w:tcBorders>
              <w:top w:val="single" w:color="000000" w:sz="4" w:space="0"/>
              <w:left w:val="single" w:color="000000" w:sz="4" w:space="0"/>
              <w:bottom w:val="single" w:color="000000" w:sz="4" w:space="0"/>
              <w:right w:val="single" w:color="000000" w:sz="4" w:space="0"/>
            </w:tcBorders>
            <w:vAlign w:val="center"/>
          </w:tcPr>
          <w:p w14:paraId="533F5E73">
            <w:pPr>
              <w:textAlignment w:val="center"/>
              <w:rPr>
                <w:rFonts w:hint="eastAsia" w:ascii="宋体" w:hAnsi="宋体" w:eastAsia="宋体" w:cs="宋体"/>
                <w:color w:val="auto"/>
                <w:sz w:val="20"/>
                <w:szCs w:val="20"/>
                <w:lang w:eastAsia="zh-CN" w:bidi="ar"/>
              </w:rPr>
            </w:pPr>
          </w:p>
          <w:p w14:paraId="6D7E9922">
            <w:pPr>
              <w:textAlignment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对省电子政务外网、政府园区网络、省政务云西咸节点</w:t>
            </w:r>
            <w:r>
              <w:rPr>
                <w:rFonts w:ascii="宋体" w:hAnsi="宋体" w:eastAsia="宋体" w:cs="宋体"/>
                <w:color w:val="auto"/>
                <w:sz w:val="20"/>
                <w:szCs w:val="20"/>
                <w:lang w:eastAsia="zh-CN"/>
              </w:rPr>
              <w:t>1</w:t>
            </w:r>
            <w:r>
              <w:rPr>
                <w:rFonts w:hint="eastAsia" w:ascii="宋体" w:hAnsi="宋体" w:eastAsia="宋体" w:cs="宋体"/>
                <w:color w:val="auto"/>
                <w:sz w:val="20"/>
                <w:szCs w:val="20"/>
                <w:lang w:eastAsia="zh-CN"/>
              </w:rPr>
              <w:t>（电信）提供备品备件服务。</w:t>
            </w:r>
          </w:p>
        </w:tc>
      </w:tr>
    </w:tbl>
    <w:p w14:paraId="2FC1D89F">
      <w:pPr>
        <w:pStyle w:val="11"/>
        <w:spacing w:line="338" w:lineRule="auto"/>
        <w:ind w:firstLine="480" w:firstLineChars="200"/>
        <w:rPr>
          <w:rFonts w:ascii="仿宋" w:hAnsi="仿宋" w:eastAsia="仿宋"/>
          <w:color w:val="auto"/>
          <w:sz w:val="24"/>
          <w:szCs w:val="24"/>
          <w:lang w:eastAsia="zh-CN"/>
        </w:rPr>
      </w:pPr>
    </w:p>
    <w:p w14:paraId="18B0D9CD">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三、服务期限</w:t>
      </w:r>
    </w:p>
    <w:p w14:paraId="74B5904D">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本项目服务周期整体为19个月（电子政务外网节点设备运维服务中，骨干网运维服务周期为11个月，省级城域网运维服务周期为19个月；省政务云西咸节点1（电信）运维服务中，一期运维服务周期为19个月，二期运维服务周期为13个月；省政府园区网络运维服务周期为19个月；秦岭视频综合监管系统运营运维服务周期为12个月；陕西RA密码机认证服务周期为19个月；备品备件服务周期19个月）。</w:t>
      </w:r>
    </w:p>
    <w:p w14:paraId="66D1764A">
      <w:pPr>
        <w:pStyle w:val="11"/>
        <w:numPr>
          <w:ilvl w:val="0"/>
          <w:numId w:val="1"/>
        </w:numPr>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履约保证金</w:t>
      </w:r>
    </w:p>
    <w:p w14:paraId="73EF0497">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1.合同签订后，乙方以支票、汇票、本票或者金融机构、担保机构出具的保函等非现金形式向甲方缴纳合同总金额的5%作为履约保证金。</w:t>
      </w:r>
    </w:p>
    <w:p w14:paraId="3BBAC6A9">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2.履约保证金的退还：项目终验合格无任何争议后（最终验收完成并按照实际工作量甲乙双方进行确认;按确认后实际工作量和考核结果进行结算；已退还按实际工作量结算多付款项以及考核应扣除款项），甲方将履约保证金全额退还给乙方。</w:t>
      </w:r>
    </w:p>
    <w:p w14:paraId="5D4F95AE">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五</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价款及支付</w:t>
      </w:r>
    </w:p>
    <w:p w14:paraId="5BC1B37C">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 xml:space="preserve">1.本项目总价款为 </w:t>
      </w:r>
      <w:r>
        <w:rPr>
          <w:rFonts w:hint="default" w:ascii="仿宋" w:hAnsi="仿宋" w:eastAsia="仿宋"/>
          <w:color w:val="auto"/>
          <w:sz w:val="24"/>
          <w:szCs w:val="24"/>
        </w:rPr>
        <w:t>¥</w:t>
      </w:r>
      <w:r>
        <w:rPr>
          <w:rFonts w:ascii="仿宋" w:hAnsi="仿宋" w:eastAsia="仿宋"/>
          <w:color w:val="auto"/>
          <w:sz w:val="24"/>
          <w:szCs w:val="24"/>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rPr>
        <w:t xml:space="preserve">元(大写: </w:t>
      </w:r>
      <w:r>
        <w:rPr>
          <w:rFonts w:ascii="仿宋" w:hAnsi="仿宋" w:eastAsia="仿宋"/>
          <w:color w:val="auto"/>
          <w:sz w:val="24"/>
          <w:szCs w:val="24"/>
          <w:u w:val="single"/>
          <w:lang w:eastAsia="zh-CN"/>
        </w:rPr>
        <w:t xml:space="preserve">              </w:t>
      </w:r>
      <w:r>
        <w:rPr>
          <w:rFonts w:ascii="仿宋" w:hAnsi="仿宋" w:eastAsia="仿宋"/>
          <w:color w:val="auto"/>
          <w:sz w:val="24"/>
          <w:szCs w:val="24"/>
        </w:rPr>
        <w:t>)。</w:t>
      </w:r>
    </w:p>
    <w:p w14:paraId="040418BD">
      <w:pPr>
        <w:pStyle w:val="11"/>
        <w:spacing w:line="338" w:lineRule="auto"/>
        <w:ind w:firstLine="480" w:firstLineChars="200"/>
        <w:jc w:val="both"/>
        <w:rPr>
          <w:rFonts w:ascii="仿宋" w:hAnsi="仿宋" w:eastAsia="仿宋"/>
          <w:color w:val="auto"/>
          <w:sz w:val="24"/>
          <w:szCs w:val="24"/>
          <w:lang w:eastAsia="zh-CN"/>
        </w:rPr>
      </w:pPr>
      <w:r>
        <w:rPr>
          <w:rFonts w:ascii="仿宋" w:hAnsi="仿宋" w:eastAsia="仿宋"/>
          <w:color w:val="auto"/>
          <w:sz w:val="24"/>
          <w:szCs w:val="24"/>
          <w:lang w:eastAsia="zh-CN"/>
        </w:rPr>
        <w:t>（1）合同总价包含项目实施费及其他费用等从项目实施至最终验收合格等所有其他有关各项的含税费用。</w:t>
      </w:r>
    </w:p>
    <w:p w14:paraId="601C22AD">
      <w:pPr>
        <w:pStyle w:val="11"/>
        <w:numPr>
          <w:ilvl w:val="0"/>
          <w:numId w:val="2"/>
        </w:numPr>
        <w:spacing w:line="338" w:lineRule="auto"/>
        <w:ind w:firstLine="480" w:firstLineChars="200"/>
        <w:jc w:val="both"/>
        <w:rPr>
          <w:rFonts w:ascii="仿宋" w:hAnsi="仿宋" w:eastAsia="仿宋"/>
          <w:color w:val="auto"/>
          <w:sz w:val="24"/>
          <w:szCs w:val="24"/>
          <w:lang w:eastAsia="zh-CN"/>
        </w:rPr>
      </w:pPr>
      <w:r>
        <w:rPr>
          <w:rFonts w:hint="default" w:ascii="仿宋" w:hAnsi="仿宋" w:eastAsia="仿宋"/>
          <w:color w:val="auto"/>
          <w:sz w:val="24"/>
          <w:szCs w:val="24"/>
          <w:lang w:eastAsia="zh-CN"/>
        </w:rPr>
        <w:t>完成最终验收后，对已完成的服务内容和系统功能项依据合同约定的分项价格或者功能点计价标准据实结算，结算价格最终不超过本合同总价。</w:t>
      </w:r>
    </w:p>
    <w:p w14:paraId="5ED68457">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2.付款方式：</w:t>
      </w:r>
    </w:p>
    <w:p w14:paraId="79C2591B">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（1）付款条件说明：合同签订后，由乙方书面提出支付申请函及拟支付金额等额发票，经甲方确认，达到付款条件起 30 日内，支付合同总金额的40.00%。</w:t>
      </w:r>
    </w:p>
    <w:p w14:paraId="5BE99A37">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付款条件说明：交付验收通过后，由乙方书面提出支付申请函及拟支付金额等额发票，经甲方确认，达到付款条件起 30 日内，支付合同总金额的60.00%</w:t>
      </w:r>
    </w:p>
    <w:p w14:paraId="6BAD2F9A">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（2）上述时间不包括甲方正常办理支付报批手续的时间（办理银行担保所需的手续费、担保费等全部由乙方承担）</w:t>
      </w:r>
    </w:p>
    <w:p w14:paraId="358F90F2">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（3）乙方</w:t>
      </w:r>
      <w:r>
        <w:rPr>
          <w:rFonts w:ascii="仿宋" w:hAnsi="仿宋" w:eastAsia="仿宋"/>
          <w:color w:val="auto"/>
          <w:sz w:val="24"/>
          <w:szCs w:val="24"/>
        </w:rPr>
        <w:t>承诺在</w:t>
      </w:r>
      <w:r>
        <w:rPr>
          <w:rFonts w:ascii="仿宋" w:hAnsi="仿宋" w:eastAsia="仿宋"/>
          <w:color w:val="auto"/>
          <w:sz w:val="24"/>
          <w:szCs w:val="24"/>
          <w:lang w:eastAsia="zh-CN"/>
        </w:rPr>
        <w:t>甲方</w:t>
      </w:r>
      <w:r>
        <w:rPr>
          <w:rFonts w:ascii="仿宋" w:hAnsi="仿宋" w:eastAsia="仿宋"/>
          <w:color w:val="auto"/>
          <w:sz w:val="24"/>
          <w:szCs w:val="24"/>
        </w:rPr>
        <w:t>办理支付手续前，为</w:t>
      </w:r>
      <w:r>
        <w:rPr>
          <w:rFonts w:ascii="仿宋" w:hAnsi="仿宋" w:eastAsia="仿宋"/>
          <w:color w:val="auto"/>
          <w:sz w:val="24"/>
          <w:szCs w:val="24"/>
          <w:lang w:eastAsia="zh-CN"/>
        </w:rPr>
        <w:t>甲方</w:t>
      </w:r>
      <w:r>
        <w:rPr>
          <w:rFonts w:ascii="仿宋" w:hAnsi="仿宋" w:eastAsia="仿宋"/>
          <w:color w:val="auto"/>
          <w:sz w:val="24"/>
          <w:szCs w:val="24"/>
        </w:rPr>
        <w:t>出具等额的符合国家规定的发票。乙方未提供发票、逾期提供发票或提供发票不符合甲方要求的，由此造成的相关责任由乙方自行承担，甲方有权拒绝付款，并不因此承担逾期付款的违约责任。</w:t>
      </w:r>
    </w:p>
    <w:p w14:paraId="03EF95A3">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如因政府财政部门审查、财政支付管理流程及预算下达导致支付延期，支付期限自动顺延，</w:t>
      </w:r>
      <w:r>
        <w:rPr>
          <w:rFonts w:ascii="仿宋" w:hAnsi="仿宋" w:eastAsia="仿宋"/>
          <w:color w:val="auto"/>
          <w:sz w:val="24"/>
          <w:szCs w:val="24"/>
          <w:lang w:eastAsia="zh-CN"/>
        </w:rPr>
        <w:t>甲方</w:t>
      </w:r>
      <w:r>
        <w:rPr>
          <w:rFonts w:ascii="仿宋" w:hAnsi="仿宋" w:eastAsia="仿宋"/>
          <w:color w:val="auto"/>
          <w:sz w:val="24"/>
          <w:szCs w:val="24"/>
        </w:rPr>
        <w:t>不承担责任，</w:t>
      </w:r>
      <w:r>
        <w:rPr>
          <w:rFonts w:ascii="仿宋" w:hAnsi="仿宋" w:eastAsia="仿宋"/>
          <w:color w:val="auto"/>
          <w:sz w:val="24"/>
          <w:szCs w:val="24"/>
          <w:lang w:eastAsia="zh-CN"/>
        </w:rPr>
        <w:t>乙方</w:t>
      </w:r>
      <w:r>
        <w:rPr>
          <w:rFonts w:ascii="仿宋" w:hAnsi="仿宋" w:eastAsia="仿宋"/>
          <w:color w:val="auto"/>
          <w:sz w:val="24"/>
          <w:szCs w:val="24"/>
        </w:rPr>
        <w:t>不得以此为由迟延履行或不履行合同义务。</w:t>
      </w:r>
    </w:p>
    <w:p w14:paraId="013A1995">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.乙方指定收款账户如下</w:t>
      </w:r>
      <w:r>
        <w:rPr>
          <w:rFonts w:ascii="仿宋" w:hAnsi="仿宋" w:eastAsia="仿宋"/>
          <w:color w:val="auto"/>
          <w:sz w:val="24"/>
          <w:szCs w:val="24"/>
          <w:lang w:eastAsia="zh-CN"/>
        </w:rPr>
        <w:t>，</w:t>
      </w:r>
      <w:r>
        <w:rPr>
          <w:rFonts w:ascii="仿宋" w:hAnsi="仿宋" w:eastAsia="仿宋"/>
          <w:color w:val="auto"/>
          <w:sz w:val="24"/>
          <w:szCs w:val="24"/>
        </w:rPr>
        <w:t>乙方</w:t>
      </w:r>
      <w:r>
        <w:rPr>
          <w:rFonts w:ascii="仿宋" w:hAnsi="仿宋" w:eastAsia="仿宋"/>
          <w:color w:val="auto"/>
          <w:sz w:val="24"/>
          <w:szCs w:val="24"/>
          <w:lang w:eastAsia="zh-CN"/>
        </w:rPr>
        <w:t>自行</w:t>
      </w:r>
      <w:r>
        <w:rPr>
          <w:rFonts w:ascii="仿宋" w:hAnsi="仿宋" w:eastAsia="仿宋"/>
          <w:color w:val="auto"/>
          <w:sz w:val="24"/>
          <w:szCs w:val="24"/>
        </w:rPr>
        <w:t>承担因提供信息有误带来的一切不利后果：</w:t>
      </w:r>
    </w:p>
    <w:p w14:paraId="14F0987E">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户</w:t>
      </w:r>
      <w:r>
        <w:rPr>
          <w:rFonts w:ascii="仿宋" w:hAnsi="仿宋" w:eastAsia="仿宋"/>
          <w:color w:val="auto"/>
          <w:sz w:val="24"/>
          <w:szCs w:val="24"/>
          <w:lang w:eastAsia="zh-CN"/>
        </w:rPr>
        <w:t xml:space="preserve">    </w:t>
      </w:r>
      <w:r>
        <w:rPr>
          <w:rFonts w:ascii="仿宋" w:hAnsi="仿宋" w:eastAsia="仿宋"/>
          <w:color w:val="auto"/>
          <w:sz w:val="24"/>
          <w:szCs w:val="24"/>
        </w:rPr>
        <w:t>名:</w:t>
      </w:r>
    </w:p>
    <w:p w14:paraId="1210136F">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 xml:space="preserve">开 户 行:               </w:t>
      </w:r>
    </w:p>
    <w:p w14:paraId="7D230A18">
      <w:pPr>
        <w:pStyle w:val="11"/>
        <w:spacing w:line="338" w:lineRule="auto"/>
        <w:ind w:firstLine="720" w:firstLineChars="300"/>
        <w:rPr>
          <w:rFonts w:ascii="仿宋" w:hAnsi="仿宋" w:eastAsia="仿宋"/>
          <w:color w:val="auto"/>
          <w:sz w:val="24"/>
          <w:szCs w:val="24"/>
        </w:rPr>
      </w:pPr>
      <w:r>
        <w:rPr>
          <w:rFonts w:ascii="仿宋" w:hAnsi="仿宋" w:eastAsia="仿宋"/>
          <w:color w:val="auto"/>
          <w:sz w:val="24"/>
          <w:szCs w:val="24"/>
        </w:rPr>
        <w:t xml:space="preserve">银行账号:                </w:t>
      </w:r>
    </w:p>
    <w:p w14:paraId="70A050B5">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六、服务地点</w:t>
      </w:r>
    </w:p>
    <w:p w14:paraId="5B25479B">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陕西省政府大院内及甲方指定其他服务地点（西安本地，含西咸新区）。</w:t>
      </w:r>
    </w:p>
    <w:p w14:paraId="683129A6">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七、质量保证</w:t>
      </w:r>
    </w:p>
    <w:p w14:paraId="3C3F750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1.乙方应当保证服务内容质量完全符合合同规定的要求，并对服务内容质量问题负责。</w:t>
      </w:r>
    </w:p>
    <w:p w14:paraId="15083042">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2.采购项目执行内容需要调整时，经甲方书面同意后，可以对相应的内容进行调整，并协商确定价格差额计算方法和负担办法。</w:t>
      </w:r>
    </w:p>
    <w:p w14:paraId="03CFF2F9">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八、技术服务</w:t>
      </w:r>
    </w:p>
    <w:p w14:paraId="6702582B">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1.技术资料</w:t>
      </w:r>
    </w:p>
    <w:p w14:paraId="2FF20653">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2.服务承诺</w:t>
      </w:r>
    </w:p>
    <w:p w14:paraId="1B583CB1">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九</w:t>
      </w:r>
      <w:r>
        <w:rPr>
          <w:rFonts w:ascii="仿宋" w:hAnsi="仿宋" w:eastAsia="仿宋"/>
          <w:color w:val="auto"/>
          <w:sz w:val="24"/>
          <w:szCs w:val="24"/>
        </w:rPr>
        <w:t>、甲方的权利和义务</w:t>
      </w:r>
    </w:p>
    <w:p w14:paraId="75189CC8">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1.甲方有权对</w:t>
      </w:r>
      <w:r>
        <w:rPr>
          <w:rFonts w:ascii="仿宋" w:hAnsi="仿宋" w:eastAsia="仿宋"/>
          <w:color w:val="auto"/>
          <w:sz w:val="24"/>
          <w:szCs w:val="24"/>
          <w:lang w:eastAsia="zh-CN"/>
        </w:rPr>
        <w:t>合同</w:t>
      </w:r>
      <w:r>
        <w:rPr>
          <w:rFonts w:ascii="仿宋" w:hAnsi="仿宋" w:eastAsia="仿宋"/>
          <w:color w:val="auto"/>
          <w:sz w:val="24"/>
          <w:szCs w:val="24"/>
        </w:rPr>
        <w:t>规定范围内乙方的服务内容进行监督和检查，如甲方存在异议，乙方应当在收到甲方异议后按期整改并说明；</w:t>
      </w:r>
    </w:p>
    <w:p w14:paraId="7F7A413C">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2.甲方有权要求乙方提供与相关服务内容有关的相关信息；</w:t>
      </w:r>
    </w:p>
    <w:p w14:paraId="1D671059">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3.甲方有权得到符合合同要求的所有服务；</w:t>
      </w:r>
    </w:p>
    <w:p w14:paraId="1EAD23C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4</w:t>
      </w:r>
      <w:r>
        <w:rPr>
          <w:rFonts w:ascii="仿宋" w:hAnsi="仿宋" w:eastAsia="仿宋"/>
          <w:color w:val="auto"/>
          <w:sz w:val="24"/>
          <w:szCs w:val="24"/>
        </w:rPr>
        <w:t>.根据本</w:t>
      </w:r>
      <w:r>
        <w:rPr>
          <w:rFonts w:ascii="仿宋" w:hAnsi="仿宋" w:eastAsia="仿宋"/>
          <w:color w:val="auto"/>
          <w:sz w:val="24"/>
          <w:szCs w:val="24"/>
          <w:lang w:eastAsia="zh-CN"/>
        </w:rPr>
        <w:t>合同</w:t>
      </w:r>
      <w:r>
        <w:rPr>
          <w:rFonts w:ascii="仿宋" w:hAnsi="仿宋" w:eastAsia="仿宋"/>
          <w:color w:val="auto"/>
          <w:sz w:val="24"/>
          <w:szCs w:val="24"/>
        </w:rPr>
        <w:t>约定，按时向乙方支付应付</w:t>
      </w:r>
      <w:r>
        <w:rPr>
          <w:rFonts w:ascii="仿宋" w:hAnsi="仿宋" w:eastAsia="仿宋"/>
          <w:color w:val="auto"/>
          <w:sz w:val="24"/>
          <w:szCs w:val="24"/>
          <w:lang w:eastAsia="zh-CN"/>
        </w:rPr>
        <w:t>合同</w:t>
      </w:r>
      <w:r>
        <w:rPr>
          <w:rFonts w:ascii="仿宋" w:hAnsi="仿宋" w:eastAsia="仿宋"/>
          <w:color w:val="auto"/>
          <w:sz w:val="24"/>
          <w:szCs w:val="24"/>
        </w:rPr>
        <w:t>价款</w:t>
      </w:r>
      <w:r>
        <w:rPr>
          <w:rFonts w:ascii="仿宋" w:hAnsi="仿宋" w:eastAsia="仿宋"/>
          <w:color w:val="auto"/>
          <w:sz w:val="24"/>
          <w:szCs w:val="24"/>
          <w:lang w:eastAsia="zh-CN"/>
        </w:rPr>
        <w:t>。如乙方服务未达到合同</w:t>
      </w:r>
    </w:p>
    <w:p w14:paraId="45B8E65B">
      <w:pPr>
        <w:pStyle w:val="11"/>
        <w:spacing w:line="338" w:lineRule="auto"/>
        <w:rPr>
          <w:rFonts w:ascii="仿宋" w:hAnsi="仿宋" w:eastAsia="仿宋"/>
          <w:color w:val="auto"/>
          <w:sz w:val="24"/>
          <w:szCs w:val="24"/>
          <w:lang w:eastAsia="zh-CN"/>
        </w:rPr>
      </w:pPr>
      <w:r>
        <w:rPr>
          <w:rFonts w:ascii="仿宋" w:hAnsi="仿宋" w:eastAsia="仿宋"/>
          <w:color w:val="auto"/>
          <w:sz w:val="24"/>
          <w:szCs w:val="24"/>
          <w:lang w:eastAsia="zh-CN"/>
        </w:rPr>
        <w:t>要求，甲方有权拒付未达到要求部分的款项</w:t>
      </w:r>
    </w:p>
    <w:p w14:paraId="1214A9CD">
      <w:pPr>
        <w:ind w:firstLine="480" w:firstLineChars="200"/>
        <w:rPr>
          <w:rFonts w:hint="eastAsia" w:ascii="仿宋" w:hAnsi="仿宋" w:eastAsia="仿宋"/>
          <w:color w:val="auto"/>
          <w:sz w:val="24"/>
          <w:szCs w:val="24"/>
          <w:lang w:eastAsia="zh-CN"/>
        </w:rPr>
      </w:pPr>
      <w:r>
        <w:rPr>
          <w:rFonts w:hint="eastAsia" w:ascii="仿宋" w:hAnsi="仿宋" w:eastAsia="仿宋"/>
          <w:color w:val="auto"/>
          <w:sz w:val="24"/>
          <w:szCs w:val="24"/>
          <w:lang w:eastAsia="zh-CN"/>
        </w:rPr>
        <w:t>5.</w:t>
      </w:r>
      <w:r>
        <w:rPr>
          <w:rFonts w:hint="eastAsia" w:ascii="仿宋" w:hAnsi="仿宋" w:eastAsia="仿宋" w:cs="仿宋"/>
          <w:color w:val="auto"/>
          <w:sz w:val="24"/>
          <w:lang w:eastAsia="zh-CN"/>
        </w:rPr>
        <w:t>乙方完成所有协议约定内容后，甲方根据项目实施情况出具的客观公正的书面用户验收意见。</w:t>
      </w:r>
      <w:r>
        <w:rPr>
          <w:rFonts w:ascii="仿宋" w:hAnsi="仿宋" w:eastAsia="仿宋"/>
          <w:color w:val="auto"/>
          <w:sz w:val="24"/>
          <w:szCs w:val="24"/>
          <w:lang w:eastAsia="zh-CN"/>
        </w:rPr>
        <w:cr/>
      </w:r>
      <w:r>
        <w:rPr>
          <w:rFonts w:hint="eastAsia" w:ascii="仿宋" w:hAnsi="仿宋" w:eastAsia="仿宋"/>
          <w:color w:val="auto"/>
          <w:sz w:val="24"/>
          <w:szCs w:val="24"/>
          <w:lang w:eastAsia="zh-CN"/>
        </w:rPr>
        <w:t xml:space="preserve">    十</w:t>
      </w:r>
      <w:r>
        <w:rPr>
          <w:rFonts w:ascii="仿宋" w:hAnsi="仿宋" w:eastAsia="仿宋"/>
          <w:color w:val="auto"/>
          <w:sz w:val="24"/>
          <w:szCs w:val="24"/>
          <w:lang w:eastAsia="zh-CN"/>
        </w:rPr>
        <w:t>、乙方的权利和义务</w:t>
      </w:r>
    </w:p>
    <w:p w14:paraId="4C4E069C">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1.</w:t>
      </w:r>
      <w:r>
        <w:rPr>
          <w:rFonts w:ascii="仿宋" w:hAnsi="仿宋" w:eastAsia="仿宋"/>
          <w:color w:val="auto"/>
          <w:sz w:val="24"/>
          <w:szCs w:val="24"/>
        </w:rPr>
        <w:t>乙方应向甲方提供与本项目服务有关的资料，包括项目服务单位、人员的资质证书及承担本合同业务的专业人员名单、项目服务工作计划等，并按</w:t>
      </w:r>
      <w:r>
        <w:rPr>
          <w:rFonts w:ascii="仿宋" w:hAnsi="仿宋" w:eastAsia="仿宋"/>
          <w:color w:val="auto"/>
          <w:sz w:val="24"/>
          <w:szCs w:val="24"/>
          <w:lang w:eastAsia="zh-CN"/>
        </w:rPr>
        <w:t>招标文件、</w:t>
      </w:r>
      <w:r>
        <w:rPr>
          <w:rFonts w:ascii="仿宋" w:hAnsi="仿宋" w:eastAsia="仿宋"/>
          <w:color w:val="auto"/>
          <w:sz w:val="24"/>
          <w:szCs w:val="24"/>
        </w:rPr>
        <w:t>合同约定的范围、时间、工作依据、工作标准等，出具内容齐全、规范、准确的相关报告等。</w:t>
      </w:r>
    </w:p>
    <w:p w14:paraId="4080E4F3">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2.</w:t>
      </w:r>
      <w:r>
        <w:rPr>
          <w:rFonts w:ascii="仿宋" w:hAnsi="仿宋" w:eastAsia="仿宋"/>
          <w:color w:val="auto"/>
          <w:sz w:val="24"/>
          <w:szCs w:val="24"/>
        </w:rPr>
        <w:t>合作过程中乙方应指派专门的业务负责人负责合作事项的全程沟通及协调工作；</w:t>
      </w:r>
    </w:p>
    <w:p w14:paraId="39956186">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乙方应遵守甲方有关合作事项的各项管理规定，及时报告工作进度，在规定时间内完成相应工作；</w:t>
      </w:r>
    </w:p>
    <w:p w14:paraId="5BC40A15">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甲方在工作质量、工作进度、工作内容等方面提出意见及建议，乙方应及时响应并有效改进；</w:t>
      </w:r>
    </w:p>
    <w:p w14:paraId="6CB6C0BC">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5.</w:t>
      </w:r>
      <w:r>
        <w:rPr>
          <w:rFonts w:ascii="仿宋" w:hAnsi="仿宋" w:eastAsia="仿宋"/>
          <w:color w:val="auto"/>
          <w:sz w:val="24"/>
          <w:szCs w:val="24"/>
        </w:rPr>
        <w:t>不得转包、分包；</w:t>
      </w:r>
    </w:p>
    <w:p w14:paraId="0E4F8B2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6.</w:t>
      </w:r>
      <w:r>
        <w:rPr>
          <w:rFonts w:ascii="仿宋" w:hAnsi="仿宋" w:eastAsia="仿宋"/>
          <w:color w:val="auto"/>
          <w:sz w:val="24"/>
          <w:szCs w:val="24"/>
        </w:rPr>
        <w:t>乙方工作人员为甲方提供服务过程中，个人及财产安全由乙方自行负责，与甲方无关。乙方与工作人员建立合法的</w:t>
      </w:r>
      <w:r>
        <w:rPr>
          <w:rFonts w:ascii="仿宋" w:hAnsi="仿宋" w:eastAsia="仿宋"/>
          <w:color w:val="auto"/>
          <w:sz w:val="24"/>
          <w:szCs w:val="24"/>
          <w:lang w:eastAsia="zh-CN"/>
        </w:rPr>
        <w:t>劳务</w:t>
      </w:r>
      <w:r>
        <w:rPr>
          <w:rFonts w:ascii="仿宋" w:hAnsi="仿宋" w:eastAsia="仿宋"/>
          <w:color w:val="auto"/>
          <w:sz w:val="24"/>
          <w:szCs w:val="24"/>
        </w:rPr>
        <w:t>关系，并承担用工主体责任；</w:t>
      </w:r>
    </w:p>
    <w:p w14:paraId="09C751C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7.</w:t>
      </w:r>
      <w:r>
        <w:rPr>
          <w:rFonts w:ascii="仿宋" w:hAnsi="仿宋" w:eastAsia="仿宋"/>
          <w:color w:val="auto"/>
          <w:sz w:val="24"/>
          <w:szCs w:val="24"/>
        </w:rPr>
        <w:t>乙方应对本项目所提供服务结果的可靠性、准确性、全面性向甲方负责，由于服务结果的可靠性、准确性、全面性不足而导致甲方工作偏差或失误，乙方应承担责任。</w:t>
      </w:r>
    </w:p>
    <w:p w14:paraId="3C93C35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十一、验收</w:t>
      </w:r>
    </w:p>
    <w:p w14:paraId="45297B2F">
      <w:pPr>
        <w:pStyle w:val="11"/>
        <w:spacing w:line="338" w:lineRule="auto"/>
        <w:ind w:firstLine="480" w:firstLineChars="200"/>
        <w:rPr>
          <w:rFonts w:ascii="仿宋" w:hAnsi="仿宋" w:eastAsia="仿宋" w:cs="仿宋_GB2312"/>
          <w:color w:val="auto"/>
          <w:sz w:val="24"/>
          <w:szCs w:val="24"/>
        </w:rPr>
      </w:pPr>
      <w:r>
        <w:rPr>
          <w:rFonts w:ascii="仿宋" w:hAnsi="仿宋" w:eastAsia="仿宋"/>
          <w:color w:val="auto"/>
          <w:sz w:val="24"/>
          <w:szCs w:val="24"/>
          <w:lang w:eastAsia="zh-CN"/>
        </w:rPr>
        <w:t>(一)</w:t>
      </w:r>
      <w:r>
        <w:rPr>
          <w:rFonts w:ascii="仿宋" w:hAnsi="仿宋" w:eastAsia="仿宋" w:cs="仿宋_GB2312"/>
          <w:color w:val="auto"/>
          <w:sz w:val="24"/>
          <w:szCs w:val="24"/>
          <w:lang w:eastAsia="zh-CN"/>
        </w:rPr>
        <w:t>验收依据</w:t>
      </w:r>
    </w:p>
    <w:p w14:paraId="6D7629AB">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国家有关法律法规，以及国家和省关于信息系统和政务信息化项目的相关标准规范；经批准的项目实施方案及批复文件；项目变更审批文件或备案文件；项目合同文件或协议文件，项目采购文件；与项目服务采购、管理有关的维保服务协议等其他具有法律效力的文件；《陕西省省级政务信息化项目竣工验收管理办法（试行）》。</w:t>
      </w:r>
    </w:p>
    <w:p w14:paraId="11659848">
      <w:pPr>
        <w:pStyle w:val="11"/>
        <w:spacing w:line="338" w:lineRule="auto"/>
        <w:ind w:firstLine="480" w:firstLineChars="200"/>
        <w:rPr>
          <w:rFonts w:ascii="仿宋" w:hAnsi="仿宋" w:eastAsia="仿宋" w:cs="仿宋_GB2312"/>
          <w:color w:val="auto"/>
          <w:sz w:val="24"/>
          <w:szCs w:val="24"/>
        </w:rPr>
      </w:pPr>
      <w:r>
        <w:rPr>
          <w:rFonts w:ascii="仿宋" w:hAnsi="仿宋" w:eastAsia="仿宋"/>
          <w:color w:val="auto"/>
          <w:sz w:val="24"/>
          <w:szCs w:val="24"/>
          <w:lang w:eastAsia="zh-CN"/>
        </w:rPr>
        <w:t>(二)</w:t>
      </w:r>
      <w:r>
        <w:rPr>
          <w:rFonts w:ascii="仿宋" w:hAnsi="仿宋" w:eastAsia="仿宋" w:cs="仿宋_GB2312"/>
          <w:color w:val="auto"/>
          <w:sz w:val="24"/>
          <w:szCs w:val="24"/>
          <w:lang w:eastAsia="zh-CN"/>
        </w:rPr>
        <w:t>交付验收</w:t>
      </w:r>
    </w:p>
    <w:p w14:paraId="4AD8121F">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1.项目验收条件</w:t>
      </w:r>
    </w:p>
    <w:p w14:paraId="304B3B4F">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乙方的工具能够满足项目甲方所要求的基本服务能力和技术要求、人员配置要求时，可提交交付验收申请。</w:t>
      </w:r>
    </w:p>
    <w:p w14:paraId="0DCB73F0">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2.项目验收组织及流程</w:t>
      </w:r>
    </w:p>
    <w:p w14:paraId="27E2EF2B">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乙方提交交付验收申请和项目验收文档资料，经甲方、监理单位审核同意后，由甲方组织开展验收工作。</w:t>
      </w:r>
    </w:p>
    <w:p w14:paraId="698191F0">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（1）提交验收申请和验收资料。</w:t>
      </w:r>
    </w:p>
    <w:p w14:paraId="075FDCFE">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（2）审核文档资料。监理单位对交付验收申请及相关文档进行审核后，对存疑地方由监理单位开具《监理意见单》，要求乙方整改后重新报审，直至审核通过，监理单位协助甲方组织交付验收。</w:t>
      </w:r>
    </w:p>
    <w:p w14:paraId="3EEE3203">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（3）验收会议准备。经甲方、监理单位同意后，由甲方组织召开交付验收专家评审会。专家人数不少于3人单数，组长由专家组推选产生。</w:t>
      </w:r>
    </w:p>
    <w:p w14:paraId="6E404886">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（4）召开交付验收会议。项目交付验收会的主要议程包括：</w:t>
      </w:r>
    </w:p>
    <w:p w14:paraId="1AD0DC61">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甲方介绍项目完成情况；乙方汇总项目服务情况；监理单位作监理报告；甲方、监理单位进行质询讨论；形成交付验收意见；甲方作会议总结。</w:t>
      </w:r>
    </w:p>
    <w:p w14:paraId="63C29656">
      <w:pPr>
        <w:pStyle w:val="11"/>
        <w:spacing w:line="338" w:lineRule="auto"/>
        <w:ind w:firstLine="480" w:firstLineChars="200"/>
        <w:rPr>
          <w:rFonts w:ascii="仿宋" w:hAnsi="仿宋" w:eastAsia="仿宋" w:cs="仿宋_GB2312"/>
          <w:color w:val="auto"/>
          <w:sz w:val="24"/>
          <w:szCs w:val="24"/>
        </w:rPr>
      </w:pPr>
      <w:r>
        <w:rPr>
          <w:rFonts w:ascii="仿宋" w:hAnsi="仿宋" w:eastAsia="仿宋"/>
          <w:color w:val="auto"/>
          <w:sz w:val="24"/>
          <w:szCs w:val="24"/>
          <w:lang w:eastAsia="zh-CN"/>
        </w:rPr>
        <w:t>3.</w:t>
      </w:r>
      <w:r>
        <w:rPr>
          <w:rFonts w:ascii="仿宋" w:hAnsi="仿宋" w:eastAsia="仿宋" w:cs="仿宋_GB2312"/>
          <w:color w:val="auto"/>
          <w:sz w:val="24"/>
          <w:szCs w:val="24"/>
          <w:lang w:eastAsia="zh-CN"/>
        </w:rPr>
        <w:t>项目验收交付清单</w:t>
      </w:r>
    </w:p>
    <w:p w14:paraId="0EFA56E4">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针对每个系统需提交的交付验收材料清单包括但不限于：满足功能和性能要求的监控终端、人员资质证明、初步服务方案等。</w:t>
      </w:r>
    </w:p>
    <w:p w14:paraId="368B0366">
      <w:pPr>
        <w:pStyle w:val="11"/>
        <w:spacing w:line="338" w:lineRule="auto"/>
        <w:ind w:firstLine="480" w:firstLineChars="200"/>
        <w:rPr>
          <w:rFonts w:ascii="仿宋" w:hAnsi="仿宋" w:eastAsia="仿宋" w:cs="仿宋_GB2312"/>
          <w:color w:val="auto"/>
          <w:sz w:val="24"/>
          <w:szCs w:val="24"/>
        </w:rPr>
      </w:pPr>
      <w:r>
        <w:rPr>
          <w:rFonts w:ascii="仿宋" w:hAnsi="仿宋" w:eastAsia="仿宋"/>
          <w:color w:val="auto"/>
          <w:sz w:val="24"/>
          <w:szCs w:val="24"/>
          <w:lang w:eastAsia="zh-CN"/>
        </w:rPr>
        <w:t>（三）</w:t>
      </w:r>
      <w:r>
        <w:rPr>
          <w:rFonts w:ascii="仿宋" w:hAnsi="仿宋" w:eastAsia="仿宋" w:cs="仿宋_GB2312"/>
          <w:color w:val="auto"/>
          <w:sz w:val="24"/>
          <w:szCs w:val="24"/>
          <w:lang w:eastAsia="zh-CN"/>
        </w:rPr>
        <w:t>终验</w:t>
      </w:r>
    </w:p>
    <w:p w14:paraId="7CED8043">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1.项目验收条件</w:t>
      </w:r>
    </w:p>
    <w:p w14:paraId="5131669F">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服务到期后，由乙方提出验收申请，提交甲方，由甲方对服务情况进行初步评判后进行审批是否可以验收。甲方评判依据如下：</w:t>
      </w:r>
    </w:p>
    <w:p w14:paraId="67B8C68F">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（1）完成经批准的实施方案规定的内容，满足服务的需要，服务质量符合预期目标和指标要求。</w:t>
      </w:r>
    </w:p>
    <w:p w14:paraId="7074BFE4">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（2）项目最终考核意见合格，完成最终考核问题整改。</w:t>
      </w:r>
    </w:p>
    <w:p w14:paraId="156A13AC">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（3）项目财务管理符合财政资金管理等有关要求。</w:t>
      </w:r>
    </w:p>
    <w:p w14:paraId="5DAA772B">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（4）项目过程资料齐全完整、规范合理、服务报告完整、齐备。</w:t>
      </w:r>
    </w:p>
    <w:p w14:paraId="6519E9EF">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（5）验收材料齐全规范。包括服务考核意见；采购人验收结果审核申请；项目实施总结报告；其他最终验收需要的材料。</w:t>
      </w:r>
    </w:p>
    <w:p w14:paraId="3A72D4C3">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2.项目验收组织及流程</w:t>
      </w:r>
    </w:p>
    <w:p w14:paraId="48427EC0">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对于满足验收要求的，由甲方组织验收，对服务周期内从服务绩效、服务能力、服务满意度、响应及时率、故障处理率等各方面进行验收评审，并依据服务绩效考核指标、服务SLA要求进行打分，并作出验收意见。具体流程如下：</w:t>
      </w:r>
    </w:p>
    <w:p w14:paraId="570E9DE9">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（1）乙方完成合同任务后，向甲方提交相关资料和履约报告。</w:t>
      </w:r>
    </w:p>
    <w:p w14:paraId="6C94E024">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（2）甲方审查各类资料和服务总结报告，按照合同约定的技术、服务和安全标准等组织服务考核和项目验收。</w:t>
      </w:r>
    </w:p>
    <w:p w14:paraId="21BC5D51">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（3）验收合格后，甲方向相关单位提交审核申请并报送相关资料文档。申请文件应说明中标人是否严格履行合同，是否有效保证服务数量、质量和效果。</w:t>
      </w:r>
    </w:p>
    <w:p w14:paraId="74E52B28">
      <w:pPr>
        <w:pStyle w:val="11"/>
        <w:spacing w:line="338" w:lineRule="auto"/>
        <w:ind w:firstLine="480" w:firstLineChars="200"/>
        <w:rPr>
          <w:rFonts w:ascii="仿宋" w:hAnsi="仿宋" w:eastAsia="仿宋" w:cs="仿宋_GB2312"/>
          <w:color w:val="auto"/>
          <w:sz w:val="24"/>
          <w:szCs w:val="24"/>
        </w:rPr>
      </w:pPr>
      <w:r>
        <w:rPr>
          <w:rFonts w:ascii="仿宋" w:hAnsi="仿宋" w:eastAsia="仿宋" w:cs="仿宋_GB2312"/>
          <w:color w:val="auto"/>
          <w:sz w:val="24"/>
          <w:szCs w:val="24"/>
          <w:lang w:eastAsia="zh-CN"/>
        </w:rPr>
        <w:t>3．项目验收交付清单</w:t>
      </w:r>
    </w:p>
    <w:p w14:paraId="4BFD43FA">
      <w:pPr>
        <w:pStyle w:val="11"/>
        <w:spacing w:line="338" w:lineRule="auto"/>
        <w:ind w:firstLine="480" w:firstLineChars="200"/>
        <w:rPr>
          <w:rFonts w:ascii="仿宋" w:hAnsi="仿宋" w:eastAsia="仿宋" w:cs="仿宋_GB2312"/>
          <w:color w:val="auto"/>
          <w:sz w:val="24"/>
          <w:szCs w:val="24"/>
          <w:lang w:eastAsia="zh-CN"/>
        </w:rPr>
      </w:pPr>
      <w:r>
        <w:rPr>
          <w:rFonts w:ascii="仿宋" w:hAnsi="仿宋" w:eastAsia="仿宋" w:cs="仿宋_GB2312"/>
          <w:color w:val="auto"/>
          <w:sz w:val="24"/>
          <w:szCs w:val="24"/>
          <w:lang w:eastAsia="zh-CN"/>
        </w:rPr>
        <w:t>在项目完成时，乙方需将本项目所有文档、资料汇集成册，所有文件要求用中文书写或有完整的中文注释。装订成册的纸质文档至少1套，电子文档1套。所提供服务的验收文档除包括以下清单所列，另外还需对项目全生命周期文件进行统一归档。</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1983"/>
        <w:gridCol w:w="4574"/>
        <w:gridCol w:w="1339"/>
      </w:tblGrid>
      <w:tr w14:paraId="1EBD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76" w:type="pct"/>
            <w:shd w:val="clear" w:color="000000" w:fill="auto"/>
            <w:vAlign w:val="center"/>
          </w:tcPr>
          <w:p w14:paraId="2F4C04C2">
            <w:pPr>
              <w:jc w:val="center"/>
              <w:rPr>
                <w:rFonts w:ascii="Times New Roman" w:hAnsi="Times New Roman" w:cs="Times New Roman"/>
                <w:b/>
                <w:bCs/>
                <w:color w:val="auto"/>
              </w:rPr>
            </w:pPr>
            <w:r>
              <w:rPr>
                <w:rFonts w:ascii="Times New Roman" w:hAnsi="Times New Roman" w:cs="Times New Roman"/>
                <w:b/>
                <w:bCs/>
                <w:color w:val="auto"/>
              </w:rPr>
              <w:t>序号</w:t>
            </w:r>
          </w:p>
        </w:tc>
        <w:tc>
          <w:tcPr>
            <w:tcW w:w="1177" w:type="pct"/>
            <w:shd w:val="clear" w:color="000000" w:fill="auto"/>
            <w:vAlign w:val="center"/>
          </w:tcPr>
          <w:p w14:paraId="2447114D">
            <w:pPr>
              <w:jc w:val="center"/>
              <w:rPr>
                <w:rFonts w:ascii="Times New Roman" w:hAnsi="Times New Roman" w:cs="Times New Roman"/>
                <w:b/>
                <w:bCs/>
                <w:color w:val="auto"/>
              </w:rPr>
            </w:pPr>
            <w:r>
              <w:rPr>
                <w:rFonts w:ascii="Times New Roman" w:hAnsi="Times New Roman" w:cs="Times New Roman"/>
                <w:b/>
                <w:bCs/>
                <w:color w:val="auto"/>
              </w:rPr>
              <w:t>服务分项</w:t>
            </w:r>
          </w:p>
        </w:tc>
        <w:tc>
          <w:tcPr>
            <w:tcW w:w="2646" w:type="pct"/>
            <w:shd w:val="clear" w:color="000000" w:fill="auto"/>
            <w:vAlign w:val="center"/>
          </w:tcPr>
          <w:p w14:paraId="1632DC41">
            <w:pPr>
              <w:jc w:val="center"/>
              <w:rPr>
                <w:rFonts w:ascii="Times New Roman" w:hAnsi="Times New Roman" w:cs="Times New Roman"/>
                <w:b/>
                <w:bCs/>
                <w:color w:val="auto"/>
              </w:rPr>
            </w:pPr>
            <w:r>
              <w:rPr>
                <w:rFonts w:ascii="Times New Roman" w:hAnsi="Times New Roman" w:cs="Times New Roman"/>
                <w:b/>
                <w:bCs/>
                <w:color w:val="auto"/>
              </w:rPr>
              <w:t>交付清单</w:t>
            </w:r>
          </w:p>
        </w:tc>
        <w:tc>
          <w:tcPr>
            <w:tcW w:w="799" w:type="pct"/>
            <w:shd w:val="clear" w:color="000000" w:fill="auto"/>
            <w:vAlign w:val="center"/>
          </w:tcPr>
          <w:p w14:paraId="28268D15">
            <w:pPr>
              <w:jc w:val="center"/>
              <w:rPr>
                <w:rFonts w:ascii="Times New Roman" w:hAnsi="Times New Roman" w:cs="Times New Roman"/>
                <w:b/>
                <w:bCs/>
                <w:color w:val="auto"/>
              </w:rPr>
            </w:pPr>
            <w:r>
              <w:rPr>
                <w:rFonts w:ascii="Times New Roman" w:hAnsi="Times New Roman" w:cs="Times New Roman"/>
                <w:b/>
                <w:bCs/>
                <w:color w:val="auto"/>
              </w:rPr>
              <w:t>数量</w:t>
            </w:r>
          </w:p>
        </w:tc>
      </w:tr>
      <w:tr w14:paraId="4BF18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restart"/>
            <w:shd w:val="clear" w:color="000000" w:fill="auto"/>
            <w:vAlign w:val="center"/>
          </w:tcPr>
          <w:p w14:paraId="4FFC2CE9">
            <w:pPr>
              <w:jc w:val="center"/>
              <w:rPr>
                <w:rFonts w:ascii="Times New Roman" w:hAnsi="Times New Roman" w:cs="Times New Roman"/>
                <w:color w:val="auto"/>
              </w:rPr>
            </w:pPr>
            <w:r>
              <w:rPr>
                <w:rFonts w:ascii="Times New Roman" w:hAnsi="Times New Roman" w:cs="Times New Roman"/>
                <w:color w:val="auto"/>
              </w:rPr>
              <w:t>1</w:t>
            </w:r>
          </w:p>
        </w:tc>
        <w:tc>
          <w:tcPr>
            <w:tcW w:w="1177" w:type="pct"/>
            <w:vMerge w:val="restart"/>
            <w:shd w:val="clear" w:color="000000" w:fill="auto"/>
            <w:vAlign w:val="center"/>
          </w:tcPr>
          <w:p w14:paraId="06CE0AC0">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电子政务外网节点运维服务</w:t>
            </w:r>
          </w:p>
        </w:tc>
        <w:tc>
          <w:tcPr>
            <w:tcW w:w="2646" w:type="pct"/>
            <w:shd w:val="clear" w:color="000000" w:fill="auto"/>
            <w:noWrap/>
            <w:vAlign w:val="center"/>
          </w:tcPr>
          <w:p w14:paraId="62FA2E9B">
            <w:pPr>
              <w:jc w:val="center"/>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color w:val="auto"/>
                <w:lang w:eastAsia="zh-CN"/>
              </w:rPr>
              <w:t>周</w:t>
            </w:r>
            <w:r>
              <w:rPr>
                <w:rFonts w:ascii="Times New Roman" w:hAnsi="Times New Roman" w:cs="Times New Roman"/>
                <w:color w:val="auto"/>
              </w:rPr>
              <w:t>运维服务报告》</w:t>
            </w:r>
          </w:p>
        </w:tc>
        <w:tc>
          <w:tcPr>
            <w:tcW w:w="799" w:type="pct"/>
            <w:shd w:val="clear" w:color="000000" w:fill="auto"/>
            <w:noWrap/>
            <w:vAlign w:val="center"/>
          </w:tcPr>
          <w:p w14:paraId="5B821424">
            <w:pPr>
              <w:jc w:val="center"/>
              <w:rPr>
                <w:rFonts w:ascii="Times New Roman" w:hAnsi="Times New Roman" w:cs="Times New Roman"/>
                <w:color w:val="auto"/>
              </w:rPr>
            </w:pPr>
            <w:r>
              <w:rPr>
                <w:rFonts w:ascii="Times New Roman" w:hAnsi="Times New Roman" w:cs="Times New Roman"/>
                <w:color w:val="auto"/>
                <w:lang w:eastAsia="zh-CN"/>
              </w:rPr>
              <w:t>76</w:t>
            </w:r>
            <w:r>
              <w:rPr>
                <w:rFonts w:ascii="Times New Roman" w:hAnsi="Times New Roman" w:cs="Times New Roman"/>
                <w:color w:val="auto"/>
              </w:rPr>
              <w:t>份</w:t>
            </w:r>
          </w:p>
        </w:tc>
      </w:tr>
      <w:tr w14:paraId="5D491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2C8F5A76">
            <w:pPr>
              <w:rPr>
                <w:rFonts w:ascii="Times New Roman" w:hAnsi="Times New Roman" w:cs="Times New Roman"/>
                <w:color w:val="auto"/>
              </w:rPr>
            </w:pPr>
          </w:p>
        </w:tc>
        <w:tc>
          <w:tcPr>
            <w:tcW w:w="1177" w:type="pct"/>
            <w:vMerge w:val="continue"/>
            <w:shd w:val="clear" w:color="000000" w:fill="auto"/>
            <w:vAlign w:val="center"/>
          </w:tcPr>
          <w:p w14:paraId="20196E65">
            <w:pPr>
              <w:rPr>
                <w:rFonts w:ascii="Times New Roman" w:hAnsi="Times New Roman" w:cs="Times New Roman"/>
                <w:color w:val="auto"/>
              </w:rPr>
            </w:pPr>
          </w:p>
        </w:tc>
        <w:tc>
          <w:tcPr>
            <w:tcW w:w="2646" w:type="pct"/>
            <w:shd w:val="clear" w:color="000000" w:fill="auto"/>
            <w:noWrap/>
            <w:vAlign w:val="center"/>
          </w:tcPr>
          <w:p w14:paraId="013FBC0B">
            <w:pPr>
              <w:jc w:val="center"/>
              <w:rPr>
                <w:rFonts w:ascii="Times New Roman" w:hAnsi="Times New Roman" w:cs="Times New Roman"/>
                <w:color w:val="auto"/>
                <w:lang w:eastAsia="zh-CN"/>
              </w:rPr>
            </w:pPr>
            <w:r>
              <w:rPr>
                <w:rFonts w:ascii="Times New Roman" w:hAnsi="Times New Roman" w:cs="Times New Roman"/>
                <w:color w:val="auto"/>
                <w:lang w:eastAsia="zh-CN"/>
              </w:rPr>
              <w:t>《月度运维服务报告》</w:t>
            </w:r>
          </w:p>
        </w:tc>
        <w:tc>
          <w:tcPr>
            <w:tcW w:w="799" w:type="pct"/>
            <w:shd w:val="clear" w:color="000000" w:fill="auto"/>
            <w:noWrap/>
            <w:vAlign w:val="center"/>
          </w:tcPr>
          <w:p w14:paraId="6F1B6093">
            <w:pPr>
              <w:jc w:val="center"/>
              <w:rPr>
                <w:rFonts w:ascii="Times New Roman" w:hAnsi="Times New Roman" w:cs="Times New Roman"/>
                <w:color w:val="auto"/>
                <w:lang w:eastAsia="zh-CN"/>
              </w:rPr>
            </w:pPr>
            <w:r>
              <w:rPr>
                <w:rFonts w:ascii="Times New Roman" w:hAnsi="Times New Roman" w:cs="Times New Roman"/>
                <w:color w:val="auto"/>
              </w:rPr>
              <w:t>1</w:t>
            </w:r>
            <w:r>
              <w:rPr>
                <w:rFonts w:ascii="Times New Roman" w:hAnsi="Times New Roman" w:cs="Times New Roman"/>
                <w:color w:val="auto"/>
                <w:lang w:eastAsia="zh-CN"/>
              </w:rPr>
              <w:t>9</w:t>
            </w:r>
            <w:r>
              <w:rPr>
                <w:rFonts w:ascii="Times New Roman" w:hAnsi="Times New Roman" w:cs="Times New Roman"/>
                <w:color w:val="auto"/>
              </w:rPr>
              <w:t>份</w:t>
            </w:r>
          </w:p>
        </w:tc>
      </w:tr>
      <w:tr w14:paraId="11A64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8FBA04C">
            <w:pPr>
              <w:rPr>
                <w:rFonts w:ascii="Times New Roman" w:hAnsi="Times New Roman" w:cs="Times New Roman"/>
                <w:color w:val="auto"/>
              </w:rPr>
            </w:pPr>
          </w:p>
        </w:tc>
        <w:tc>
          <w:tcPr>
            <w:tcW w:w="1177" w:type="pct"/>
            <w:vMerge w:val="continue"/>
            <w:shd w:val="clear" w:color="000000" w:fill="auto"/>
            <w:vAlign w:val="center"/>
          </w:tcPr>
          <w:p w14:paraId="074FB496">
            <w:pPr>
              <w:rPr>
                <w:rFonts w:ascii="Times New Roman" w:hAnsi="Times New Roman" w:cs="Times New Roman"/>
                <w:color w:val="auto"/>
              </w:rPr>
            </w:pPr>
          </w:p>
        </w:tc>
        <w:tc>
          <w:tcPr>
            <w:tcW w:w="2646" w:type="pct"/>
            <w:shd w:val="clear" w:color="000000" w:fill="auto"/>
            <w:noWrap/>
            <w:vAlign w:val="center"/>
          </w:tcPr>
          <w:p w14:paraId="65C01079">
            <w:pPr>
              <w:jc w:val="center"/>
              <w:rPr>
                <w:rFonts w:ascii="Times New Roman" w:hAnsi="Times New Roman" w:cs="Times New Roman"/>
                <w:color w:val="auto"/>
                <w:lang w:eastAsia="zh-CN"/>
              </w:rPr>
            </w:pPr>
            <w:r>
              <w:rPr>
                <w:rFonts w:ascii="Times New Roman" w:hAnsi="Times New Roman" w:cs="Times New Roman"/>
                <w:color w:val="auto"/>
                <w:lang w:eastAsia="zh-CN"/>
              </w:rPr>
              <w:t>《季度运维服务报告》</w:t>
            </w:r>
          </w:p>
        </w:tc>
        <w:tc>
          <w:tcPr>
            <w:tcW w:w="799" w:type="pct"/>
            <w:shd w:val="clear" w:color="000000" w:fill="auto"/>
            <w:noWrap/>
            <w:vAlign w:val="center"/>
          </w:tcPr>
          <w:p w14:paraId="619CF225">
            <w:pPr>
              <w:jc w:val="center"/>
              <w:rPr>
                <w:rFonts w:ascii="Times New Roman" w:hAnsi="Times New Roman" w:cs="Times New Roman"/>
                <w:color w:val="auto"/>
              </w:rPr>
            </w:pPr>
            <w:r>
              <w:rPr>
                <w:rFonts w:ascii="Times New Roman" w:hAnsi="Times New Roman" w:cs="Times New Roman"/>
                <w:color w:val="auto"/>
                <w:lang w:eastAsia="zh-CN"/>
              </w:rPr>
              <w:t>6</w:t>
            </w:r>
            <w:r>
              <w:rPr>
                <w:rFonts w:ascii="Times New Roman" w:hAnsi="Times New Roman" w:cs="Times New Roman"/>
                <w:color w:val="auto"/>
              </w:rPr>
              <w:t>份</w:t>
            </w:r>
          </w:p>
        </w:tc>
      </w:tr>
      <w:tr w14:paraId="3E40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045AC9D0">
            <w:pPr>
              <w:rPr>
                <w:rFonts w:ascii="Times New Roman" w:hAnsi="Times New Roman" w:cs="Times New Roman"/>
                <w:color w:val="auto"/>
              </w:rPr>
            </w:pPr>
          </w:p>
        </w:tc>
        <w:tc>
          <w:tcPr>
            <w:tcW w:w="1177" w:type="pct"/>
            <w:vMerge w:val="continue"/>
            <w:shd w:val="clear" w:color="000000" w:fill="auto"/>
            <w:vAlign w:val="center"/>
          </w:tcPr>
          <w:p w14:paraId="246A665D">
            <w:pPr>
              <w:rPr>
                <w:rFonts w:ascii="Times New Roman" w:hAnsi="Times New Roman" w:cs="Times New Roman"/>
                <w:color w:val="auto"/>
              </w:rPr>
            </w:pPr>
          </w:p>
        </w:tc>
        <w:tc>
          <w:tcPr>
            <w:tcW w:w="2646" w:type="pct"/>
            <w:shd w:val="clear" w:color="000000" w:fill="auto"/>
            <w:noWrap/>
            <w:vAlign w:val="center"/>
          </w:tcPr>
          <w:p w14:paraId="10B12B70">
            <w:pPr>
              <w:jc w:val="center"/>
              <w:rPr>
                <w:rFonts w:ascii="Times New Roman" w:hAnsi="Times New Roman" w:cs="Times New Roman"/>
                <w:color w:val="auto"/>
                <w:lang w:eastAsia="zh-CN"/>
              </w:rPr>
            </w:pPr>
            <w:r>
              <w:rPr>
                <w:rFonts w:ascii="Times New Roman" w:hAnsi="Times New Roman" w:cs="Times New Roman"/>
                <w:color w:val="auto"/>
                <w:lang w:eastAsia="zh-CN"/>
              </w:rPr>
              <w:t>《运维服务总结报告》</w:t>
            </w:r>
          </w:p>
        </w:tc>
        <w:tc>
          <w:tcPr>
            <w:tcW w:w="799" w:type="pct"/>
            <w:shd w:val="clear" w:color="000000" w:fill="auto"/>
            <w:noWrap/>
            <w:vAlign w:val="center"/>
          </w:tcPr>
          <w:p w14:paraId="1436A19D">
            <w:pPr>
              <w:jc w:val="center"/>
              <w:rPr>
                <w:rFonts w:ascii="Times New Roman" w:hAnsi="Times New Roman" w:cs="Times New Roman"/>
                <w:color w:val="auto"/>
              </w:rPr>
            </w:pPr>
            <w:r>
              <w:rPr>
                <w:rFonts w:ascii="Times New Roman" w:hAnsi="Times New Roman" w:cs="Times New Roman"/>
                <w:color w:val="auto"/>
              </w:rPr>
              <w:t>1份</w:t>
            </w:r>
          </w:p>
        </w:tc>
      </w:tr>
      <w:tr w14:paraId="2461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0C4FCA8D">
            <w:pPr>
              <w:rPr>
                <w:rFonts w:ascii="Times New Roman" w:hAnsi="Times New Roman" w:cs="Times New Roman"/>
                <w:color w:val="auto"/>
              </w:rPr>
            </w:pPr>
          </w:p>
        </w:tc>
        <w:tc>
          <w:tcPr>
            <w:tcW w:w="1177" w:type="pct"/>
            <w:vMerge w:val="continue"/>
            <w:shd w:val="clear" w:color="000000" w:fill="auto"/>
            <w:vAlign w:val="center"/>
          </w:tcPr>
          <w:p w14:paraId="5BED56AA">
            <w:pPr>
              <w:rPr>
                <w:rFonts w:ascii="Times New Roman" w:hAnsi="Times New Roman" w:cs="Times New Roman"/>
                <w:color w:val="auto"/>
              </w:rPr>
            </w:pPr>
          </w:p>
        </w:tc>
        <w:tc>
          <w:tcPr>
            <w:tcW w:w="2646" w:type="pct"/>
            <w:shd w:val="clear" w:color="000000" w:fill="auto"/>
            <w:noWrap/>
            <w:vAlign w:val="center"/>
          </w:tcPr>
          <w:p w14:paraId="1995F187">
            <w:pPr>
              <w:jc w:val="center"/>
              <w:rPr>
                <w:rFonts w:ascii="Times New Roman" w:hAnsi="Times New Roman" w:cs="Times New Roman"/>
                <w:color w:val="auto"/>
                <w:lang w:eastAsia="zh-CN"/>
              </w:rPr>
            </w:pPr>
            <w:r>
              <w:rPr>
                <w:rFonts w:ascii="Times New Roman" w:hAnsi="Times New Roman" w:cs="Times New Roman"/>
                <w:color w:val="auto"/>
                <w:lang w:eastAsia="zh-CN"/>
              </w:rPr>
              <w:t>《事故及问题记录表》</w:t>
            </w:r>
          </w:p>
        </w:tc>
        <w:tc>
          <w:tcPr>
            <w:tcW w:w="799" w:type="pct"/>
            <w:shd w:val="clear" w:color="000000" w:fill="auto"/>
            <w:noWrap/>
            <w:vAlign w:val="center"/>
          </w:tcPr>
          <w:p w14:paraId="65EC4464">
            <w:pPr>
              <w:jc w:val="center"/>
              <w:rPr>
                <w:rFonts w:ascii="Times New Roman" w:hAnsi="Times New Roman" w:cs="Times New Roman"/>
                <w:color w:val="auto"/>
              </w:rPr>
            </w:pPr>
            <w:r>
              <w:rPr>
                <w:rFonts w:ascii="Times New Roman" w:hAnsi="Times New Roman" w:cs="Times New Roman"/>
                <w:color w:val="auto"/>
              </w:rPr>
              <w:t>据实提供</w:t>
            </w:r>
          </w:p>
        </w:tc>
      </w:tr>
      <w:tr w14:paraId="550B2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5D4854C4">
            <w:pPr>
              <w:rPr>
                <w:rFonts w:ascii="Times New Roman" w:hAnsi="Times New Roman" w:cs="Times New Roman"/>
                <w:color w:val="auto"/>
              </w:rPr>
            </w:pPr>
          </w:p>
        </w:tc>
        <w:tc>
          <w:tcPr>
            <w:tcW w:w="1177" w:type="pct"/>
            <w:vMerge w:val="continue"/>
            <w:shd w:val="clear" w:color="000000" w:fill="auto"/>
            <w:vAlign w:val="center"/>
          </w:tcPr>
          <w:p w14:paraId="5DC8D26C">
            <w:pPr>
              <w:rPr>
                <w:rFonts w:ascii="Times New Roman" w:hAnsi="Times New Roman" w:cs="Times New Roman"/>
                <w:color w:val="auto"/>
              </w:rPr>
            </w:pPr>
          </w:p>
        </w:tc>
        <w:tc>
          <w:tcPr>
            <w:tcW w:w="2646" w:type="pct"/>
            <w:shd w:val="clear" w:color="000000" w:fill="auto"/>
            <w:noWrap/>
            <w:vAlign w:val="center"/>
          </w:tcPr>
          <w:p w14:paraId="277BA583">
            <w:pPr>
              <w:jc w:val="center"/>
              <w:rPr>
                <w:rFonts w:ascii="Times New Roman" w:hAnsi="Times New Roman" w:cs="Times New Roman"/>
                <w:color w:val="auto"/>
              </w:rPr>
            </w:pPr>
            <w:r>
              <w:rPr>
                <w:rFonts w:ascii="Times New Roman" w:hAnsi="Times New Roman" w:cs="Times New Roman"/>
                <w:color w:val="auto"/>
              </w:rPr>
              <w:t>《巡检记录》</w:t>
            </w:r>
          </w:p>
        </w:tc>
        <w:tc>
          <w:tcPr>
            <w:tcW w:w="799" w:type="pct"/>
            <w:shd w:val="clear" w:color="000000" w:fill="auto"/>
            <w:noWrap/>
            <w:vAlign w:val="center"/>
          </w:tcPr>
          <w:p w14:paraId="3C39F3F7">
            <w:pPr>
              <w:jc w:val="center"/>
              <w:rPr>
                <w:rFonts w:ascii="Times New Roman" w:hAnsi="Times New Roman" w:cs="Times New Roman"/>
                <w:color w:val="auto"/>
              </w:rPr>
            </w:pPr>
            <w:r>
              <w:rPr>
                <w:rFonts w:ascii="Times New Roman" w:hAnsi="Times New Roman" w:cs="Times New Roman"/>
                <w:color w:val="auto"/>
              </w:rPr>
              <w:t>据实提供</w:t>
            </w:r>
          </w:p>
        </w:tc>
      </w:tr>
      <w:tr w14:paraId="12AF4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5A862CE0">
            <w:pPr>
              <w:rPr>
                <w:rFonts w:ascii="Times New Roman" w:hAnsi="Times New Roman" w:cs="Times New Roman"/>
                <w:color w:val="auto"/>
              </w:rPr>
            </w:pPr>
          </w:p>
        </w:tc>
        <w:tc>
          <w:tcPr>
            <w:tcW w:w="1177" w:type="pct"/>
            <w:vMerge w:val="continue"/>
            <w:shd w:val="clear" w:color="000000" w:fill="auto"/>
            <w:vAlign w:val="center"/>
          </w:tcPr>
          <w:p w14:paraId="55522D14">
            <w:pPr>
              <w:rPr>
                <w:rFonts w:ascii="Times New Roman" w:hAnsi="Times New Roman" w:cs="Times New Roman"/>
                <w:color w:val="auto"/>
              </w:rPr>
            </w:pPr>
          </w:p>
        </w:tc>
        <w:tc>
          <w:tcPr>
            <w:tcW w:w="2646" w:type="pct"/>
            <w:shd w:val="clear" w:color="000000" w:fill="auto"/>
            <w:noWrap/>
            <w:vAlign w:val="center"/>
          </w:tcPr>
          <w:p w14:paraId="0518E52A">
            <w:pPr>
              <w:jc w:val="center"/>
              <w:rPr>
                <w:rFonts w:ascii="Times New Roman" w:hAnsi="Times New Roman" w:cs="Times New Roman"/>
                <w:color w:val="auto"/>
              </w:rPr>
            </w:pPr>
            <w:r>
              <w:rPr>
                <w:rFonts w:ascii="Times New Roman" w:hAnsi="Times New Roman" w:cs="Times New Roman"/>
                <w:color w:val="auto"/>
              </w:rPr>
              <w:t>《值班记录》</w:t>
            </w:r>
          </w:p>
        </w:tc>
        <w:tc>
          <w:tcPr>
            <w:tcW w:w="799" w:type="pct"/>
            <w:shd w:val="clear" w:color="000000" w:fill="auto"/>
            <w:noWrap/>
            <w:vAlign w:val="center"/>
          </w:tcPr>
          <w:p w14:paraId="4F106791">
            <w:pPr>
              <w:jc w:val="center"/>
              <w:rPr>
                <w:rFonts w:ascii="Times New Roman" w:hAnsi="Times New Roman" w:cs="Times New Roman"/>
                <w:color w:val="auto"/>
              </w:rPr>
            </w:pPr>
            <w:r>
              <w:rPr>
                <w:rFonts w:ascii="Times New Roman" w:hAnsi="Times New Roman" w:cs="Times New Roman"/>
                <w:color w:val="auto"/>
              </w:rPr>
              <w:t>据实提供</w:t>
            </w:r>
          </w:p>
        </w:tc>
      </w:tr>
      <w:tr w14:paraId="70E5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restart"/>
            <w:shd w:val="clear" w:color="000000" w:fill="auto"/>
            <w:vAlign w:val="center"/>
          </w:tcPr>
          <w:p w14:paraId="7F78DDBC">
            <w:pPr>
              <w:jc w:val="center"/>
              <w:rPr>
                <w:rFonts w:ascii="Times New Roman" w:hAnsi="Times New Roman" w:cs="Times New Roman"/>
                <w:color w:val="auto"/>
              </w:rPr>
            </w:pPr>
            <w:r>
              <w:rPr>
                <w:rFonts w:ascii="Times New Roman" w:hAnsi="Times New Roman" w:cs="Times New Roman"/>
                <w:color w:val="auto"/>
              </w:rPr>
              <w:t>2</w:t>
            </w:r>
          </w:p>
        </w:tc>
        <w:tc>
          <w:tcPr>
            <w:tcW w:w="1177" w:type="pct"/>
            <w:vMerge w:val="restart"/>
            <w:shd w:val="clear" w:color="000000" w:fill="auto"/>
            <w:vAlign w:val="center"/>
          </w:tcPr>
          <w:p w14:paraId="3D329560">
            <w:pPr>
              <w:jc w:val="center"/>
              <w:rPr>
                <w:rFonts w:ascii="Times New Roman" w:hAnsi="Times New Roman" w:cs="Times New Roman"/>
                <w:color w:val="auto"/>
                <w:lang w:eastAsia="zh-CN"/>
              </w:rPr>
            </w:pPr>
            <w:r>
              <w:rPr>
                <w:rFonts w:ascii="Times New Roman" w:hAnsi="Times New Roman" w:cs="Times New Roman"/>
                <w:color w:val="auto"/>
                <w:lang w:eastAsia="zh-CN"/>
              </w:rPr>
              <w:t>省政务云西咸节点1（电信）运维</w:t>
            </w:r>
          </w:p>
        </w:tc>
        <w:tc>
          <w:tcPr>
            <w:tcW w:w="2646" w:type="pct"/>
            <w:shd w:val="clear" w:color="000000" w:fill="auto"/>
            <w:noWrap/>
            <w:vAlign w:val="center"/>
          </w:tcPr>
          <w:p w14:paraId="6A5B5CE1">
            <w:pPr>
              <w:jc w:val="center"/>
              <w:rPr>
                <w:rFonts w:ascii="Times New Roman" w:hAnsi="Times New Roman" w:cs="Times New Roman"/>
                <w:color w:val="auto"/>
                <w:lang w:eastAsia="zh-CN"/>
              </w:rPr>
            </w:pPr>
            <w:r>
              <w:rPr>
                <w:rFonts w:ascii="Times New Roman" w:hAnsi="Times New Roman" w:cs="Times New Roman"/>
                <w:color w:val="auto"/>
                <w:lang w:eastAsia="zh-CN"/>
              </w:rPr>
              <w:t>《省政务云西咸节点1（电信）运维实施方案》</w:t>
            </w:r>
          </w:p>
        </w:tc>
        <w:tc>
          <w:tcPr>
            <w:tcW w:w="799" w:type="pct"/>
            <w:shd w:val="clear" w:color="000000" w:fill="auto"/>
            <w:noWrap/>
            <w:vAlign w:val="center"/>
          </w:tcPr>
          <w:p w14:paraId="7F5B53F4">
            <w:pPr>
              <w:jc w:val="center"/>
              <w:rPr>
                <w:rFonts w:ascii="Times New Roman" w:hAnsi="Times New Roman" w:cs="Times New Roman"/>
                <w:color w:val="auto"/>
              </w:rPr>
            </w:pPr>
            <w:r>
              <w:rPr>
                <w:rFonts w:ascii="Times New Roman" w:hAnsi="Times New Roman" w:cs="Times New Roman"/>
                <w:color w:val="auto"/>
              </w:rPr>
              <w:t>1份</w:t>
            </w:r>
          </w:p>
        </w:tc>
      </w:tr>
      <w:tr w14:paraId="42230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5A9673D2">
            <w:pPr>
              <w:rPr>
                <w:rFonts w:ascii="Times New Roman" w:hAnsi="Times New Roman" w:cs="Times New Roman"/>
                <w:color w:val="auto"/>
              </w:rPr>
            </w:pPr>
          </w:p>
        </w:tc>
        <w:tc>
          <w:tcPr>
            <w:tcW w:w="1177" w:type="pct"/>
            <w:vMerge w:val="continue"/>
            <w:shd w:val="clear" w:color="000000" w:fill="auto"/>
            <w:vAlign w:val="center"/>
          </w:tcPr>
          <w:p w14:paraId="357BA7B0">
            <w:pPr>
              <w:rPr>
                <w:rFonts w:ascii="Times New Roman" w:hAnsi="Times New Roman" w:cs="Times New Roman"/>
                <w:color w:val="auto"/>
              </w:rPr>
            </w:pPr>
          </w:p>
        </w:tc>
        <w:tc>
          <w:tcPr>
            <w:tcW w:w="2646" w:type="pct"/>
            <w:shd w:val="clear" w:color="000000" w:fill="auto"/>
            <w:noWrap/>
            <w:vAlign w:val="center"/>
          </w:tcPr>
          <w:p w14:paraId="5548C7CB">
            <w:pPr>
              <w:jc w:val="center"/>
              <w:rPr>
                <w:rFonts w:ascii="Times New Roman" w:hAnsi="Times New Roman" w:eastAsia="宋体" w:cs="Times New Roman"/>
                <w:color w:val="auto"/>
              </w:rPr>
            </w:pPr>
            <w:r>
              <w:rPr>
                <w:rFonts w:ascii="Times New Roman" w:hAnsi="Times New Roman" w:cs="Times New Roman"/>
                <w:color w:val="auto"/>
              </w:rPr>
              <w:t>《</w:t>
            </w:r>
            <w:r>
              <w:rPr>
                <w:rFonts w:ascii="Times New Roman" w:hAnsi="Times New Roman" w:cs="Times New Roman"/>
                <w:color w:val="auto"/>
                <w:lang w:eastAsia="zh-CN"/>
              </w:rPr>
              <w:t>周</w:t>
            </w:r>
            <w:r>
              <w:rPr>
                <w:rFonts w:ascii="Times New Roman" w:hAnsi="Times New Roman" w:cs="Times New Roman"/>
                <w:color w:val="auto"/>
              </w:rPr>
              <w:t>运维服务报告》</w:t>
            </w:r>
          </w:p>
        </w:tc>
        <w:tc>
          <w:tcPr>
            <w:tcW w:w="799" w:type="pct"/>
            <w:shd w:val="clear" w:color="000000" w:fill="auto"/>
            <w:noWrap/>
            <w:vAlign w:val="center"/>
          </w:tcPr>
          <w:p w14:paraId="73CDA9B4">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76</w:t>
            </w:r>
            <w:r>
              <w:rPr>
                <w:rFonts w:ascii="Times New Roman" w:hAnsi="Times New Roman" w:cs="Times New Roman"/>
                <w:color w:val="auto"/>
              </w:rPr>
              <w:t>份</w:t>
            </w:r>
          </w:p>
        </w:tc>
      </w:tr>
      <w:tr w14:paraId="44C4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223608C5">
            <w:pPr>
              <w:rPr>
                <w:rFonts w:ascii="Times New Roman" w:hAnsi="Times New Roman" w:cs="Times New Roman"/>
                <w:color w:val="auto"/>
              </w:rPr>
            </w:pPr>
          </w:p>
        </w:tc>
        <w:tc>
          <w:tcPr>
            <w:tcW w:w="1177" w:type="pct"/>
            <w:vMerge w:val="continue"/>
            <w:shd w:val="clear" w:color="000000" w:fill="auto"/>
            <w:vAlign w:val="center"/>
          </w:tcPr>
          <w:p w14:paraId="3028155E">
            <w:pPr>
              <w:rPr>
                <w:rFonts w:ascii="Times New Roman" w:hAnsi="Times New Roman" w:cs="Times New Roman"/>
                <w:color w:val="auto"/>
              </w:rPr>
            </w:pPr>
          </w:p>
        </w:tc>
        <w:tc>
          <w:tcPr>
            <w:tcW w:w="2646" w:type="pct"/>
            <w:shd w:val="clear" w:color="000000" w:fill="auto"/>
            <w:noWrap/>
            <w:vAlign w:val="center"/>
          </w:tcPr>
          <w:p w14:paraId="1902FEA7">
            <w:pPr>
              <w:jc w:val="center"/>
              <w:rPr>
                <w:rFonts w:ascii="Times New Roman" w:hAnsi="Times New Roman" w:cs="Times New Roman"/>
                <w:color w:val="auto"/>
                <w:lang w:eastAsia="zh-CN"/>
              </w:rPr>
            </w:pPr>
            <w:r>
              <w:rPr>
                <w:rFonts w:ascii="Times New Roman" w:hAnsi="Times New Roman" w:cs="Times New Roman"/>
                <w:color w:val="auto"/>
                <w:lang w:eastAsia="zh-CN"/>
              </w:rPr>
              <w:t>《月度运维服务报告》</w:t>
            </w:r>
          </w:p>
        </w:tc>
        <w:tc>
          <w:tcPr>
            <w:tcW w:w="799" w:type="pct"/>
            <w:shd w:val="clear" w:color="000000" w:fill="auto"/>
            <w:noWrap/>
            <w:vAlign w:val="center"/>
          </w:tcPr>
          <w:p w14:paraId="57365AFA">
            <w:pPr>
              <w:jc w:val="center"/>
              <w:rPr>
                <w:rFonts w:ascii="Times New Roman" w:hAnsi="Times New Roman" w:cs="Times New Roman"/>
                <w:color w:val="auto"/>
              </w:rPr>
            </w:pPr>
            <w:r>
              <w:rPr>
                <w:rFonts w:ascii="Times New Roman" w:hAnsi="Times New Roman" w:cs="Times New Roman"/>
                <w:color w:val="auto"/>
                <w:lang w:eastAsia="zh-CN"/>
              </w:rPr>
              <w:t>19</w:t>
            </w:r>
            <w:r>
              <w:rPr>
                <w:rFonts w:ascii="Times New Roman" w:hAnsi="Times New Roman" w:cs="Times New Roman"/>
                <w:color w:val="auto"/>
              </w:rPr>
              <w:t>份</w:t>
            </w:r>
          </w:p>
        </w:tc>
      </w:tr>
      <w:tr w14:paraId="3A8C0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51BC218">
            <w:pPr>
              <w:rPr>
                <w:rFonts w:ascii="Times New Roman" w:hAnsi="Times New Roman" w:cs="Times New Roman"/>
                <w:color w:val="auto"/>
              </w:rPr>
            </w:pPr>
          </w:p>
        </w:tc>
        <w:tc>
          <w:tcPr>
            <w:tcW w:w="1177" w:type="pct"/>
            <w:vMerge w:val="continue"/>
            <w:shd w:val="clear" w:color="000000" w:fill="auto"/>
            <w:vAlign w:val="center"/>
          </w:tcPr>
          <w:p w14:paraId="56175635">
            <w:pPr>
              <w:rPr>
                <w:rFonts w:ascii="Times New Roman" w:hAnsi="Times New Roman" w:cs="Times New Roman"/>
                <w:color w:val="auto"/>
              </w:rPr>
            </w:pPr>
          </w:p>
        </w:tc>
        <w:tc>
          <w:tcPr>
            <w:tcW w:w="2646" w:type="pct"/>
            <w:shd w:val="clear" w:color="000000" w:fill="auto"/>
            <w:noWrap/>
            <w:vAlign w:val="center"/>
          </w:tcPr>
          <w:p w14:paraId="51469D73">
            <w:pPr>
              <w:jc w:val="center"/>
              <w:rPr>
                <w:rFonts w:ascii="Times New Roman" w:hAnsi="Times New Roman" w:cs="Times New Roman"/>
                <w:color w:val="auto"/>
                <w:lang w:eastAsia="zh-CN"/>
              </w:rPr>
            </w:pPr>
            <w:r>
              <w:rPr>
                <w:rFonts w:ascii="Times New Roman" w:hAnsi="Times New Roman" w:cs="Times New Roman"/>
                <w:color w:val="auto"/>
                <w:lang w:eastAsia="zh-CN"/>
              </w:rPr>
              <w:t>《季度运维服务报告》</w:t>
            </w:r>
          </w:p>
        </w:tc>
        <w:tc>
          <w:tcPr>
            <w:tcW w:w="799" w:type="pct"/>
            <w:shd w:val="clear" w:color="000000" w:fill="auto"/>
            <w:noWrap/>
            <w:vAlign w:val="center"/>
          </w:tcPr>
          <w:p w14:paraId="3B138508">
            <w:pPr>
              <w:jc w:val="center"/>
              <w:rPr>
                <w:rFonts w:ascii="Times New Roman" w:hAnsi="Times New Roman" w:cs="Times New Roman"/>
                <w:color w:val="auto"/>
              </w:rPr>
            </w:pPr>
            <w:r>
              <w:rPr>
                <w:rFonts w:ascii="Times New Roman" w:hAnsi="Times New Roman" w:cs="Times New Roman"/>
                <w:color w:val="auto"/>
                <w:lang w:eastAsia="zh-CN"/>
              </w:rPr>
              <w:t>6</w:t>
            </w:r>
            <w:r>
              <w:rPr>
                <w:rFonts w:ascii="Times New Roman" w:hAnsi="Times New Roman" w:cs="Times New Roman"/>
                <w:color w:val="auto"/>
              </w:rPr>
              <w:t>份</w:t>
            </w:r>
          </w:p>
        </w:tc>
      </w:tr>
      <w:tr w14:paraId="523E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A486889">
            <w:pPr>
              <w:rPr>
                <w:rFonts w:ascii="Times New Roman" w:hAnsi="Times New Roman" w:cs="Times New Roman"/>
                <w:color w:val="auto"/>
              </w:rPr>
            </w:pPr>
          </w:p>
        </w:tc>
        <w:tc>
          <w:tcPr>
            <w:tcW w:w="1177" w:type="pct"/>
            <w:vMerge w:val="continue"/>
            <w:shd w:val="clear" w:color="000000" w:fill="auto"/>
            <w:vAlign w:val="center"/>
          </w:tcPr>
          <w:p w14:paraId="55807360">
            <w:pPr>
              <w:rPr>
                <w:rFonts w:ascii="Times New Roman" w:hAnsi="Times New Roman" w:cs="Times New Roman"/>
                <w:color w:val="auto"/>
              </w:rPr>
            </w:pPr>
          </w:p>
        </w:tc>
        <w:tc>
          <w:tcPr>
            <w:tcW w:w="2646" w:type="pct"/>
            <w:shd w:val="clear" w:color="000000" w:fill="auto"/>
            <w:noWrap/>
            <w:vAlign w:val="center"/>
          </w:tcPr>
          <w:p w14:paraId="424AEA16">
            <w:pPr>
              <w:jc w:val="center"/>
              <w:rPr>
                <w:rFonts w:ascii="Times New Roman" w:hAnsi="Times New Roman" w:cs="Times New Roman"/>
                <w:color w:val="auto"/>
                <w:lang w:eastAsia="zh-CN"/>
              </w:rPr>
            </w:pPr>
            <w:r>
              <w:rPr>
                <w:rFonts w:ascii="Times New Roman" w:hAnsi="Times New Roman" w:cs="Times New Roman"/>
                <w:color w:val="auto"/>
                <w:lang w:eastAsia="zh-CN"/>
              </w:rPr>
              <w:t>《运维服务总结报告》</w:t>
            </w:r>
          </w:p>
        </w:tc>
        <w:tc>
          <w:tcPr>
            <w:tcW w:w="799" w:type="pct"/>
            <w:shd w:val="clear" w:color="000000" w:fill="auto"/>
            <w:noWrap/>
            <w:vAlign w:val="center"/>
          </w:tcPr>
          <w:p w14:paraId="257D9DB9">
            <w:pPr>
              <w:jc w:val="center"/>
              <w:rPr>
                <w:rFonts w:ascii="Times New Roman" w:hAnsi="Times New Roman" w:cs="Times New Roman"/>
                <w:color w:val="auto"/>
              </w:rPr>
            </w:pPr>
            <w:r>
              <w:rPr>
                <w:rFonts w:ascii="Times New Roman" w:hAnsi="Times New Roman" w:cs="Times New Roman"/>
                <w:color w:val="auto"/>
              </w:rPr>
              <w:t>1份</w:t>
            </w:r>
          </w:p>
        </w:tc>
      </w:tr>
      <w:tr w14:paraId="1328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224985C7">
            <w:pPr>
              <w:rPr>
                <w:rFonts w:ascii="Times New Roman" w:hAnsi="Times New Roman" w:cs="Times New Roman"/>
                <w:color w:val="auto"/>
              </w:rPr>
            </w:pPr>
          </w:p>
        </w:tc>
        <w:tc>
          <w:tcPr>
            <w:tcW w:w="1177" w:type="pct"/>
            <w:vMerge w:val="continue"/>
            <w:shd w:val="clear" w:color="000000" w:fill="auto"/>
            <w:vAlign w:val="center"/>
          </w:tcPr>
          <w:p w14:paraId="4204A8E8">
            <w:pPr>
              <w:rPr>
                <w:rFonts w:ascii="Times New Roman" w:hAnsi="Times New Roman" w:cs="Times New Roman"/>
                <w:color w:val="auto"/>
              </w:rPr>
            </w:pPr>
          </w:p>
        </w:tc>
        <w:tc>
          <w:tcPr>
            <w:tcW w:w="2646" w:type="pct"/>
            <w:shd w:val="clear" w:color="000000" w:fill="auto"/>
            <w:noWrap/>
            <w:vAlign w:val="center"/>
          </w:tcPr>
          <w:p w14:paraId="0FEFD537">
            <w:pPr>
              <w:jc w:val="center"/>
              <w:rPr>
                <w:rFonts w:ascii="Times New Roman" w:hAnsi="Times New Roman" w:cs="Times New Roman"/>
                <w:color w:val="auto"/>
                <w:lang w:eastAsia="zh-CN"/>
              </w:rPr>
            </w:pPr>
            <w:r>
              <w:rPr>
                <w:rFonts w:ascii="Times New Roman" w:hAnsi="Times New Roman" w:cs="Times New Roman"/>
                <w:color w:val="auto"/>
                <w:lang w:eastAsia="zh-CN"/>
              </w:rPr>
              <w:t>《事故及问题记录表》</w:t>
            </w:r>
          </w:p>
        </w:tc>
        <w:tc>
          <w:tcPr>
            <w:tcW w:w="799" w:type="pct"/>
            <w:shd w:val="clear" w:color="000000" w:fill="auto"/>
            <w:noWrap/>
            <w:vAlign w:val="center"/>
          </w:tcPr>
          <w:p w14:paraId="6F477052">
            <w:pPr>
              <w:jc w:val="center"/>
              <w:rPr>
                <w:rFonts w:ascii="Times New Roman" w:hAnsi="Times New Roman" w:cs="Times New Roman"/>
                <w:color w:val="auto"/>
              </w:rPr>
            </w:pPr>
            <w:r>
              <w:rPr>
                <w:rFonts w:ascii="Times New Roman" w:hAnsi="Times New Roman" w:cs="Times New Roman"/>
                <w:color w:val="auto"/>
              </w:rPr>
              <w:t>据实提供</w:t>
            </w:r>
          </w:p>
        </w:tc>
      </w:tr>
      <w:tr w14:paraId="1DED4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41C983B4">
            <w:pPr>
              <w:rPr>
                <w:rFonts w:ascii="Times New Roman" w:hAnsi="Times New Roman" w:cs="Times New Roman"/>
                <w:color w:val="auto"/>
              </w:rPr>
            </w:pPr>
          </w:p>
        </w:tc>
        <w:tc>
          <w:tcPr>
            <w:tcW w:w="1177" w:type="pct"/>
            <w:vMerge w:val="continue"/>
            <w:shd w:val="clear" w:color="000000" w:fill="auto"/>
            <w:vAlign w:val="center"/>
          </w:tcPr>
          <w:p w14:paraId="6FB1A1CC">
            <w:pPr>
              <w:rPr>
                <w:rFonts w:ascii="Times New Roman" w:hAnsi="Times New Roman" w:cs="Times New Roman"/>
                <w:color w:val="auto"/>
              </w:rPr>
            </w:pPr>
          </w:p>
        </w:tc>
        <w:tc>
          <w:tcPr>
            <w:tcW w:w="2646" w:type="pct"/>
            <w:shd w:val="clear" w:color="000000" w:fill="auto"/>
            <w:noWrap/>
            <w:vAlign w:val="center"/>
          </w:tcPr>
          <w:p w14:paraId="18A5F7A7">
            <w:pPr>
              <w:jc w:val="center"/>
              <w:rPr>
                <w:rFonts w:ascii="Times New Roman" w:hAnsi="Times New Roman" w:cs="Times New Roman"/>
                <w:color w:val="auto"/>
              </w:rPr>
            </w:pPr>
            <w:r>
              <w:rPr>
                <w:rFonts w:ascii="Times New Roman" w:hAnsi="Times New Roman" w:cs="Times New Roman"/>
                <w:color w:val="auto"/>
              </w:rPr>
              <w:t>《巡检记录》</w:t>
            </w:r>
          </w:p>
        </w:tc>
        <w:tc>
          <w:tcPr>
            <w:tcW w:w="799" w:type="pct"/>
            <w:shd w:val="clear" w:color="000000" w:fill="auto"/>
            <w:noWrap/>
            <w:vAlign w:val="center"/>
          </w:tcPr>
          <w:p w14:paraId="30F9015A">
            <w:pPr>
              <w:jc w:val="center"/>
              <w:rPr>
                <w:rFonts w:ascii="Times New Roman" w:hAnsi="Times New Roman" w:cs="Times New Roman"/>
                <w:color w:val="auto"/>
              </w:rPr>
            </w:pPr>
            <w:r>
              <w:rPr>
                <w:rFonts w:ascii="Times New Roman" w:hAnsi="Times New Roman" w:cs="Times New Roman"/>
                <w:color w:val="auto"/>
              </w:rPr>
              <w:t>据实提供</w:t>
            </w:r>
          </w:p>
        </w:tc>
      </w:tr>
      <w:tr w14:paraId="16D0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4CA051CF">
            <w:pPr>
              <w:rPr>
                <w:rFonts w:ascii="Times New Roman" w:hAnsi="Times New Roman" w:cs="Times New Roman"/>
                <w:color w:val="auto"/>
              </w:rPr>
            </w:pPr>
          </w:p>
        </w:tc>
        <w:tc>
          <w:tcPr>
            <w:tcW w:w="1177" w:type="pct"/>
            <w:vMerge w:val="continue"/>
            <w:shd w:val="clear" w:color="000000" w:fill="auto"/>
            <w:vAlign w:val="center"/>
          </w:tcPr>
          <w:p w14:paraId="0526CBE2">
            <w:pPr>
              <w:rPr>
                <w:rFonts w:ascii="Times New Roman" w:hAnsi="Times New Roman" w:cs="Times New Roman"/>
                <w:color w:val="auto"/>
              </w:rPr>
            </w:pPr>
          </w:p>
        </w:tc>
        <w:tc>
          <w:tcPr>
            <w:tcW w:w="2646" w:type="pct"/>
            <w:shd w:val="clear" w:color="000000" w:fill="auto"/>
            <w:noWrap/>
            <w:vAlign w:val="center"/>
          </w:tcPr>
          <w:p w14:paraId="4C7DB596">
            <w:pPr>
              <w:jc w:val="center"/>
              <w:rPr>
                <w:rFonts w:ascii="Times New Roman" w:hAnsi="Times New Roman" w:cs="Times New Roman"/>
                <w:color w:val="auto"/>
              </w:rPr>
            </w:pPr>
            <w:r>
              <w:rPr>
                <w:rFonts w:ascii="Times New Roman" w:hAnsi="Times New Roman" w:cs="Times New Roman"/>
                <w:color w:val="auto"/>
              </w:rPr>
              <w:t>《云平台检查记录》</w:t>
            </w:r>
          </w:p>
        </w:tc>
        <w:tc>
          <w:tcPr>
            <w:tcW w:w="799" w:type="pct"/>
            <w:shd w:val="clear" w:color="000000" w:fill="auto"/>
            <w:noWrap/>
            <w:vAlign w:val="center"/>
          </w:tcPr>
          <w:p w14:paraId="13DD504F">
            <w:pPr>
              <w:jc w:val="center"/>
              <w:rPr>
                <w:rFonts w:ascii="Times New Roman" w:hAnsi="Times New Roman" w:cs="Times New Roman"/>
                <w:color w:val="auto"/>
              </w:rPr>
            </w:pPr>
            <w:r>
              <w:rPr>
                <w:rFonts w:ascii="Times New Roman" w:hAnsi="Times New Roman" w:cs="Times New Roman"/>
                <w:color w:val="auto"/>
              </w:rPr>
              <w:t>据实提供</w:t>
            </w:r>
          </w:p>
        </w:tc>
      </w:tr>
      <w:tr w14:paraId="08866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0FB77DE4">
            <w:pPr>
              <w:rPr>
                <w:rFonts w:ascii="Times New Roman" w:hAnsi="Times New Roman" w:cs="Times New Roman"/>
                <w:color w:val="auto"/>
              </w:rPr>
            </w:pPr>
          </w:p>
        </w:tc>
        <w:tc>
          <w:tcPr>
            <w:tcW w:w="1177" w:type="pct"/>
            <w:vMerge w:val="continue"/>
            <w:shd w:val="clear" w:color="000000" w:fill="auto"/>
            <w:vAlign w:val="center"/>
          </w:tcPr>
          <w:p w14:paraId="70EE9022">
            <w:pPr>
              <w:rPr>
                <w:rFonts w:ascii="Times New Roman" w:hAnsi="Times New Roman" w:cs="Times New Roman"/>
                <w:color w:val="auto"/>
              </w:rPr>
            </w:pPr>
          </w:p>
        </w:tc>
        <w:tc>
          <w:tcPr>
            <w:tcW w:w="2646" w:type="pct"/>
            <w:shd w:val="clear" w:color="000000" w:fill="auto"/>
            <w:noWrap/>
            <w:vAlign w:val="center"/>
          </w:tcPr>
          <w:p w14:paraId="1FFDC87C">
            <w:pPr>
              <w:jc w:val="center"/>
              <w:rPr>
                <w:rFonts w:ascii="Times New Roman" w:hAnsi="Times New Roman" w:cs="Times New Roman"/>
                <w:color w:val="auto"/>
              </w:rPr>
            </w:pPr>
            <w:r>
              <w:rPr>
                <w:rFonts w:ascii="Times New Roman" w:hAnsi="Times New Roman" w:cs="Times New Roman"/>
                <w:color w:val="auto"/>
              </w:rPr>
              <w:t>《值班记录》</w:t>
            </w:r>
          </w:p>
        </w:tc>
        <w:tc>
          <w:tcPr>
            <w:tcW w:w="799" w:type="pct"/>
            <w:shd w:val="clear" w:color="000000" w:fill="auto"/>
            <w:noWrap/>
            <w:vAlign w:val="center"/>
          </w:tcPr>
          <w:p w14:paraId="4EDD573D">
            <w:pPr>
              <w:jc w:val="center"/>
              <w:rPr>
                <w:rFonts w:ascii="Times New Roman" w:hAnsi="Times New Roman" w:cs="Times New Roman"/>
                <w:color w:val="auto"/>
              </w:rPr>
            </w:pPr>
            <w:r>
              <w:rPr>
                <w:rFonts w:ascii="Times New Roman" w:hAnsi="Times New Roman" w:cs="Times New Roman"/>
                <w:color w:val="auto"/>
              </w:rPr>
              <w:t>据实提供</w:t>
            </w:r>
          </w:p>
        </w:tc>
      </w:tr>
      <w:tr w14:paraId="1EF8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restart"/>
            <w:shd w:val="clear" w:color="000000" w:fill="auto"/>
            <w:vAlign w:val="center"/>
          </w:tcPr>
          <w:p w14:paraId="6AA4A5B2">
            <w:pPr>
              <w:jc w:val="center"/>
              <w:rPr>
                <w:rFonts w:ascii="Times New Roman" w:hAnsi="Times New Roman" w:cs="Times New Roman"/>
                <w:color w:val="auto"/>
              </w:rPr>
            </w:pPr>
            <w:r>
              <w:rPr>
                <w:rFonts w:ascii="Times New Roman" w:hAnsi="Times New Roman" w:cs="Times New Roman"/>
                <w:color w:val="auto"/>
              </w:rPr>
              <w:t>3</w:t>
            </w:r>
          </w:p>
        </w:tc>
        <w:tc>
          <w:tcPr>
            <w:tcW w:w="1177" w:type="pct"/>
            <w:vMerge w:val="restart"/>
            <w:shd w:val="clear" w:color="000000" w:fill="auto"/>
            <w:vAlign w:val="center"/>
          </w:tcPr>
          <w:p w14:paraId="4D05414C">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省政府园区网络运维服务</w:t>
            </w:r>
          </w:p>
        </w:tc>
        <w:tc>
          <w:tcPr>
            <w:tcW w:w="2646" w:type="pct"/>
            <w:shd w:val="clear" w:color="000000" w:fill="auto"/>
            <w:noWrap/>
            <w:vAlign w:val="center"/>
          </w:tcPr>
          <w:p w14:paraId="705CB273">
            <w:pPr>
              <w:jc w:val="center"/>
              <w:rPr>
                <w:rFonts w:ascii="Times New Roman" w:hAnsi="Times New Roman" w:eastAsia="宋体" w:cs="Times New Roman"/>
                <w:color w:val="auto"/>
              </w:rPr>
            </w:pPr>
            <w:r>
              <w:rPr>
                <w:rFonts w:ascii="Times New Roman" w:hAnsi="Times New Roman" w:cs="Times New Roman"/>
                <w:color w:val="auto"/>
              </w:rPr>
              <w:t>《</w:t>
            </w:r>
            <w:r>
              <w:rPr>
                <w:rFonts w:ascii="Times New Roman" w:hAnsi="Times New Roman" w:cs="Times New Roman"/>
                <w:color w:val="auto"/>
                <w:lang w:eastAsia="zh-CN"/>
              </w:rPr>
              <w:t>周</w:t>
            </w:r>
            <w:r>
              <w:rPr>
                <w:rFonts w:ascii="Times New Roman" w:hAnsi="Times New Roman" w:cs="Times New Roman"/>
                <w:color w:val="auto"/>
              </w:rPr>
              <w:t>运维服务报告》</w:t>
            </w:r>
          </w:p>
        </w:tc>
        <w:tc>
          <w:tcPr>
            <w:tcW w:w="799" w:type="pct"/>
            <w:shd w:val="clear" w:color="000000" w:fill="auto"/>
            <w:noWrap/>
            <w:vAlign w:val="center"/>
          </w:tcPr>
          <w:p w14:paraId="75FED56F">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76</w:t>
            </w:r>
            <w:r>
              <w:rPr>
                <w:rFonts w:ascii="Times New Roman" w:hAnsi="Times New Roman" w:cs="Times New Roman"/>
                <w:color w:val="auto"/>
              </w:rPr>
              <w:t>份</w:t>
            </w:r>
          </w:p>
        </w:tc>
      </w:tr>
      <w:tr w14:paraId="7CDB7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58206FC">
            <w:pPr>
              <w:rPr>
                <w:rFonts w:ascii="Times New Roman" w:hAnsi="Times New Roman" w:cs="Times New Roman"/>
                <w:color w:val="auto"/>
              </w:rPr>
            </w:pPr>
          </w:p>
        </w:tc>
        <w:tc>
          <w:tcPr>
            <w:tcW w:w="1177" w:type="pct"/>
            <w:vMerge w:val="continue"/>
            <w:shd w:val="clear" w:color="000000" w:fill="auto"/>
            <w:vAlign w:val="center"/>
          </w:tcPr>
          <w:p w14:paraId="3A827667">
            <w:pPr>
              <w:rPr>
                <w:rFonts w:ascii="Times New Roman" w:hAnsi="Times New Roman" w:cs="Times New Roman"/>
                <w:color w:val="auto"/>
              </w:rPr>
            </w:pPr>
          </w:p>
        </w:tc>
        <w:tc>
          <w:tcPr>
            <w:tcW w:w="2646" w:type="pct"/>
            <w:shd w:val="clear" w:color="000000" w:fill="auto"/>
            <w:noWrap/>
            <w:vAlign w:val="center"/>
          </w:tcPr>
          <w:p w14:paraId="1FAA5736">
            <w:pPr>
              <w:jc w:val="center"/>
              <w:rPr>
                <w:rFonts w:ascii="Times New Roman" w:hAnsi="Times New Roman" w:cs="Times New Roman"/>
                <w:color w:val="auto"/>
                <w:lang w:eastAsia="zh-CN"/>
              </w:rPr>
            </w:pPr>
            <w:r>
              <w:rPr>
                <w:rFonts w:ascii="Times New Roman" w:hAnsi="Times New Roman" w:cs="Times New Roman"/>
                <w:color w:val="auto"/>
                <w:lang w:eastAsia="zh-CN"/>
              </w:rPr>
              <w:t>《月度运维服务报告》</w:t>
            </w:r>
          </w:p>
        </w:tc>
        <w:tc>
          <w:tcPr>
            <w:tcW w:w="799" w:type="pct"/>
            <w:shd w:val="clear" w:color="000000" w:fill="auto"/>
            <w:noWrap/>
            <w:vAlign w:val="center"/>
          </w:tcPr>
          <w:p w14:paraId="453ACA17">
            <w:pPr>
              <w:jc w:val="center"/>
              <w:rPr>
                <w:rFonts w:ascii="Times New Roman" w:hAnsi="Times New Roman" w:cs="Times New Roman"/>
                <w:color w:val="auto"/>
                <w:lang w:eastAsia="zh-CN"/>
              </w:rPr>
            </w:pPr>
            <w:r>
              <w:rPr>
                <w:rFonts w:ascii="Times New Roman" w:hAnsi="Times New Roman" w:cs="Times New Roman"/>
                <w:color w:val="auto"/>
              </w:rPr>
              <w:t>1</w:t>
            </w:r>
            <w:r>
              <w:rPr>
                <w:rFonts w:ascii="Times New Roman" w:hAnsi="Times New Roman" w:cs="Times New Roman"/>
                <w:color w:val="auto"/>
                <w:lang w:eastAsia="zh-CN"/>
              </w:rPr>
              <w:t>9</w:t>
            </w:r>
            <w:r>
              <w:rPr>
                <w:rFonts w:ascii="Times New Roman" w:hAnsi="Times New Roman" w:cs="Times New Roman"/>
                <w:color w:val="auto"/>
              </w:rPr>
              <w:t>份</w:t>
            </w:r>
          </w:p>
        </w:tc>
      </w:tr>
      <w:tr w14:paraId="53D7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4F6CC501">
            <w:pPr>
              <w:rPr>
                <w:rFonts w:ascii="Times New Roman" w:hAnsi="Times New Roman" w:cs="Times New Roman"/>
                <w:color w:val="auto"/>
              </w:rPr>
            </w:pPr>
          </w:p>
        </w:tc>
        <w:tc>
          <w:tcPr>
            <w:tcW w:w="1177" w:type="pct"/>
            <w:vMerge w:val="continue"/>
            <w:shd w:val="clear" w:color="000000" w:fill="auto"/>
            <w:vAlign w:val="center"/>
          </w:tcPr>
          <w:p w14:paraId="2C2BB0E7">
            <w:pPr>
              <w:rPr>
                <w:rFonts w:ascii="Times New Roman" w:hAnsi="Times New Roman" w:cs="Times New Roman"/>
                <w:color w:val="auto"/>
              </w:rPr>
            </w:pPr>
          </w:p>
        </w:tc>
        <w:tc>
          <w:tcPr>
            <w:tcW w:w="2646" w:type="pct"/>
            <w:shd w:val="clear" w:color="000000" w:fill="auto"/>
            <w:noWrap/>
            <w:vAlign w:val="center"/>
          </w:tcPr>
          <w:p w14:paraId="24590BCA">
            <w:pPr>
              <w:jc w:val="center"/>
              <w:rPr>
                <w:rFonts w:ascii="Times New Roman" w:hAnsi="Times New Roman" w:cs="Times New Roman"/>
                <w:color w:val="auto"/>
                <w:lang w:eastAsia="zh-CN"/>
              </w:rPr>
            </w:pPr>
            <w:r>
              <w:rPr>
                <w:rFonts w:ascii="Times New Roman" w:hAnsi="Times New Roman" w:cs="Times New Roman"/>
                <w:color w:val="auto"/>
                <w:lang w:eastAsia="zh-CN"/>
              </w:rPr>
              <w:t>《季度运维服务报告》</w:t>
            </w:r>
          </w:p>
        </w:tc>
        <w:tc>
          <w:tcPr>
            <w:tcW w:w="799" w:type="pct"/>
            <w:shd w:val="clear" w:color="000000" w:fill="auto"/>
            <w:noWrap/>
            <w:vAlign w:val="center"/>
          </w:tcPr>
          <w:p w14:paraId="3C3AAF8D">
            <w:pPr>
              <w:jc w:val="center"/>
              <w:rPr>
                <w:rFonts w:ascii="Times New Roman" w:hAnsi="Times New Roman" w:cs="Times New Roman"/>
                <w:color w:val="auto"/>
              </w:rPr>
            </w:pPr>
            <w:r>
              <w:rPr>
                <w:rFonts w:ascii="Times New Roman" w:hAnsi="Times New Roman" w:cs="Times New Roman"/>
                <w:color w:val="auto"/>
                <w:lang w:eastAsia="zh-CN"/>
              </w:rPr>
              <w:t>6</w:t>
            </w:r>
            <w:r>
              <w:rPr>
                <w:rFonts w:ascii="Times New Roman" w:hAnsi="Times New Roman" w:cs="Times New Roman"/>
                <w:color w:val="auto"/>
              </w:rPr>
              <w:t>份</w:t>
            </w:r>
          </w:p>
        </w:tc>
      </w:tr>
      <w:tr w14:paraId="4CC9D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EA74D49">
            <w:pPr>
              <w:rPr>
                <w:rFonts w:ascii="Times New Roman" w:hAnsi="Times New Roman" w:cs="Times New Roman"/>
                <w:color w:val="auto"/>
              </w:rPr>
            </w:pPr>
          </w:p>
        </w:tc>
        <w:tc>
          <w:tcPr>
            <w:tcW w:w="1177" w:type="pct"/>
            <w:vMerge w:val="continue"/>
            <w:shd w:val="clear" w:color="000000" w:fill="auto"/>
            <w:vAlign w:val="center"/>
          </w:tcPr>
          <w:p w14:paraId="4A5524DD">
            <w:pPr>
              <w:rPr>
                <w:rFonts w:ascii="Times New Roman" w:hAnsi="Times New Roman" w:cs="Times New Roman"/>
                <w:color w:val="auto"/>
              </w:rPr>
            </w:pPr>
          </w:p>
        </w:tc>
        <w:tc>
          <w:tcPr>
            <w:tcW w:w="2646" w:type="pct"/>
            <w:shd w:val="clear" w:color="000000" w:fill="auto"/>
            <w:noWrap/>
            <w:vAlign w:val="center"/>
          </w:tcPr>
          <w:p w14:paraId="0DAF68F3">
            <w:pPr>
              <w:jc w:val="center"/>
              <w:rPr>
                <w:rFonts w:ascii="Times New Roman" w:hAnsi="Times New Roman" w:cs="Times New Roman"/>
                <w:color w:val="auto"/>
                <w:lang w:eastAsia="zh-CN"/>
              </w:rPr>
            </w:pPr>
            <w:r>
              <w:rPr>
                <w:rFonts w:ascii="Times New Roman" w:hAnsi="Times New Roman" w:cs="Times New Roman"/>
                <w:color w:val="auto"/>
                <w:lang w:eastAsia="zh-CN"/>
              </w:rPr>
              <w:t>《运维服务总结报告》</w:t>
            </w:r>
          </w:p>
        </w:tc>
        <w:tc>
          <w:tcPr>
            <w:tcW w:w="799" w:type="pct"/>
            <w:shd w:val="clear" w:color="000000" w:fill="auto"/>
            <w:noWrap/>
            <w:vAlign w:val="center"/>
          </w:tcPr>
          <w:p w14:paraId="663D51C4">
            <w:pPr>
              <w:jc w:val="center"/>
              <w:rPr>
                <w:rFonts w:ascii="Times New Roman" w:hAnsi="Times New Roman" w:cs="Times New Roman"/>
                <w:color w:val="auto"/>
              </w:rPr>
            </w:pPr>
            <w:r>
              <w:rPr>
                <w:rFonts w:ascii="Times New Roman" w:hAnsi="Times New Roman" w:cs="Times New Roman"/>
                <w:color w:val="auto"/>
              </w:rPr>
              <w:t>1份</w:t>
            </w:r>
          </w:p>
        </w:tc>
      </w:tr>
      <w:tr w14:paraId="53B0D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144697EA">
            <w:pPr>
              <w:rPr>
                <w:rFonts w:ascii="Times New Roman" w:hAnsi="Times New Roman" w:cs="Times New Roman"/>
                <w:color w:val="auto"/>
              </w:rPr>
            </w:pPr>
          </w:p>
        </w:tc>
        <w:tc>
          <w:tcPr>
            <w:tcW w:w="1177" w:type="pct"/>
            <w:vMerge w:val="continue"/>
            <w:shd w:val="clear" w:color="000000" w:fill="auto"/>
            <w:vAlign w:val="center"/>
          </w:tcPr>
          <w:p w14:paraId="4DBCE3A0">
            <w:pPr>
              <w:rPr>
                <w:rFonts w:ascii="Times New Roman" w:hAnsi="Times New Roman" w:cs="Times New Roman"/>
                <w:color w:val="auto"/>
              </w:rPr>
            </w:pPr>
          </w:p>
        </w:tc>
        <w:tc>
          <w:tcPr>
            <w:tcW w:w="2646" w:type="pct"/>
            <w:shd w:val="clear" w:color="000000" w:fill="auto"/>
            <w:noWrap/>
            <w:vAlign w:val="center"/>
          </w:tcPr>
          <w:p w14:paraId="09BF5DCF">
            <w:pPr>
              <w:jc w:val="center"/>
              <w:rPr>
                <w:rFonts w:ascii="Times New Roman" w:hAnsi="Times New Roman" w:cs="Times New Roman"/>
                <w:color w:val="auto"/>
                <w:lang w:eastAsia="zh-CN"/>
              </w:rPr>
            </w:pPr>
            <w:r>
              <w:rPr>
                <w:rFonts w:ascii="Times New Roman" w:hAnsi="Times New Roman" w:cs="Times New Roman"/>
                <w:color w:val="auto"/>
                <w:lang w:eastAsia="zh-CN"/>
              </w:rPr>
              <w:t>《事故及问题记录表》</w:t>
            </w:r>
          </w:p>
        </w:tc>
        <w:tc>
          <w:tcPr>
            <w:tcW w:w="799" w:type="pct"/>
            <w:shd w:val="clear" w:color="000000" w:fill="auto"/>
            <w:noWrap/>
            <w:vAlign w:val="center"/>
          </w:tcPr>
          <w:p w14:paraId="7E5B4725">
            <w:pPr>
              <w:jc w:val="center"/>
              <w:rPr>
                <w:rFonts w:ascii="Times New Roman" w:hAnsi="Times New Roman" w:cs="Times New Roman"/>
                <w:color w:val="auto"/>
              </w:rPr>
            </w:pPr>
            <w:r>
              <w:rPr>
                <w:rFonts w:ascii="Times New Roman" w:hAnsi="Times New Roman" w:cs="Times New Roman"/>
                <w:color w:val="auto"/>
              </w:rPr>
              <w:t>据实提供</w:t>
            </w:r>
          </w:p>
        </w:tc>
      </w:tr>
      <w:tr w14:paraId="616D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2766DB47">
            <w:pPr>
              <w:rPr>
                <w:rFonts w:ascii="Times New Roman" w:hAnsi="Times New Roman" w:cs="Times New Roman"/>
                <w:color w:val="auto"/>
              </w:rPr>
            </w:pPr>
          </w:p>
        </w:tc>
        <w:tc>
          <w:tcPr>
            <w:tcW w:w="1177" w:type="pct"/>
            <w:vMerge w:val="continue"/>
            <w:shd w:val="clear" w:color="000000" w:fill="auto"/>
            <w:vAlign w:val="center"/>
          </w:tcPr>
          <w:p w14:paraId="2A01DE41">
            <w:pPr>
              <w:rPr>
                <w:rFonts w:ascii="Times New Roman" w:hAnsi="Times New Roman" w:cs="Times New Roman"/>
                <w:color w:val="auto"/>
              </w:rPr>
            </w:pPr>
          </w:p>
        </w:tc>
        <w:tc>
          <w:tcPr>
            <w:tcW w:w="2646" w:type="pct"/>
            <w:shd w:val="clear" w:color="000000" w:fill="auto"/>
            <w:noWrap/>
            <w:vAlign w:val="center"/>
          </w:tcPr>
          <w:p w14:paraId="0ED3EC07">
            <w:pPr>
              <w:jc w:val="center"/>
              <w:rPr>
                <w:rFonts w:ascii="Times New Roman" w:hAnsi="Times New Roman" w:cs="Times New Roman"/>
                <w:color w:val="auto"/>
              </w:rPr>
            </w:pPr>
            <w:r>
              <w:rPr>
                <w:rFonts w:ascii="Times New Roman" w:hAnsi="Times New Roman" w:cs="Times New Roman"/>
                <w:color w:val="auto"/>
              </w:rPr>
              <w:t>《巡检记录》</w:t>
            </w:r>
          </w:p>
        </w:tc>
        <w:tc>
          <w:tcPr>
            <w:tcW w:w="799" w:type="pct"/>
            <w:shd w:val="clear" w:color="000000" w:fill="auto"/>
            <w:noWrap/>
            <w:vAlign w:val="center"/>
          </w:tcPr>
          <w:p w14:paraId="387F7D23">
            <w:pPr>
              <w:jc w:val="center"/>
              <w:rPr>
                <w:rFonts w:ascii="Times New Roman" w:hAnsi="Times New Roman" w:cs="Times New Roman"/>
                <w:color w:val="auto"/>
              </w:rPr>
            </w:pPr>
            <w:r>
              <w:rPr>
                <w:rFonts w:ascii="Times New Roman" w:hAnsi="Times New Roman" w:cs="Times New Roman"/>
                <w:color w:val="auto"/>
              </w:rPr>
              <w:t>据实提供</w:t>
            </w:r>
          </w:p>
        </w:tc>
      </w:tr>
      <w:tr w14:paraId="53804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3ACC81FB">
            <w:pPr>
              <w:rPr>
                <w:rFonts w:ascii="Times New Roman" w:hAnsi="Times New Roman" w:cs="Times New Roman"/>
                <w:color w:val="auto"/>
              </w:rPr>
            </w:pPr>
          </w:p>
        </w:tc>
        <w:tc>
          <w:tcPr>
            <w:tcW w:w="1177" w:type="pct"/>
            <w:vMerge w:val="continue"/>
            <w:shd w:val="clear" w:color="000000" w:fill="auto"/>
            <w:vAlign w:val="center"/>
          </w:tcPr>
          <w:p w14:paraId="53FCB57D">
            <w:pPr>
              <w:rPr>
                <w:rFonts w:ascii="Times New Roman" w:hAnsi="Times New Roman" w:cs="Times New Roman"/>
                <w:color w:val="auto"/>
              </w:rPr>
            </w:pPr>
          </w:p>
        </w:tc>
        <w:tc>
          <w:tcPr>
            <w:tcW w:w="2646" w:type="pct"/>
            <w:shd w:val="clear" w:color="000000" w:fill="auto"/>
            <w:noWrap/>
            <w:vAlign w:val="center"/>
          </w:tcPr>
          <w:p w14:paraId="1FFBB91D">
            <w:pPr>
              <w:jc w:val="center"/>
              <w:rPr>
                <w:rFonts w:ascii="Times New Roman" w:hAnsi="Times New Roman" w:cs="Times New Roman"/>
                <w:color w:val="auto"/>
              </w:rPr>
            </w:pPr>
            <w:r>
              <w:rPr>
                <w:rFonts w:ascii="Times New Roman" w:hAnsi="Times New Roman" w:cs="Times New Roman"/>
                <w:color w:val="auto"/>
              </w:rPr>
              <w:t>《值班记录》</w:t>
            </w:r>
          </w:p>
        </w:tc>
        <w:tc>
          <w:tcPr>
            <w:tcW w:w="799" w:type="pct"/>
            <w:shd w:val="clear" w:color="000000" w:fill="auto"/>
            <w:noWrap/>
            <w:vAlign w:val="center"/>
          </w:tcPr>
          <w:p w14:paraId="251F1EEB">
            <w:pPr>
              <w:jc w:val="center"/>
              <w:rPr>
                <w:rFonts w:ascii="Times New Roman" w:hAnsi="Times New Roman" w:cs="Times New Roman"/>
                <w:color w:val="auto"/>
              </w:rPr>
            </w:pPr>
            <w:r>
              <w:rPr>
                <w:rFonts w:ascii="Times New Roman" w:hAnsi="Times New Roman" w:cs="Times New Roman"/>
                <w:color w:val="auto"/>
              </w:rPr>
              <w:t>据实提供</w:t>
            </w:r>
          </w:p>
        </w:tc>
      </w:tr>
      <w:tr w14:paraId="2352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restart"/>
            <w:shd w:val="clear" w:color="000000" w:fill="auto"/>
            <w:vAlign w:val="center"/>
          </w:tcPr>
          <w:p w14:paraId="526EA7DC">
            <w:pPr>
              <w:jc w:val="center"/>
              <w:rPr>
                <w:rFonts w:ascii="Times New Roman" w:hAnsi="Times New Roman" w:cs="Times New Roman"/>
                <w:color w:val="auto"/>
              </w:rPr>
            </w:pPr>
            <w:r>
              <w:rPr>
                <w:rFonts w:ascii="Times New Roman" w:hAnsi="Times New Roman" w:cs="Times New Roman"/>
                <w:color w:val="auto"/>
              </w:rPr>
              <w:t>4</w:t>
            </w:r>
          </w:p>
        </w:tc>
        <w:tc>
          <w:tcPr>
            <w:tcW w:w="1177" w:type="pct"/>
            <w:vMerge w:val="restart"/>
            <w:shd w:val="clear" w:color="000000" w:fill="auto"/>
            <w:vAlign w:val="center"/>
          </w:tcPr>
          <w:p w14:paraId="4AE9229C">
            <w:pPr>
              <w:jc w:val="center"/>
              <w:rPr>
                <w:rFonts w:ascii="Times New Roman" w:hAnsi="Times New Roman" w:cs="Times New Roman"/>
                <w:color w:val="auto"/>
                <w:lang w:eastAsia="zh-CN"/>
              </w:rPr>
            </w:pPr>
            <w:r>
              <w:rPr>
                <w:rFonts w:ascii="Times New Roman" w:hAnsi="Times New Roman" w:cs="Times New Roman"/>
                <w:color w:val="auto"/>
                <w:lang w:eastAsia="zh-CN"/>
              </w:rPr>
              <w:t>秦岭视频综合监管服务</w:t>
            </w:r>
          </w:p>
        </w:tc>
        <w:tc>
          <w:tcPr>
            <w:tcW w:w="2646" w:type="pct"/>
            <w:noWrap/>
            <w:vAlign w:val="center"/>
          </w:tcPr>
          <w:p w14:paraId="3AB478A9">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《监控视频稳定性测试表》</w:t>
            </w:r>
          </w:p>
        </w:tc>
        <w:tc>
          <w:tcPr>
            <w:tcW w:w="799" w:type="pct"/>
            <w:noWrap/>
            <w:vAlign w:val="center"/>
          </w:tcPr>
          <w:p w14:paraId="351F1839">
            <w:pPr>
              <w:jc w:val="center"/>
              <w:rPr>
                <w:rFonts w:ascii="Times New Roman" w:hAnsi="Times New Roman" w:eastAsia="宋体" w:cs="Times New Roman"/>
                <w:color w:val="auto"/>
              </w:rPr>
            </w:pPr>
            <w:r>
              <w:rPr>
                <w:rFonts w:ascii="Times New Roman" w:hAnsi="Times New Roman" w:cs="Times New Roman"/>
                <w:color w:val="auto"/>
              </w:rPr>
              <w:t>工作日提供</w:t>
            </w:r>
          </w:p>
        </w:tc>
      </w:tr>
      <w:tr w14:paraId="0A9F1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316C1AE2">
            <w:pPr>
              <w:jc w:val="center"/>
              <w:rPr>
                <w:rFonts w:ascii="Times New Roman" w:hAnsi="Times New Roman" w:cs="Times New Roman"/>
                <w:color w:val="auto"/>
              </w:rPr>
            </w:pPr>
          </w:p>
        </w:tc>
        <w:tc>
          <w:tcPr>
            <w:tcW w:w="1177" w:type="pct"/>
            <w:vMerge w:val="continue"/>
            <w:shd w:val="clear" w:color="000000" w:fill="auto"/>
            <w:vAlign w:val="center"/>
          </w:tcPr>
          <w:p w14:paraId="5998B264">
            <w:pPr>
              <w:jc w:val="center"/>
              <w:rPr>
                <w:rFonts w:ascii="Times New Roman" w:hAnsi="Times New Roman" w:cs="Times New Roman"/>
                <w:color w:val="auto"/>
              </w:rPr>
            </w:pPr>
          </w:p>
        </w:tc>
        <w:tc>
          <w:tcPr>
            <w:tcW w:w="2646" w:type="pct"/>
            <w:noWrap/>
            <w:vAlign w:val="center"/>
          </w:tcPr>
          <w:p w14:paraId="7E8D40CD">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《视频点位不在线表》</w:t>
            </w:r>
          </w:p>
        </w:tc>
        <w:tc>
          <w:tcPr>
            <w:tcW w:w="799" w:type="pct"/>
            <w:noWrap/>
            <w:vAlign w:val="center"/>
          </w:tcPr>
          <w:p w14:paraId="1CCC2FA5">
            <w:pPr>
              <w:jc w:val="center"/>
              <w:rPr>
                <w:rFonts w:ascii="Times New Roman" w:hAnsi="Times New Roman" w:eastAsia="宋体" w:cs="Times New Roman"/>
                <w:color w:val="auto"/>
              </w:rPr>
            </w:pPr>
            <w:r>
              <w:rPr>
                <w:rFonts w:ascii="Times New Roman" w:hAnsi="Times New Roman" w:cs="Times New Roman"/>
                <w:color w:val="auto"/>
              </w:rPr>
              <w:t>工作日提供</w:t>
            </w:r>
          </w:p>
        </w:tc>
      </w:tr>
      <w:tr w14:paraId="7344C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223E83D">
            <w:pPr>
              <w:jc w:val="center"/>
              <w:rPr>
                <w:rFonts w:ascii="Times New Roman" w:hAnsi="Times New Roman" w:cs="Times New Roman"/>
                <w:color w:val="auto"/>
              </w:rPr>
            </w:pPr>
          </w:p>
        </w:tc>
        <w:tc>
          <w:tcPr>
            <w:tcW w:w="1177" w:type="pct"/>
            <w:vMerge w:val="continue"/>
            <w:shd w:val="clear" w:color="000000" w:fill="auto"/>
            <w:vAlign w:val="center"/>
          </w:tcPr>
          <w:p w14:paraId="176C9475">
            <w:pPr>
              <w:jc w:val="center"/>
              <w:rPr>
                <w:rFonts w:ascii="Times New Roman" w:hAnsi="Times New Roman" w:cs="Times New Roman"/>
                <w:color w:val="auto"/>
              </w:rPr>
            </w:pPr>
          </w:p>
        </w:tc>
        <w:tc>
          <w:tcPr>
            <w:tcW w:w="2646" w:type="pct"/>
            <w:noWrap/>
            <w:vAlign w:val="center"/>
          </w:tcPr>
          <w:p w14:paraId="78A8FE68">
            <w:pPr>
              <w:jc w:val="center"/>
              <w:rPr>
                <w:rFonts w:ascii="Times New Roman" w:hAnsi="Times New Roman" w:eastAsia="宋体" w:cs="Times New Roman"/>
                <w:color w:val="auto"/>
                <w:lang w:eastAsia="zh-CN"/>
              </w:rPr>
            </w:pPr>
            <w:r>
              <w:rPr>
                <w:rFonts w:ascii="Times New Roman" w:hAnsi="Times New Roman" w:cs="Times New Roman"/>
                <w:color w:val="auto"/>
              </w:rPr>
              <w:t>《</w:t>
            </w:r>
            <w:r>
              <w:rPr>
                <w:rFonts w:ascii="Times New Roman" w:hAnsi="Times New Roman" w:cs="Times New Roman"/>
                <w:color w:val="auto"/>
                <w:lang w:eastAsia="zh-CN"/>
              </w:rPr>
              <w:t>周报</w:t>
            </w:r>
            <w:r>
              <w:rPr>
                <w:rFonts w:ascii="Times New Roman" w:hAnsi="Times New Roman" w:cs="Times New Roman"/>
                <w:color w:val="auto"/>
              </w:rPr>
              <w:t>》</w:t>
            </w:r>
          </w:p>
        </w:tc>
        <w:tc>
          <w:tcPr>
            <w:tcW w:w="799" w:type="pct"/>
            <w:noWrap/>
            <w:vAlign w:val="center"/>
          </w:tcPr>
          <w:p w14:paraId="04A30D32">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52份</w:t>
            </w:r>
          </w:p>
        </w:tc>
      </w:tr>
      <w:tr w14:paraId="5E5A4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4C8FF55E">
            <w:pPr>
              <w:jc w:val="center"/>
              <w:rPr>
                <w:rFonts w:ascii="Times New Roman" w:hAnsi="Times New Roman" w:cs="Times New Roman"/>
                <w:color w:val="auto"/>
              </w:rPr>
            </w:pPr>
          </w:p>
        </w:tc>
        <w:tc>
          <w:tcPr>
            <w:tcW w:w="1177" w:type="pct"/>
            <w:vMerge w:val="continue"/>
            <w:shd w:val="clear" w:color="000000" w:fill="auto"/>
            <w:vAlign w:val="center"/>
          </w:tcPr>
          <w:p w14:paraId="46D6B188">
            <w:pPr>
              <w:jc w:val="center"/>
              <w:rPr>
                <w:rFonts w:ascii="Times New Roman" w:hAnsi="Times New Roman" w:cs="Times New Roman"/>
                <w:color w:val="auto"/>
              </w:rPr>
            </w:pPr>
          </w:p>
        </w:tc>
        <w:tc>
          <w:tcPr>
            <w:tcW w:w="2646" w:type="pct"/>
            <w:noWrap/>
            <w:vAlign w:val="center"/>
          </w:tcPr>
          <w:p w14:paraId="30EE2326">
            <w:pPr>
              <w:jc w:val="center"/>
              <w:rPr>
                <w:rFonts w:ascii="Times New Roman" w:hAnsi="Times New Roman" w:eastAsia="宋体" w:cs="Times New Roman"/>
                <w:color w:val="auto"/>
                <w:lang w:eastAsia="zh-CN"/>
              </w:rPr>
            </w:pPr>
            <w:r>
              <w:rPr>
                <w:rFonts w:ascii="Times New Roman" w:hAnsi="Times New Roman" w:cs="Times New Roman"/>
                <w:color w:val="auto"/>
              </w:rPr>
              <w:t>《</w:t>
            </w:r>
            <w:r>
              <w:rPr>
                <w:rFonts w:ascii="Times New Roman" w:hAnsi="Times New Roman" w:cs="Times New Roman"/>
                <w:color w:val="auto"/>
                <w:lang w:eastAsia="zh-CN"/>
              </w:rPr>
              <w:t>系统运行月报</w:t>
            </w:r>
            <w:r>
              <w:rPr>
                <w:rFonts w:ascii="Times New Roman" w:hAnsi="Times New Roman" w:cs="Times New Roman"/>
                <w:color w:val="auto"/>
              </w:rPr>
              <w:t>》</w:t>
            </w:r>
          </w:p>
        </w:tc>
        <w:tc>
          <w:tcPr>
            <w:tcW w:w="799" w:type="pct"/>
            <w:noWrap/>
            <w:vAlign w:val="center"/>
          </w:tcPr>
          <w:p w14:paraId="2496A5C2">
            <w:pPr>
              <w:jc w:val="center"/>
              <w:rPr>
                <w:rFonts w:ascii="Times New Roman" w:hAnsi="Times New Roman" w:cs="Times New Roman" w:eastAsiaTheme="minorEastAsia"/>
                <w:color w:val="auto"/>
                <w:lang w:eastAsia="zh-CN"/>
              </w:rPr>
            </w:pPr>
            <w:r>
              <w:rPr>
                <w:rFonts w:ascii="Times New Roman" w:hAnsi="Times New Roman" w:cs="Times New Roman" w:eastAsiaTheme="minorEastAsia"/>
                <w:color w:val="auto"/>
                <w:lang w:eastAsia="zh-CN"/>
              </w:rPr>
              <w:t>12份</w:t>
            </w:r>
          </w:p>
        </w:tc>
      </w:tr>
      <w:tr w14:paraId="2FDF8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207C68F8">
            <w:pPr>
              <w:jc w:val="center"/>
              <w:rPr>
                <w:rFonts w:ascii="Times New Roman" w:hAnsi="Times New Roman" w:cs="Times New Roman"/>
                <w:color w:val="auto"/>
              </w:rPr>
            </w:pPr>
          </w:p>
        </w:tc>
        <w:tc>
          <w:tcPr>
            <w:tcW w:w="1177" w:type="pct"/>
            <w:vMerge w:val="continue"/>
            <w:shd w:val="clear" w:color="000000" w:fill="auto"/>
            <w:vAlign w:val="center"/>
          </w:tcPr>
          <w:p w14:paraId="03D2B343">
            <w:pPr>
              <w:jc w:val="center"/>
              <w:rPr>
                <w:rFonts w:ascii="Times New Roman" w:hAnsi="Times New Roman" w:cs="Times New Roman"/>
                <w:color w:val="auto"/>
              </w:rPr>
            </w:pPr>
          </w:p>
        </w:tc>
        <w:tc>
          <w:tcPr>
            <w:tcW w:w="2646" w:type="pct"/>
            <w:noWrap/>
            <w:vAlign w:val="center"/>
          </w:tcPr>
          <w:p w14:paraId="5FD95940">
            <w:pPr>
              <w:jc w:val="center"/>
              <w:rPr>
                <w:rFonts w:ascii="Times New Roman" w:hAnsi="Times New Roman" w:eastAsia="宋体" w:cs="Times New Roman"/>
                <w:color w:val="auto"/>
              </w:rPr>
            </w:pPr>
            <w:r>
              <w:rPr>
                <w:rFonts w:ascii="Times New Roman" w:hAnsi="Times New Roman" w:cs="Times New Roman"/>
                <w:color w:val="auto"/>
              </w:rPr>
              <w:t>《</w:t>
            </w:r>
            <w:r>
              <w:rPr>
                <w:rFonts w:ascii="Times New Roman" w:hAnsi="Times New Roman" w:cs="Times New Roman"/>
                <w:color w:val="auto"/>
                <w:lang w:eastAsia="zh-CN"/>
              </w:rPr>
              <w:t>系统运行年报</w:t>
            </w:r>
            <w:r>
              <w:rPr>
                <w:rFonts w:ascii="Times New Roman" w:hAnsi="Times New Roman" w:cs="Times New Roman"/>
                <w:color w:val="auto"/>
              </w:rPr>
              <w:t>》</w:t>
            </w:r>
          </w:p>
        </w:tc>
        <w:tc>
          <w:tcPr>
            <w:tcW w:w="799" w:type="pct"/>
            <w:noWrap/>
            <w:vAlign w:val="center"/>
          </w:tcPr>
          <w:p w14:paraId="6199C9F5">
            <w:pPr>
              <w:jc w:val="center"/>
              <w:rPr>
                <w:rFonts w:ascii="Times New Roman" w:hAnsi="Times New Roman" w:cs="Times New Roman" w:eastAsiaTheme="minorEastAsia"/>
                <w:color w:val="auto"/>
                <w:lang w:eastAsia="zh-CN"/>
              </w:rPr>
            </w:pPr>
            <w:r>
              <w:rPr>
                <w:rFonts w:ascii="Times New Roman" w:hAnsi="Times New Roman" w:cs="Times New Roman" w:eastAsiaTheme="minorEastAsia"/>
                <w:color w:val="auto"/>
                <w:lang w:eastAsia="zh-CN"/>
              </w:rPr>
              <w:t>1份</w:t>
            </w:r>
          </w:p>
        </w:tc>
      </w:tr>
      <w:tr w14:paraId="7729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66F9728F">
            <w:pPr>
              <w:jc w:val="center"/>
              <w:rPr>
                <w:rFonts w:ascii="Times New Roman" w:hAnsi="Times New Roman" w:cs="Times New Roman"/>
                <w:color w:val="auto"/>
              </w:rPr>
            </w:pPr>
          </w:p>
        </w:tc>
        <w:tc>
          <w:tcPr>
            <w:tcW w:w="1177" w:type="pct"/>
            <w:vMerge w:val="continue"/>
            <w:shd w:val="clear" w:color="000000" w:fill="auto"/>
            <w:vAlign w:val="center"/>
          </w:tcPr>
          <w:p w14:paraId="403E5611">
            <w:pPr>
              <w:jc w:val="center"/>
              <w:rPr>
                <w:rFonts w:ascii="Times New Roman" w:hAnsi="Times New Roman" w:cs="Times New Roman"/>
                <w:color w:val="auto"/>
              </w:rPr>
            </w:pPr>
          </w:p>
        </w:tc>
        <w:tc>
          <w:tcPr>
            <w:tcW w:w="2646" w:type="pct"/>
            <w:noWrap/>
            <w:vAlign w:val="center"/>
          </w:tcPr>
          <w:p w14:paraId="72991575">
            <w:pPr>
              <w:jc w:val="center"/>
              <w:rPr>
                <w:rFonts w:ascii="Times New Roman" w:hAnsi="Times New Roman" w:eastAsia="宋体" w:cs="Times New Roman"/>
                <w:color w:val="auto"/>
                <w:lang w:eastAsia="zh-CN"/>
              </w:rPr>
            </w:pPr>
            <w:r>
              <w:rPr>
                <w:rFonts w:ascii="Times New Roman" w:hAnsi="Times New Roman" w:cs="Times New Roman"/>
                <w:color w:val="auto"/>
              </w:rPr>
              <w:t>《视频点位汇总表》</w:t>
            </w:r>
          </w:p>
        </w:tc>
        <w:tc>
          <w:tcPr>
            <w:tcW w:w="799" w:type="pct"/>
            <w:noWrap/>
            <w:vAlign w:val="center"/>
          </w:tcPr>
          <w:p w14:paraId="0CA3951B">
            <w:pPr>
              <w:jc w:val="center"/>
              <w:rPr>
                <w:rFonts w:ascii="Times New Roman" w:hAnsi="Times New Roman" w:cs="Times New Roman" w:eastAsiaTheme="minorEastAsia"/>
                <w:color w:val="auto"/>
                <w:lang w:eastAsia="zh-CN"/>
              </w:rPr>
            </w:pPr>
            <w:r>
              <w:rPr>
                <w:rFonts w:ascii="Times New Roman" w:hAnsi="Times New Roman" w:cs="Times New Roman"/>
                <w:color w:val="auto"/>
                <w:lang w:eastAsia="zh-CN"/>
              </w:rPr>
              <w:t>12</w:t>
            </w:r>
            <w:r>
              <w:rPr>
                <w:rFonts w:ascii="Times New Roman" w:hAnsi="Times New Roman" w:cs="Times New Roman"/>
                <w:color w:val="auto"/>
              </w:rPr>
              <w:t>份</w:t>
            </w:r>
          </w:p>
        </w:tc>
      </w:tr>
      <w:tr w14:paraId="3EABB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7EB0F8AB">
            <w:pPr>
              <w:jc w:val="center"/>
              <w:rPr>
                <w:rFonts w:ascii="Times New Roman" w:hAnsi="Times New Roman" w:cs="Times New Roman"/>
                <w:color w:val="auto"/>
              </w:rPr>
            </w:pPr>
          </w:p>
        </w:tc>
        <w:tc>
          <w:tcPr>
            <w:tcW w:w="1177" w:type="pct"/>
            <w:vMerge w:val="continue"/>
            <w:shd w:val="clear" w:color="000000" w:fill="auto"/>
            <w:vAlign w:val="center"/>
          </w:tcPr>
          <w:p w14:paraId="005706D8">
            <w:pPr>
              <w:jc w:val="center"/>
              <w:rPr>
                <w:rFonts w:ascii="Times New Roman" w:hAnsi="Times New Roman" w:cs="Times New Roman"/>
                <w:color w:val="auto"/>
              </w:rPr>
            </w:pPr>
          </w:p>
        </w:tc>
        <w:tc>
          <w:tcPr>
            <w:tcW w:w="2646" w:type="pct"/>
            <w:noWrap/>
            <w:vAlign w:val="center"/>
          </w:tcPr>
          <w:p w14:paraId="028A89C2">
            <w:pPr>
              <w:jc w:val="center"/>
              <w:rPr>
                <w:rFonts w:ascii="Times New Roman" w:hAnsi="Times New Roman" w:eastAsia="宋体" w:cs="Times New Roman"/>
                <w:color w:val="auto"/>
                <w:lang w:eastAsia="zh-CN"/>
              </w:rPr>
            </w:pPr>
            <w:r>
              <w:rPr>
                <w:rFonts w:ascii="Times New Roman" w:hAnsi="Times New Roman" w:cs="Times New Roman"/>
                <w:color w:val="auto"/>
              </w:rPr>
              <w:t>《视频点位明细表》</w:t>
            </w:r>
          </w:p>
        </w:tc>
        <w:tc>
          <w:tcPr>
            <w:tcW w:w="799" w:type="pct"/>
            <w:noWrap/>
            <w:vAlign w:val="center"/>
          </w:tcPr>
          <w:p w14:paraId="57CDBCE6">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12</w:t>
            </w:r>
            <w:r>
              <w:rPr>
                <w:rFonts w:ascii="Times New Roman" w:hAnsi="Times New Roman" w:cs="Times New Roman"/>
                <w:color w:val="auto"/>
              </w:rPr>
              <w:t>份</w:t>
            </w:r>
          </w:p>
        </w:tc>
      </w:tr>
      <w:tr w14:paraId="5ED8A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04675F59">
            <w:pPr>
              <w:jc w:val="center"/>
              <w:rPr>
                <w:rFonts w:ascii="Times New Roman" w:hAnsi="Times New Roman" w:cs="Times New Roman"/>
                <w:color w:val="auto"/>
              </w:rPr>
            </w:pPr>
          </w:p>
        </w:tc>
        <w:tc>
          <w:tcPr>
            <w:tcW w:w="1177" w:type="pct"/>
            <w:vMerge w:val="continue"/>
            <w:shd w:val="clear" w:color="000000" w:fill="auto"/>
            <w:vAlign w:val="center"/>
          </w:tcPr>
          <w:p w14:paraId="40AFACA7">
            <w:pPr>
              <w:jc w:val="center"/>
              <w:rPr>
                <w:rFonts w:ascii="Times New Roman" w:hAnsi="Times New Roman" w:cs="Times New Roman"/>
                <w:color w:val="auto"/>
              </w:rPr>
            </w:pPr>
          </w:p>
        </w:tc>
        <w:tc>
          <w:tcPr>
            <w:tcW w:w="2646" w:type="pct"/>
            <w:noWrap/>
            <w:vAlign w:val="center"/>
          </w:tcPr>
          <w:p w14:paraId="54192208">
            <w:pPr>
              <w:jc w:val="center"/>
              <w:rPr>
                <w:rFonts w:ascii="Times New Roman" w:hAnsi="Times New Roman" w:eastAsia="宋体" w:cs="Times New Roman"/>
                <w:color w:val="auto"/>
                <w:lang w:eastAsia="zh-CN"/>
              </w:rPr>
            </w:pPr>
            <w:r>
              <w:rPr>
                <w:rFonts w:ascii="Times New Roman" w:hAnsi="Times New Roman" w:cs="Times New Roman"/>
                <w:color w:val="auto"/>
              </w:rPr>
              <w:t>《</w:t>
            </w:r>
            <w:r>
              <w:rPr>
                <w:rFonts w:ascii="Times New Roman" w:hAnsi="Times New Roman" w:cs="Times New Roman"/>
                <w:color w:val="auto"/>
                <w:lang w:eastAsia="zh-CN"/>
              </w:rPr>
              <w:t>解析</w:t>
            </w:r>
            <w:r>
              <w:rPr>
                <w:rFonts w:ascii="Times New Roman" w:hAnsi="Times New Roman" w:cs="Times New Roman"/>
                <w:color w:val="auto"/>
              </w:rPr>
              <w:t>算法配置表》</w:t>
            </w:r>
          </w:p>
        </w:tc>
        <w:tc>
          <w:tcPr>
            <w:tcW w:w="799" w:type="pct"/>
            <w:noWrap/>
            <w:vAlign w:val="center"/>
          </w:tcPr>
          <w:p w14:paraId="66F59B4B">
            <w:pPr>
              <w:jc w:val="center"/>
              <w:rPr>
                <w:rFonts w:ascii="Times New Roman" w:hAnsi="Times New Roman" w:cs="Times New Roman" w:eastAsiaTheme="minorEastAsia"/>
                <w:color w:val="auto"/>
                <w:lang w:eastAsia="zh-CN"/>
              </w:rPr>
            </w:pPr>
            <w:r>
              <w:rPr>
                <w:rFonts w:ascii="Times New Roman" w:hAnsi="Times New Roman" w:cs="Times New Roman"/>
                <w:color w:val="auto"/>
              </w:rPr>
              <w:t>据实提供</w:t>
            </w:r>
          </w:p>
        </w:tc>
      </w:tr>
      <w:tr w14:paraId="3642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vMerge w:val="continue"/>
            <w:shd w:val="clear" w:color="000000" w:fill="auto"/>
            <w:vAlign w:val="center"/>
          </w:tcPr>
          <w:p w14:paraId="0458E780">
            <w:pPr>
              <w:jc w:val="center"/>
              <w:rPr>
                <w:rFonts w:ascii="Times New Roman" w:hAnsi="Times New Roman" w:cs="Times New Roman"/>
                <w:color w:val="auto"/>
              </w:rPr>
            </w:pPr>
          </w:p>
        </w:tc>
        <w:tc>
          <w:tcPr>
            <w:tcW w:w="1177" w:type="pct"/>
            <w:vMerge w:val="continue"/>
            <w:shd w:val="clear" w:color="000000" w:fill="auto"/>
            <w:vAlign w:val="center"/>
          </w:tcPr>
          <w:p w14:paraId="61B09492">
            <w:pPr>
              <w:jc w:val="center"/>
              <w:rPr>
                <w:rFonts w:ascii="Times New Roman" w:hAnsi="Times New Roman" w:cs="Times New Roman"/>
                <w:color w:val="auto"/>
              </w:rPr>
            </w:pPr>
          </w:p>
        </w:tc>
        <w:tc>
          <w:tcPr>
            <w:tcW w:w="2646" w:type="pct"/>
            <w:noWrap/>
            <w:vAlign w:val="center"/>
          </w:tcPr>
          <w:p w14:paraId="6608609A">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w:t>
            </w:r>
            <w:r>
              <w:rPr>
                <w:rFonts w:ascii="Times New Roman" w:hAnsi="Times New Roman" w:cs="Times New Roman"/>
                <w:color w:val="auto"/>
              </w:rPr>
              <w:t>疑似问题线索表</w:t>
            </w:r>
            <w:r>
              <w:rPr>
                <w:rFonts w:ascii="Times New Roman" w:hAnsi="Times New Roman" w:cs="Times New Roman"/>
                <w:color w:val="auto"/>
                <w:lang w:eastAsia="zh-CN"/>
              </w:rPr>
              <w:t>》</w:t>
            </w:r>
          </w:p>
        </w:tc>
        <w:tc>
          <w:tcPr>
            <w:tcW w:w="799" w:type="pct"/>
            <w:noWrap/>
            <w:vAlign w:val="center"/>
          </w:tcPr>
          <w:p w14:paraId="6C6E2F8D">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12</w:t>
            </w:r>
            <w:r>
              <w:rPr>
                <w:rFonts w:ascii="Times New Roman" w:hAnsi="Times New Roman" w:cs="Times New Roman"/>
                <w:color w:val="auto"/>
              </w:rPr>
              <w:t>份</w:t>
            </w:r>
          </w:p>
        </w:tc>
      </w:tr>
      <w:tr w14:paraId="119E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shd w:val="clear" w:color="000000" w:fill="auto"/>
            <w:vAlign w:val="center"/>
          </w:tcPr>
          <w:p w14:paraId="7A862605">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5</w:t>
            </w:r>
          </w:p>
        </w:tc>
        <w:tc>
          <w:tcPr>
            <w:tcW w:w="1177" w:type="pct"/>
            <w:shd w:val="clear" w:color="000000" w:fill="auto"/>
            <w:vAlign w:val="center"/>
          </w:tcPr>
          <w:p w14:paraId="59362C64">
            <w:pPr>
              <w:jc w:val="center"/>
              <w:rPr>
                <w:rFonts w:ascii="Times New Roman" w:hAnsi="Times New Roman" w:cs="Times New Roman"/>
                <w:color w:val="auto"/>
                <w:lang w:eastAsia="zh-CN"/>
              </w:rPr>
            </w:pPr>
            <w:r>
              <w:rPr>
                <w:rFonts w:ascii="Times New Roman" w:hAnsi="Times New Roman" w:cs="Times New Roman"/>
                <w:color w:val="auto"/>
                <w:lang w:eastAsia="zh-CN"/>
              </w:rPr>
              <w:t>陕西RA密码认证服务</w:t>
            </w:r>
          </w:p>
        </w:tc>
        <w:tc>
          <w:tcPr>
            <w:tcW w:w="2646" w:type="pct"/>
            <w:shd w:val="clear" w:color="000000" w:fill="auto"/>
            <w:noWrap/>
            <w:vAlign w:val="center"/>
          </w:tcPr>
          <w:p w14:paraId="021C1AA0">
            <w:pPr>
              <w:jc w:val="center"/>
              <w:rPr>
                <w:rFonts w:ascii="Times New Roman" w:hAnsi="Times New Roman" w:cs="Times New Roman"/>
                <w:color w:val="auto"/>
              </w:rPr>
            </w:pPr>
            <w:r>
              <w:rPr>
                <w:rFonts w:ascii="Times New Roman" w:hAnsi="Times New Roman" w:cs="Times New Roman"/>
                <w:color w:val="auto"/>
              </w:rPr>
              <w:t>《认证服务报告》</w:t>
            </w:r>
          </w:p>
        </w:tc>
        <w:tc>
          <w:tcPr>
            <w:tcW w:w="799" w:type="pct"/>
            <w:shd w:val="clear" w:color="000000" w:fill="auto"/>
            <w:noWrap/>
            <w:vAlign w:val="center"/>
          </w:tcPr>
          <w:p w14:paraId="3340488E">
            <w:pPr>
              <w:jc w:val="center"/>
              <w:rPr>
                <w:rFonts w:ascii="Times New Roman" w:hAnsi="Times New Roman" w:cs="Times New Roman"/>
                <w:color w:val="auto"/>
              </w:rPr>
            </w:pPr>
            <w:r>
              <w:rPr>
                <w:rFonts w:ascii="Times New Roman" w:hAnsi="Times New Roman" w:cs="Times New Roman"/>
                <w:color w:val="auto"/>
              </w:rPr>
              <w:t>1份</w:t>
            </w:r>
          </w:p>
        </w:tc>
      </w:tr>
      <w:tr w14:paraId="1843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shd w:val="clear" w:color="000000" w:fill="auto"/>
            <w:vAlign w:val="center"/>
          </w:tcPr>
          <w:p w14:paraId="38BE05F6">
            <w:pPr>
              <w:jc w:val="center"/>
              <w:rPr>
                <w:rFonts w:ascii="Times New Roman" w:hAnsi="Times New Roman" w:eastAsia="宋体" w:cs="Times New Roman"/>
                <w:color w:val="auto"/>
                <w:lang w:eastAsia="zh-CN"/>
              </w:rPr>
            </w:pPr>
            <w:r>
              <w:rPr>
                <w:rFonts w:ascii="Times New Roman" w:hAnsi="Times New Roman" w:cs="Times New Roman"/>
                <w:color w:val="auto"/>
                <w:lang w:eastAsia="zh-CN"/>
              </w:rPr>
              <w:t>6</w:t>
            </w:r>
          </w:p>
        </w:tc>
        <w:tc>
          <w:tcPr>
            <w:tcW w:w="1177" w:type="pct"/>
            <w:shd w:val="clear" w:color="000000" w:fill="auto"/>
            <w:vAlign w:val="center"/>
          </w:tcPr>
          <w:p w14:paraId="4A892BD8">
            <w:pPr>
              <w:jc w:val="center"/>
              <w:rPr>
                <w:rFonts w:ascii="Times New Roman" w:hAnsi="Times New Roman" w:cs="Times New Roman"/>
                <w:color w:val="auto"/>
              </w:rPr>
            </w:pPr>
            <w:r>
              <w:rPr>
                <w:rFonts w:ascii="Times New Roman" w:hAnsi="Times New Roman" w:cs="Times New Roman"/>
                <w:color w:val="auto"/>
              </w:rPr>
              <w:t>备品备件服务</w:t>
            </w:r>
          </w:p>
        </w:tc>
        <w:tc>
          <w:tcPr>
            <w:tcW w:w="2646" w:type="pct"/>
            <w:shd w:val="clear" w:color="000000" w:fill="auto"/>
            <w:noWrap/>
            <w:vAlign w:val="center"/>
          </w:tcPr>
          <w:p w14:paraId="1F0D3FE3">
            <w:pPr>
              <w:jc w:val="center"/>
              <w:rPr>
                <w:rFonts w:ascii="Times New Roman" w:hAnsi="Times New Roman" w:cs="Times New Roman"/>
                <w:color w:val="auto"/>
                <w:lang w:eastAsia="zh-CN"/>
              </w:rPr>
            </w:pPr>
            <w:r>
              <w:rPr>
                <w:rFonts w:ascii="Times New Roman" w:hAnsi="Times New Roman" w:cs="Times New Roman"/>
                <w:color w:val="auto"/>
                <w:lang w:eastAsia="zh-CN"/>
              </w:rPr>
              <w:t>《备品备件服务清单》</w:t>
            </w:r>
          </w:p>
        </w:tc>
        <w:tc>
          <w:tcPr>
            <w:tcW w:w="799" w:type="pct"/>
            <w:shd w:val="clear" w:color="000000" w:fill="auto"/>
            <w:noWrap/>
            <w:vAlign w:val="center"/>
          </w:tcPr>
          <w:p w14:paraId="08BEA8D2">
            <w:pPr>
              <w:jc w:val="center"/>
              <w:rPr>
                <w:rFonts w:ascii="Times New Roman" w:hAnsi="Times New Roman" w:cs="Times New Roman"/>
                <w:color w:val="auto"/>
              </w:rPr>
            </w:pPr>
            <w:r>
              <w:rPr>
                <w:rFonts w:ascii="Times New Roman" w:hAnsi="Times New Roman" w:cs="Times New Roman"/>
                <w:color w:val="auto"/>
              </w:rPr>
              <w:t>1份</w:t>
            </w:r>
          </w:p>
        </w:tc>
      </w:tr>
      <w:tr w14:paraId="02AF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6" w:type="pct"/>
            <w:shd w:val="clear" w:color="000000" w:fill="auto"/>
            <w:vAlign w:val="center"/>
          </w:tcPr>
          <w:p w14:paraId="48AEB9BD">
            <w:pPr>
              <w:jc w:val="center"/>
              <w:rPr>
                <w:rFonts w:ascii="Times New Roman" w:hAnsi="Times New Roman" w:cs="Times New Roman"/>
                <w:color w:val="auto"/>
                <w:lang w:eastAsia="zh-CN"/>
              </w:rPr>
            </w:pPr>
            <w:r>
              <w:rPr>
                <w:rFonts w:hint="eastAsia" w:ascii="Times New Roman" w:hAnsi="Times New Roman" w:cs="Times New Roman"/>
                <w:color w:val="auto"/>
                <w:lang w:eastAsia="zh-CN"/>
              </w:rPr>
              <w:t>7</w:t>
            </w:r>
          </w:p>
        </w:tc>
        <w:tc>
          <w:tcPr>
            <w:tcW w:w="6535" w:type="dxa"/>
            <w:gridSpan w:val="2"/>
            <w:shd w:val="clear" w:color="000000" w:fill="auto"/>
            <w:vAlign w:val="center"/>
          </w:tcPr>
          <w:p w14:paraId="788C02DD">
            <w:pPr>
              <w:jc w:val="center"/>
              <w:rPr>
                <w:rFonts w:ascii="Times New Roman" w:hAnsi="Times New Roman" w:cs="Times New Roman"/>
                <w:color w:val="auto"/>
                <w:lang w:eastAsia="zh-CN"/>
              </w:rPr>
            </w:pPr>
            <w:r>
              <w:rPr>
                <w:rFonts w:hint="eastAsia" w:ascii="Times New Roman" w:hAnsi="Times New Roman" w:cs="Times New Roman"/>
                <w:color w:val="auto"/>
                <w:lang w:eastAsia="zh-CN"/>
              </w:rPr>
              <w:t>本项目总体运维服务分析总结报告</w:t>
            </w:r>
          </w:p>
        </w:tc>
        <w:tc>
          <w:tcPr>
            <w:tcW w:w="799" w:type="pct"/>
            <w:shd w:val="clear" w:color="000000" w:fill="auto"/>
            <w:noWrap/>
            <w:vAlign w:val="center"/>
          </w:tcPr>
          <w:p w14:paraId="34978B54">
            <w:pPr>
              <w:jc w:val="center"/>
              <w:rPr>
                <w:rFonts w:ascii="Times New Roman" w:hAnsi="Times New Roman" w:cs="Times New Roman"/>
                <w:color w:val="auto"/>
                <w:lang w:eastAsia="zh-CN"/>
              </w:rPr>
            </w:pPr>
            <w:r>
              <w:rPr>
                <w:rFonts w:hint="eastAsia" w:ascii="Times New Roman" w:hAnsi="Times New Roman" w:cs="Times New Roman"/>
                <w:color w:val="auto"/>
                <w:lang w:eastAsia="zh-CN"/>
              </w:rPr>
              <w:t>1份</w:t>
            </w:r>
          </w:p>
        </w:tc>
      </w:tr>
    </w:tbl>
    <w:p w14:paraId="111536C0">
      <w:pPr>
        <w:pStyle w:val="11"/>
        <w:spacing w:line="338" w:lineRule="auto"/>
        <w:ind w:firstLine="480" w:firstLineChars="200"/>
        <w:rPr>
          <w:rFonts w:ascii="仿宋" w:hAnsi="仿宋" w:eastAsia="仿宋"/>
          <w:color w:val="auto"/>
          <w:sz w:val="24"/>
          <w:szCs w:val="24"/>
          <w:lang w:eastAsia="zh-CN"/>
        </w:rPr>
      </w:pPr>
    </w:p>
    <w:p w14:paraId="42C95F34">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四）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45EC3C7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十二</w:t>
      </w:r>
      <w:r>
        <w:rPr>
          <w:rFonts w:ascii="仿宋" w:hAnsi="仿宋" w:eastAsia="仿宋"/>
          <w:color w:val="auto"/>
          <w:sz w:val="24"/>
          <w:szCs w:val="24"/>
        </w:rPr>
        <w:t>、违约责任</w:t>
      </w:r>
    </w:p>
    <w:p w14:paraId="47921ADB">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1.乙方未按合同要求提供服务或服务质量不能满足技术</w:t>
      </w:r>
      <w:r>
        <w:rPr>
          <w:rFonts w:ascii="仿宋" w:hAnsi="仿宋" w:eastAsia="仿宋"/>
          <w:color w:val="auto"/>
          <w:sz w:val="24"/>
          <w:szCs w:val="24"/>
          <w:lang w:eastAsia="zh-CN"/>
        </w:rPr>
        <w:t>服务</w:t>
      </w:r>
      <w:r>
        <w:rPr>
          <w:rFonts w:ascii="仿宋" w:hAnsi="仿宋" w:eastAsia="仿宋"/>
          <w:color w:val="auto"/>
          <w:sz w:val="24"/>
          <w:szCs w:val="24"/>
        </w:rPr>
        <w:t>要求，且在规定时间内未使甲方满意的，甲方有权每日按照合同总金额的万分之一收取乙方违约金</w:t>
      </w:r>
      <w:r>
        <w:rPr>
          <w:rFonts w:ascii="仿宋" w:hAnsi="仿宋" w:eastAsia="仿宋"/>
          <w:color w:val="auto"/>
          <w:sz w:val="24"/>
          <w:szCs w:val="24"/>
          <w:lang w:eastAsia="zh-CN"/>
        </w:rPr>
        <w:t>。当以上情况持续30天或以上时，</w:t>
      </w:r>
      <w:r>
        <w:rPr>
          <w:rFonts w:ascii="仿宋" w:hAnsi="仿宋" w:eastAsia="仿宋"/>
          <w:color w:val="auto"/>
          <w:sz w:val="24"/>
          <w:szCs w:val="24"/>
        </w:rPr>
        <w:t>甲方有权终止合同</w:t>
      </w:r>
      <w:r>
        <w:rPr>
          <w:rFonts w:ascii="仿宋" w:hAnsi="仿宋" w:eastAsia="仿宋"/>
          <w:color w:val="auto"/>
          <w:sz w:val="24"/>
          <w:szCs w:val="24"/>
          <w:lang w:eastAsia="zh-CN"/>
        </w:rPr>
        <w:t>，乙方必须将全部服务资料移交甲方，并在合同终止之日起10天内，配合甲方做好服务交接工作</w:t>
      </w:r>
      <w:r>
        <w:rPr>
          <w:rFonts w:ascii="仿宋" w:hAnsi="仿宋" w:eastAsia="仿宋"/>
          <w:color w:val="auto"/>
          <w:sz w:val="24"/>
          <w:szCs w:val="24"/>
        </w:rPr>
        <w:t>。</w:t>
      </w:r>
      <w:r>
        <w:rPr>
          <w:rFonts w:ascii="仿宋" w:hAnsi="仿宋" w:eastAsia="仿宋"/>
          <w:color w:val="auto"/>
          <w:sz w:val="24"/>
          <w:szCs w:val="24"/>
          <w:lang w:eastAsia="zh-CN"/>
        </w:rPr>
        <w:t>同时，</w:t>
      </w:r>
      <w:r>
        <w:rPr>
          <w:rFonts w:ascii="仿宋" w:hAnsi="仿宋" w:eastAsia="仿宋"/>
          <w:color w:val="auto"/>
          <w:sz w:val="24"/>
          <w:szCs w:val="24"/>
        </w:rPr>
        <w:t>甲方有权追回未完成合同项目的款项，并有权要求乙方支付合同总金额10%违约金，违约金不足以弥补损失的，乙方应予补足。</w:t>
      </w:r>
    </w:p>
    <w:p w14:paraId="37D1B10C">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rPr>
        <w:t>2.项目应在达到验收条件，并提交验收申请。如果</w:t>
      </w:r>
      <w:r>
        <w:rPr>
          <w:rFonts w:ascii="仿宋" w:hAnsi="仿宋" w:eastAsia="仿宋"/>
          <w:color w:val="auto"/>
          <w:sz w:val="24"/>
          <w:szCs w:val="24"/>
          <w:lang w:eastAsia="zh-CN"/>
        </w:rPr>
        <w:t>乙方</w:t>
      </w:r>
      <w:r>
        <w:rPr>
          <w:rFonts w:ascii="仿宋" w:hAnsi="仿宋" w:eastAsia="仿宋"/>
          <w:color w:val="auto"/>
          <w:sz w:val="24"/>
          <w:szCs w:val="24"/>
        </w:rPr>
        <w:t>未按招标文件约定日期交付服务</w:t>
      </w:r>
      <w:r>
        <w:rPr>
          <w:rFonts w:ascii="仿宋" w:hAnsi="仿宋" w:eastAsia="仿宋"/>
          <w:color w:val="auto"/>
          <w:sz w:val="24"/>
          <w:szCs w:val="24"/>
          <w:lang w:eastAsia="zh-CN"/>
        </w:rPr>
        <w:t>成果</w:t>
      </w:r>
      <w:r>
        <w:rPr>
          <w:rFonts w:ascii="仿宋" w:hAnsi="仿宋" w:eastAsia="仿宋"/>
          <w:color w:val="auto"/>
          <w:sz w:val="24"/>
          <w:szCs w:val="24"/>
        </w:rPr>
        <w:t>，视为逾期违约。逾期未启动或未提交验收申请，甲方有权每日按照合同总金额的万分之一</w:t>
      </w:r>
      <w:r>
        <w:rPr>
          <w:rFonts w:ascii="仿宋" w:hAnsi="仿宋" w:eastAsia="仿宋"/>
          <w:color w:val="auto"/>
          <w:sz w:val="24"/>
          <w:szCs w:val="24"/>
          <w:lang w:eastAsia="zh-CN"/>
        </w:rPr>
        <w:t>收取乙方</w:t>
      </w:r>
      <w:r>
        <w:rPr>
          <w:rFonts w:ascii="仿宋" w:hAnsi="仿宋" w:eastAsia="仿宋"/>
          <w:color w:val="auto"/>
          <w:sz w:val="24"/>
          <w:szCs w:val="24"/>
        </w:rPr>
        <w:t>违约金。当以上情况持续</w:t>
      </w:r>
      <w:r>
        <w:rPr>
          <w:rFonts w:ascii="仿宋" w:hAnsi="仿宋" w:eastAsia="仿宋"/>
          <w:color w:val="auto"/>
          <w:sz w:val="24"/>
          <w:szCs w:val="24"/>
          <w:lang w:eastAsia="zh-CN"/>
        </w:rPr>
        <w:t>3</w:t>
      </w:r>
      <w:r>
        <w:rPr>
          <w:rFonts w:ascii="仿宋" w:hAnsi="仿宋" w:eastAsia="仿宋"/>
          <w:color w:val="auto"/>
          <w:sz w:val="24"/>
          <w:szCs w:val="24"/>
        </w:rPr>
        <w:t>0天或以上时，甲方有权终止合同，乙方必须将全部服务资料移交甲方，并在合同终止之日起10天内，配合甲方做好服务交接工作，</w:t>
      </w:r>
      <w:r>
        <w:rPr>
          <w:rFonts w:ascii="仿宋" w:hAnsi="仿宋" w:eastAsia="仿宋"/>
          <w:color w:val="auto"/>
          <w:sz w:val="24"/>
          <w:szCs w:val="24"/>
          <w:lang w:eastAsia="zh-CN"/>
        </w:rPr>
        <w:t>同时，甲方有权要求乙方支付合同总金额10%违约金，违约金不足以弥补损失的，乙方应予补足。</w:t>
      </w:r>
    </w:p>
    <w:p w14:paraId="41B2954D">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.任何一方若违反本合同其他约定，致使本合同无法履行，违约方应向守约方赔偿实际损失。</w:t>
      </w:r>
    </w:p>
    <w:p w14:paraId="7E0EDA11">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.如因乙方工作人员在履行职务过程中</w:t>
      </w:r>
      <w:r>
        <w:rPr>
          <w:rFonts w:ascii="仿宋" w:hAnsi="仿宋" w:eastAsia="仿宋"/>
          <w:color w:val="auto"/>
          <w:sz w:val="24"/>
          <w:szCs w:val="24"/>
          <w:lang w:eastAsia="zh-CN"/>
        </w:rPr>
        <w:t>的</w:t>
      </w:r>
      <w:r>
        <w:rPr>
          <w:rFonts w:ascii="仿宋" w:hAnsi="仿宋" w:eastAsia="仿宋"/>
          <w:color w:val="auto"/>
          <w:sz w:val="24"/>
          <w:szCs w:val="24"/>
        </w:rPr>
        <w:t>疏忽、失职、过错等故意或者过失原因给甲方造成损失或侵害，包括但不限于对甲方造成财产损失、由此而导致的甲方对任何第三方的法律责任等，乙方对此均应承担全部的赔偿责任并负责妥善处理。</w:t>
      </w:r>
    </w:p>
    <w:p w14:paraId="4BB4C0BD">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5.因乙方行为违反法律规定产生引起的民事和刑事责任由乙方承担；</w:t>
      </w:r>
    </w:p>
    <w:p w14:paraId="38038F28">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6.乙方违反保密规定，全部责任由乙方承担，并需赔偿甲方由此引起的损失。</w:t>
      </w:r>
    </w:p>
    <w:p w14:paraId="3DDA0AAA">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7.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06207CF6">
      <w:pPr>
        <w:pStyle w:val="11"/>
        <w:snapToGrid w:val="0"/>
        <w:spacing w:before="120" w:beforeLines="50" w:after="120" w:afterLines="50"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8</w:t>
      </w:r>
      <w:r>
        <w:rPr>
          <w:rFonts w:ascii="仿宋" w:hAnsi="仿宋" w:eastAsia="仿宋"/>
          <w:color w:val="auto"/>
          <w:sz w:val="24"/>
          <w:szCs w:val="24"/>
        </w:rPr>
        <w:t>.本合同约定的损失，包括但不限于直接或间接的经济损失、律师费、诉讼费、保全费、鉴定费等损失。</w:t>
      </w:r>
    </w:p>
    <w:p w14:paraId="7D16019B">
      <w:pPr>
        <w:pStyle w:val="11"/>
        <w:snapToGrid w:val="0"/>
        <w:spacing w:before="120" w:beforeLines="50" w:after="120" w:afterLines="50"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9</w:t>
      </w:r>
      <w:r>
        <w:rPr>
          <w:rFonts w:ascii="仿宋" w:hAnsi="仿宋" w:eastAsia="仿宋"/>
          <w:color w:val="auto"/>
          <w:sz w:val="24"/>
          <w:szCs w:val="24"/>
        </w:rPr>
        <w:t>.本合同约定的违约情形独立存在，可叠加适用。乙方按照合同约定应当向甲方支付的违约金，乙方同意甲方从应付未付款中直接予以扣除。</w:t>
      </w:r>
    </w:p>
    <w:p w14:paraId="639448A9">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十三</w:t>
      </w:r>
      <w:r>
        <w:rPr>
          <w:rFonts w:ascii="仿宋" w:hAnsi="仿宋" w:eastAsia="仿宋"/>
          <w:color w:val="auto"/>
          <w:sz w:val="24"/>
          <w:szCs w:val="24"/>
        </w:rPr>
        <w:t>、知识产权</w:t>
      </w:r>
    </w:p>
    <w:p w14:paraId="527D252F">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运维服务项目知识产权要求提供服务过程中不侵犯第三方的知识产权，同 时保护服务本身所涉及的技术和成果的知识产权。基础设施运维服务项目的知 识产权要求包含但不仅限于以下内容：</w:t>
      </w:r>
    </w:p>
    <w:p w14:paraId="5BAF58B7">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1.乙方的责任：乙方应保证所提供的服务或其任何一部分均不会侵犯任何第三方的专利权、商标权或著作权或其他知识产权、商业秘密等权利。若发生侵权，乙方应负责解决纠纷并赔偿甲方因此遭受的全部损失。</w:t>
      </w:r>
    </w:p>
    <w:p w14:paraId="6A94BC8D">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知识产权的归属：乙方为履行协议所形成的资料、数据、运维结果等成 果及其他任何附加成果的知识产权、所有权和使用权均属甲方所有，乙方负有保密义务。</w:t>
      </w:r>
    </w:p>
    <w:p w14:paraId="7F0686D7">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无产权瑕疵条款：乙方应保证所提供的服务的所有权和知识产权完全属 于被服务方且无任何抵押、查封等产权瑕疵。如有产权瑕疵，视为服务方违约，并应负担由此产生的一切损失。</w:t>
      </w:r>
    </w:p>
    <w:p w14:paraId="76DFB8DF">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安全与保密：乙方应确保在提供服务过程中保护甲方的数据和文档，不得未经授权访问、修改、披露、利用、转移、转让、销毁甲方的数据。服务终止时，乙方应按甲方要求做好数据、文档等资源的移交和清除工作。</w:t>
      </w:r>
    </w:p>
    <w:p w14:paraId="506EFD8E">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数据与系统的保密性：乙方在甲方指定场所工作期间，需遵守甲方制定的保密管理要求，保密义务在协议终止后依然有效。</w:t>
      </w:r>
    </w:p>
    <w:p w14:paraId="5C2677EB">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十四、保密要求</w:t>
      </w:r>
    </w:p>
    <w:p w14:paraId="10E6CD4B">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保密内容为本项目相关以及本项目产生的信息，包含但不仅限于技术文 档、测试代码、测试数据等：</w:t>
      </w:r>
    </w:p>
    <w:p w14:paraId="0AECC7B7">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1.安全等级保护：平台需要满足国家信息安全等级保护 3.0 国家标准的安全要求，符合《信息系统密码应用基本要求》的安全规范。</w:t>
      </w:r>
    </w:p>
    <w:p w14:paraId="47EC6D16">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2.数据安全：乙方负责建立健全安全保护工作制度，提供安全可信的产品 和服务，保障平台的安全稳定运行，对数据制定详细的备份和恢复策略，数据 传输过程进行加密，监测数据传输的流程，保障数据可溯源、可检索。</w:t>
      </w:r>
    </w:p>
    <w:p w14:paraId="6D996EEE">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3.安全责任划分：平台安全管理遵循“谁服务谁负责，谁运营谁负责，谁管 理谁负责，谁使用谁负责”的原则。甲方和乙方应明确各自的安全责任边界，并承担相应的安全管理职责。采购人应制定安全保障制度，平台使用方保障自身建设系统的安全，包括密码安全性评估、安全等级保护测试、软件测试等，平台的基础环境安全由乙方保障，包括数据库、操作系统、VPN等。</w:t>
      </w:r>
    </w:p>
    <w:p w14:paraId="76AAC7DD">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4.保密与所有权：乙方应保证对甲方提供的数据、设备等资源保密管理，对项目产生的档案进行安全保管，未经授权不得访问、修改、披露、利用、转移、转让、销毁甲方的数据。服务终止时，应按甲方要求做好数据、文档等资源的移交和清除工作。</w:t>
      </w:r>
    </w:p>
    <w:p w14:paraId="65806523">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5.乙方与甲方签署合同时，应与甲方签署保密协议,乙方服务人员应签署保密承诺书。</w:t>
      </w:r>
    </w:p>
    <w:p w14:paraId="56E7E6B4">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6.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6226EBEB">
      <w:pPr>
        <w:pStyle w:val="11"/>
        <w:snapToGrid w:val="0"/>
        <w:spacing w:before="120" w:beforeLines="50" w:after="120" w:afterLines="50"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7.乙方应采取有效措施对甲方提供的资料和数据实施合乎规定（该类规定包括但不限于相关的保密法律法规、规定、通知等）的保密处理措施，并对此负责。</w:t>
      </w:r>
    </w:p>
    <w:p w14:paraId="7AA8D8D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十五、不可抗力</w:t>
      </w:r>
    </w:p>
    <w:p w14:paraId="3234801D">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1.如果双方中任何一方遭遇法律规定的不可抗力，致使合同履行受阻时，履行合同的期限应予延长，延长的期限应由双方协商确定后达成书面协议；</w:t>
      </w:r>
    </w:p>
    <w:p w14:paraId="0D71F5BD">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2.受事故影响的一方应在不可抗力的事故发生后尽快以书面形式通知另一方，并在事故发生后5天内，将有关部门出具的证明文件送达另一方；</w:t>
      </w:r>
    </w:p>
    <w:p w14:paraId="7C6C1918">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02D0AA1F">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十六</w:t>
      </w:r>
      <w:r>
        <w:rPr>
          <w:rFonts w:ascii="仿宋" w:hAnsi="仿宋" w:eastAsia="仿宋"/>
          <w:color w:val="auto"/>
          <w:sz w:val="24"/>
          <w:szCs w:val="24"/>
        </w:rPr>
        <w:t>、解决</w:t>
      </w:r>
      <w:r>
        <w:rPr>
          <w:rFonts w:ascii="仿宋" w:hAnsi="仿宋" w:eastAsia="仿宋"/>
          <w:color w:val="auto"/>
          <w:sz w:val="24"/>
          <w:szCs w:val="24"/>
          <w:lang w:eastAsia="zh-CN"/>
        </w:rPr>
        <w:t>合同</w:t>
      </w:r>
      <w:r>
        <w:rPr>
          <w:rFonts w:ascii="仿宋" w:hAnsi="仿宋" w:eastAsia="仿宋"/>
          <w:color w:val="auto"/>
          <w:sz w:val="24"/>
          <w:szCs w:val="24"/>
        </w:rPr>
        <w:t>纠纷的方式</w:t>
      </w:r>
    </w:p>
    <w:p w14:paraId="1D64190B">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1.在执行本</w:t>
      </w:r>
      <w:r>
        <w:rPr>
          <w:rFonts w:ascii="仿宋" w:hAnsi="仿宋" w:eastAsia="仿宋"/>
          <w:color w:val="auto"/>
          <w:sz w:val="24"/>
          <w:szCs w:val="24"/>
          <w:lang w:eastAsia="zh-CN"/>
        </w:rPr>
        <w:t>合同</w:t>
      </w:r>
      <w:r>
        <w:rPr>
          <w:rFonts w:ascii="仿宋" w:hAnsi="仿宋" w:eastAsia="仿宋"/>
          <w:color w:val="auto"/>
          <w:sz w:val="24"/>
          <w:szCs w:val="24"/>
        </w:rPr>
        <w:t>中发生的或与本</w:t>
      </w:r>
      <w:r>
        <w:rPr>
          <w:rFonts w:ascii="仿宋" w:hAnsi="仿宋" w:eastAsia="仿宋"/>
          <w:color w:val="auto"/>
          <w:sz w:val="24"/>
          <w:szCs w:val="24"/>
          <w:lang w:eastAsia="zh-CN"/>
        </w:rPr>
        <w:t>合同</w:t>
      </w:r>
      <w:r>
        <w:rPr>
          <w:rFonts w:ascii="仿宋" w:hAnsi="仿宋" w:eastAsia="仿宋"/>
          <w:color w:val="auto"/>
          <w:sz w:val="24"/>
          <w:szCs w:val="24"/>
        </w:rPr>
        <w:t>有关的争端，双方应通过友好协商解决，协商不成，则采取以下第1种方式解决争议：</w:t>
      </w:r>
    </w:p>
    <w:p w14:paraId="2F49B28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（1）向甲方所在地有管辖权的人民法院提起诉讼；</w:t>
      </w:r>
    </w:p>
    <w:p w14:paraId="254939C8">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（2）向陕西仲裁委员会按其仲裁规则申请仲裁。</w:t>
      </w:r>
    </w:p>
    <w:p w14:paraId="0FA856AA">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2.在诉讼仲裁期间，本</w:t>
      </w:r>
      <w:r>
        <w:rPr>
          <w:rFonts w:ascii="仿宋" w:hAnsi="仿宋" w:eastAsia="仿宋"/>
          <w:color w:val="auto"/>
          <w:sz w:val="24"/>
          <w:szCs w:val="24"/>
          <w:lang w:eastAsia="zh-CN"/>
        </w:rPr>
        <w:t>合同</w:t>
      </w:r>
      <w:r>
        <w:rPr>
          <w:rFonts w:ascii="仿宋" w:hAnsi="仿宋" w:eastAsia="仿宋"/>
          <w:color w:val="auto"/>
          <w:sz w:val="24"/>
          <w:szCs w:val="24"/>
        </w:rPr>
        <w:t>应继续履行。</w:t>
      </w:r>
    </w:p>
    <w:p w14:paraId="18C231FE">
      <w:pPr>
        <w:pStyle w:val="11"/>
        <w:spacing w:line="338" w:lineRule="auto"/>
        <w:ind w:left="479" w:leftChars="228"/>
        <w:rPr>
          <w:rFonts w:ascii="仿宋" w:hAnsi="仿宋" w:eastAsia="仿宋"/>
          <w:color w:val="auto"/>
          <w:sz w:val="24"/>
          <w:szCs w:val="24"/>
        </w:rPr>
      </w:pPr>
      <w:r>
        <w:rPr>
          <w:rFonts w:ascii="仿宋" w:hAnsi="仿宋" w:eastAsia="仿宋"/>
          <w:color w:val="auto"/>
          <w:sz w:val="24"/>
          <w:szCs w:val="24"/>
        </w:rPr>
        <w:t>十</w:t>
      </w:r>
      <w:r>
        <w:rPr>
          <w:rFonts w:ascii="仿宋" w:hAnsi="仿宋" w:eastAsia="仿宋"/>
          <w:color w:val="auto"/>
          <w:sz w:val="24"/>
          <w:szCs w:val="24"/>
          <w:lang w:eastAsia="zh-CN"/>
        </w:rPr>
        <w:t>七</w:t>
      </w:r>
      <w:r>
        <w:rPr>
          <w:rFonts w:ascii="仿宋" w:hAnsi="仿宋" w:eastAsia="仿宋"/>
          <w:color w:val="auto"/>
          <w:sz w:val="24"/>
          <w:szCs w:val="24"/>
        </w:rPr>
        <w:t>、</w:t>
      </w:r>
      <w:r>
        <w:rPr>
          <w:rFonts w:ascii="仿宋" w:hAnsi="仿宋" w:eastAsia="仿宋"/>
          <w:color w:val="auto"/>
          <w:sz w:val="24"/>
          <w:szCs w:val="24"/>
          <w:lang w:eastAsia="zh-CN"/>
        </w:rPr>
        <w:t>合同</w:t>
      </w:r>
      <w:r>
        <w:rPr>
          <w:rFonts w:ascii="仿宋" w:hAnsi="仿宋" w:eastAsia="仿宋"/>
          <w:color w:val="auto"/>
          <w:sz w:val="24"/>
          <w:szCs w:val="24"/>
        </w:rPr>
        <w:t>生效及其他</w:t>
      </w:r>
    </w:p>
    <w:p w14:paraId="12EEB714">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1.本</w:t>
      </w:r>
      <w:r>
        <w:rPr>
          <w:rFonts w:ascii="仿宋" w:hAnsi="仿宋" w:eastAsia="仿宋"/>
          <w:color w:val="auto"/>
          <w:sz w:val="24"/>
          <w:szCs w:val="24"/>
          <w:lang w:eastAsia="zh-CN"/>
        </w:rPr>
        <w:t>合同</w:t>
      </w:r>
      <w:r>
        <w:rPr>
          <w:rFonts w:ascii="仿宋" w:hAnsi="仿宋" w:eastAsia="仿宋"/>
          <w:color w:val="auto"/>
          <w:sz w:val="24"/>
          <w:szCs w:val="24"/>
        </w:rPr>
        <w:t>经双方法定代表人或授权代表签字或签章，并加盖双方公章后生效，一式</w:t>
      </w:r>
      <w:r>
        <w:rPr>
          <w:rFonts w:ascii="仿宋" w:hAnsi="仿宋" w:eastAsia="仿宋"/>
          <w:color w:val="auto"/>
          <w:sz w:val="24"/>
          <w:szCs w:val="24"/>
          <w:u w:val="single"/>
        </w:rPr>
        <w:t xml:space="preserve"> </w:t>
      </w:r>
      <w:r>
        <w:rPr>
          <w:rFonts w:ascii="仿宋" w:hAnsi="仿宋" w:eastAsia="仿宋"/>
          <w:color w:val="auto"/>
          <w:sz w:val="24"/>
          <w:szCs w:val="24"/>
          <w:u w:val="single"/>
          <w:lang w:eastAsia="zh-CN"/>
        </w:rPr>
        <w:t xml:space="preserve">    </w:t>
      </w:r>
      <w:r>
        <w:rPr>
          <w:rFonts w:ascii="仿宋" w:hAnsi="仿宋" w:eastAsia="仿宋"/>
          <w:color w:val="auto"/>
          <w:sz w:val="24"/>
          <w:szCs w:val="24"/>
          <w:u w:val="single"/>
        </w:rPr>
        <w:t xml:space="preserve"> </w:t>
      </w:r>
      <w:r>
        <w:rPr>
          <w:rFonts w:ascii="仿宋" w:hAnsi="仿宋" w:eastAsia="仿宋"/>
          <w:color w:val="auto"/>
          <w:sz w:val="24"/>
          <w:szCs w:val="24"/>
        </w:rPr>
        <w:t>份，甲方执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份，乙方执</w:t>
      </w:r>
      <w:r>
        <w:rPr>
          <w:rFonts w:ascii="仿宋" w:hAnsi="仿宋" w:eastAsia="仿宋"/>
          <w:color w:val="auto"/>
          <w:sz w:val="24"/>
          <w:szCs w:val="24"/>
          <w:u w:val="single"/>
          <w:lang w:eastAsia="zh-CN"/>
        </w:rPr>
        <w:t xml:space="preserve">      </w:t>
      </w:r>
      <w:r>
        <w:rPr>
          <w:rFonts w:ascii="仿宋" w:hAnsi="仿宋" w:eastAsia="仿宋"/>
          <w:color w:val="auto"/>
          <w:sz w:val="24"/>
          <w:szCs w:val="24"/>
        </w:rPr>
        <w:t>份，对双方均具有同等法律效力。</w:t>
      </w:r>
    </w:p>
    <w:p w14:paraId="2084B9E7">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2.</w:t>
      </w:r>
      <w:r>
        <w:rPr>
          <w:rFonts w:ascii="仿宋" w:hAnsi="仿宋" w:eastAsia="仿宋"/>
          <w:color w:val="auto"/>
          <w:sz w:val="24"/>
          <w:szCs w:val="24"/>
        </w:rPr>
        <w:t>本</w:t>
      </w:r>
      <w:r>
        <w:rPr>
          <w:rFonts w:ascii="仿宋" w:hAnsi="仿宋" w:eastAsia="仿宋"/>
          <w:color w:val="auto"/>
          <w:sz w:val="24"/>
          <w:szCs w:val="24"/>
          <w:lang w:eastAsia="zh-CN"/>
        </w:rPr>
        <w:t>合同</w:t>
      </w:r>
      <w:r>
        <w:rPr>
          <w:rFonts w:ascii="仿宋" w:hAnsi="仿宋" w:eastAsia="仿宋"/>
          <w:color w:val="auto"/>
          <w:sz w:val="24"/>
          <w:szCs w:val="24"/>
        </w:rPr>
        <w:t>附件、项目</w:t>
      </w:r>
      <w:r>
        <w:rPr>
          <w:rFonts w:ascii="仿宋" w:hAnsi="仿宋" w:eastAsia="仿宋"/>
          <w:color w:val="auto"/>
          <w:sz w:val="24"/>
          <w:szCs w:val="24"/>
          <w:lang w:eastAsia="zh-CN"/>
        </w:rPr>
        <w:t>招标</w:t>
      </w:r>
      <w:r>
        <w:rPr>
          <w:rFonts w:ascii="仿宋" w:hAnsi="仿宋" w:eastAsia="仿宋"/>
          <w:color w:val="auto"/>
          <w:sz w:val="24"/>
          <w:szCs w:val="24"/>
        </w:rPr>
        <w:t>文件、乙方对本项目的投标文件为本</w:t>
      </w:r>
      <w:r>
        <w:rPr>
          <w:rFonts w:ascii="仿宋" w:hAnsi="仿宋" w:eastAsia="仿宋"/>
          <w:color w:val="auto"/>
          <w:sz w:val="24"/>
          <w:szCs w:val="24"/>
          <w:lang w:eastAsia="zh-CN"/>
        </w:rPr>
        <w:t>合同</w:t>
      </w:r>
      <w:r>
        <w:rPr>
          <w:rFonts w:ascii="仿宋" w:hAnsi="仿宋" w:eastAsia="仿宋"/>
          <w:color w:val="auto"/>
          <w:sz w:val="24"/>
          <w:szCs w:val="24"/>
        </w:rPr>
        <w:t>的组成部分，具有与本</w:t>
      </w:r>
      <w:r>
        <w:rPr>
          <w:rFonts w:ascii="仿宋" w:hAnsi="仿宋" w:eastAsia="仿宋"/>
          <w:color w:val="auto"/>
          <w:sz w:val="24"/>
          <w:szCs w:val="24"/>
          <w:lang w:eastAsia="zh-CN"/>
        </w:rPr>
        <w:t>合同</w:t>
      </w:r>
      <w:r>
        <w:rPr>
          <w:rFonts w:ascii="仿宋" w:hAnsi="仿宋" w:eastAsia="仿宋"/>
          <w:color w:val="auto"/>
          <w:sz w:val="24"/>
          <w:szCs w:val="24"/>
        </w:rPr>
        <w:t>同等的法律效力；当以上文件出现不一致的情况时，解读顺序为本</w:t>
      </w:r>
      <w:r>
        <w:rPr>
          <w:rFonts w:ascii="仿宋" w:hAnsi="仿宋" w:eastAsia="仿宋"/>
          <w:color w:val="auto"/>
          <w:sz w:val="24"/>
          <w:szCs w:val="24"/>
          <w:lang w:eastAsia="zh-CN"/>
        </w:rPr>
        <w:t>合同</w:t>
      </w:r>
      <w:r>
        <w:rPr>
          <w:rFonts w:ascii="仿宋" w:hAnsi="仿宋" w:eastAsia="仿宋"/>
          <w:color w:val="auto"/>
          <w:sz w:val="24"/>
          <w:szCs w:val="24"/>
        </w:rPr>
        <w:t>、</w:t>
      </w:r>
      <w:r>
        <w:rPr>
          <w:rFonts w:ascii="仿宋" w:hAnsi="仿宋" w:eastAsia="仿宋"/>
          <w:color w:val="auto"/>
          <w:sz w:val="24"/>
          <w:szCs w:val="24"/>
          <w:lang w:eastAsia="zh-CN"/>
        </w:rPr>
        <w:t>招标</w:t>
      </w:r>
      <w:r>
        <w:rPr>
          <w:rFonts w:ascii="仿宋" w:hAnsi="仿宋" w:eastAsia="仿宋"/>
          <w:color w:val="auto"/>
          <w:sz w:val="24"/>
          <w:szCs w:val="24"/>
        </w:rPr>
        <w:t>文件、投标文件</w:t>
      </w:r>
      <w:r>
        <w:rPr>
          <w:rFonts w:ascii="仿宋" w:hAnsi="仿宋" w:eastAsia="仿宋"/>
          <w:color w:val="auto"/>
          <w:sz w:val="24"/>
          <w:szCs w:val="24"/>
          <w:lang w:eastAsia="zh-CN"/>
        </w:rPr>
        <w:t>。</w:t>
      </w:r>
    </w:p>
    <w:p w14:paraId="7F88AF20">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3.</w:t>
      </w:r>
      <w:r>
        <w:rPr>
          <w:rFonts w:ascii="仿宋" w:hAnsi="仿宋" w:eastAsia="仿宋"/>
          <w:color w:val="auto"/>
          <w:sz w:val="24"/>
          <w:szCs w:val="24"/>
        </w:rPr>
        <w:t>本</w:t>
      </w:r>
      <w:r>
        <w:rPr>
          <w:rFonts w:ascii="仿宋" w:hAnsi="仿宋" w:eastAsia="仿宋"/>
          <w:color w:val="auto"/>
          <w:sz w:val="24"/>
          <w:szCs w:val="24"/>
          <w:lang w:eastAsia="zh-CN"/>
        </w:rPr>
        <w:t>合同</w:t>
      </w:r>
      <w:r>
        <w:rPr>
          <w:rFonts w:ascii="仿宋" w:hAnsi="仿宋" w:eastAsia="仿宋"/>
          <w:color w:val="auto"/>
          <w:sz w:val="24"/>
          <w:szCs w:val="24"/>
        </w:rPr>
        <w:t>未尽事宜，由</w:t>
      </w:r>
      <w:r>
        <w:rPr>
          <w:rFonts w:ascii="仿宋" w:hAnsi="仿宋" w:eastAsia="仿宋"/>
          <w:color w:val="auto"/>
          <w:sz w:val="24"/>
          <w:szCs w:val="24"/>
          <w:lang w:eastAsia="zh-CN"/>
        </w:rPr>
        <w:t>合同</w:t>
      </w:r>
      <w:r>
        <w:rPr>
          <w:rFonts w:ascii="仿宋" w:hAnsi="仿宋" w:eastAsia="仿宋"/>
          <w:color w:val="auto"/>
          <w:sz w:val="24"/>
          <w:szCs w:val="24"/>
        </w:rPr>
        <w:t>双方协商另行签订补充</w:t>
      </w:r>
      <w:r>
        <w:rPr>
          <w:rFonts w:ascii="仿宋" w:hAnsi="仿宋" w:eastAsia="仿宋"/>
          <w:color w:val="auto"/>
          <w:sz w:val="24"/>
          <w:szCs w:val="24"/>
          <w:lang w:eastAsia="zh-CN"/>
        </w:rPr>
        <w:t>合同</w:t>
      </w:r>
      <w:r>
        <w:rPr>
          <w:rFonts w:ascii="仿宋" w:hAnsi="仿宋" w:eastAsia="仿宋"/>
          <w:color w:val="auto"/>
          <w:sz w:val="24"/>
          <w:szCs w:val="24"/>
        </w:rPr>
        <w:t>，补充</w:t>
      </w:r>
      <w:r>
        <w:rPr>
          <w:rFonts w:ascii="仿宋" w:hAnsi="仿宋" w:eastAsia="仿宋"/>
          <w:color w:val="auto"/>
          <w:sz w:val="24"/>
          <w:szCs w:val="24"/>
          <w:lang w:eastAsia="zh-CN"/>
        </w:rPr>
        <w:t>合同</w:t>
      </w:r>
      <w:r>
        <w:rPr>
          <w:rFonts w:ascii="仿宋" w:hAnsi="仿宋" w:eastAsia="仿宋"/>
          <w:color w:val="auto"/>
          <w:sz w:val="24"/>
          <w:szCs w:val="24"/>
        </w:rPr>
        <w:t>与本</w:t>
      </w:r>
      <w:r>
        <w:rPr>
          <w:rFonts w:ascii="仿宋" w:hAnsi="仿宋" w:eastAsia="仿宋"/>
          <w:color w:val="auto"/>
          <w:sz w:val="24"/>
          <w:szCs w:val="24"/>
          <w:lang w:eastAsia="zh-CN"/>
        </w:rPr>
        <w:t>合同</w:t>
      </w:r>
      <w:r>
        <w:rPr>
          <w:rFonts w:ascii="仿宋" w:hAnsi="仿宋" w:eastAsia="仿宋"/>
          <w:color w:val="auto"/>
          <w:sz w:val="24"/>
          <w:szCs w:val="24"/>
        </w:rPr>
        <w:t>具有同等法律效力。</w:t>
      </w:r>
    </w:p>
    <w:p w14:paraId="56EF1FA1">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lang w:eastAsia="zh-CN"/>
        </w:rPr>
        <w:t>4</w:t>
      </w:r>
      <w:r>
        <w:rPr>
          <w:rFonts w:ascii="仿宋" w:hAnsi="仿宋" w:eastAsia="仿宋"/>
          <w:color w:val="auto"/>
          <w:sz w:val="24"/>
          <w:szCs w:val="24"/>
        </w:rPr>
        <w:t>.除本</w:t>
      </w:r>
      <w:r>
        <w:rPr>
          <w:rFonts w:ascii="仿宋" w:hAnsi="仿宋" w:eastAsia="仿宋"/>
          <w:color w:val="auto"/>
          <w:sz w:val="24"/>
          <w:szCs w:val="24"/>
          <w:lang w:eastAsia="zh-CN"/>
        </w:rPr>
        <w:t>合同</w:t>
      </w:r>
      <w:r>
        <w:rPr>
          <w:rFonts w:ascii="仿宋" w:hAnsi="仿宋" w:eastAsia="仿宋"/>
          <w:color w:val="auto"/>
          <w:sz w:val="24"/>
          <w:szCs w:val="24"/>
        </w:rPr>
        <w:t>另有约定外，本</w:t>
      </w:r>
      <w:r>
        <w:rPr>
          <w:rFonts w:ascii="仿宋" w:hAnsi="仿宋" w:eastAsia="仿宋"/>
          <w:color w:val="auto"/>
          <w:sz w:val="24"/>
          <w:szCs w:val="24"/>
          <w:lang w:eastAsia="zh-CN"/>
        </w:rPr>
        <w:t>合同</w:t>
      </w:r>
      <w:r>
        <w:rPr>
          <w:rFonts w:ascii="仿宋" w:hAnsi="仿宋" w:eastAsia="仿宋"/>
          <w:color w:val="auto"/>
          <w:sz w:val="24"/>
          <w:szCs w:val="24"/>
        </w:rPr>
        <w:t>一经签订，任何一方不得单方变更或解除。</w:t>
      </w:r>
      <w:r>
        <w:rPr>
          <w:rFonts w:ascii="仿宋" w:hAnsi="仿宋" w:eastAsia="仿宋"/>
          <w:color w:val="auto"/>
          <w:sz w:val="24"/>
          <w:szCs w:val="24"/>
          <w:lang w:eastAsia="zh-CN"/>
        </w:rPr>
        <w:t>合同</w:t>
      </w:r>
      <w:r>
        <w:rPr>
          <w:rFonts w:ascii="仿宋" w:hAnsi="仿宋" w:eastAsia="仿宋"/>
          <w:color w:val="auto"/>
          <w:sz w:val="24"/>
          <w:szCs w:val="24"/>
        </w:rPr>
        <w:t>变更或解除须经双方协商一致并书面确认后作为</w:t>
      </w:r>
      <w:r>
        <w:rPr>
          <w:rFonts w:ascii="仿宋" w:hAnsi="仿宋" w:eastAsia="仿宋"/>
          <w:color w:val="auto"/>
          <w:sz w:val="24"/>
          <w:szCs w:val="24"/>
          <w:lang w:eastAsia="zh-CN"/>
        </w:rPr>
        <w:t>合同</w:t>
      </w:r>
      <w:r>
        <w:rPr>
          <w:rFonts w:ascii="仿宋" w:hAnsi="仿宋" w:eastAsia="仿宋"/>
          <w:color w:val="auto"/>
          <w:sz w:val="24"/>
          <w:szCs w:val="24"/>
        </w:rPr>
        <w:t>附件，与本</w:t>
      </w:r>
      <w:r>
        <w:rPr>
          <w:rFonts w:ascii="仿宋" w:hAnsi="仿宋" w:eastAsia="仿宋"/>
          <w:color w:val="auto"/>
          <w:sz w:val="24"/>
          <w:szCs w:val="24"/>
          <w:lang w:eastAsia="zh-CN"/>
        </w:rPr>
        <w:t>合同</w:t>
      </w:r>
      <w:r>
        <w:rPr>
          <w:rFonts w:ascii="仿宋" w:hAnsi="仿宋" w:eastAsia="仿宋"/>
          <w:color w:val="auto"/>
          <w:sz w:val="24"/>
          <w:szCs w:val="24"/>
        </w:rPr>
        <w:t>具有同等法律效力。</w:t>
      </w:r>
    </w:p>
    <w:p w14:paraId="50787EFE">
      <w:pPr>
        <w:pStyle w:val="11"/>
        <w:spacing w:line="338" w:lineRule="auto"/>
        <w:ind w:firstLine="960"/>
        <w:rPr>
          <w:rFonts w:ascii="仿宋" w:hAnsi="仿宋" w:eastAsia="仿宋"/>
          <w:color w:val="auto"/>
          <w:sz w:val="24"/>
          <w:szCs w:val="24"/>
        </w:rPr>
      </w:pPr>
    </w:p>
    <w:p w14:paraId="7573D9BD">
      <w:pPr>
        <w:pStyle w:val="11"/>
        <w:spacing w:line="338" w:lineRule="auto"/>
        <w:ind w:firstLine="960"/>
        <w:rPr>
          <w:rFonts w:ascii="仿宋" w:hAnsi="仿宋" w:eastAsia="仿宋"/>
          <w:color w:val="auto"/>
          <w:sz w:val="24"/>
          <w:szCs w:val="24"/>
        </w:rPr>
      </w:pPr>
      <w:r>
        <w:rPr>
          <w:rFonts w:ascii="仿宋" w:hAnsi="仿宋" w:eastAsia="仿宋"/>
          <w:color w:val="auto"/>
          <w:sz w:val="24"/>
          <w:szCs w:val="24"/>
        </w:rPr>
        <w:t>（以下无正文为签署页）</w:t>
      </w:r>
    </w:p>
    <w:p w14:paraId="30D9FD60">
      <w:pPr>
        <w:pStyle w:val="11"/>
        <w:spacing w:line="338" w:lineRule="auto"/>
        <w:ind w:firstLine="960"/>
        <w:rPr>
          <w:rFonts w:ascii="仿宋" w:hAnsi="仿宋" w:eastAsia="仿宋"/>
          <w:color w:val="auto"/>
          <w:sz w:val="24"/>
          <w:szCs w:val="24"/>
        </w:rPr>
      </w:pPr>
      <w:bookmarkStart w:id="0" w:name="_GoBack"/>
      <w:bookmarkEnd w:id="0"/>
    </w:p>
    <w:p w14:paraId="5CC5AC6E">
      <w:pPr>
        <w:pStyle w:val="11"/>
        <w:spacing w:line="338" w:lineRule="auto"/>
        <w:rPr>
          <w:rFonts w:ascii="仿宋" w:hAnsi="仿宋" w:eastAsia="仿宋"/>
          <w:color w:val="auto"/>
          <w:sz w:val="24"/>
          <w:szCs w:val="24"/>
        </w:rPr>
      </w:pPr>
    </w:p>
    <w:p w14:paraId="1145E54E">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rPr>
        <w:t>甲方：</w:t>
      </w:r>
      <w:r>
        <w:rPr>
          <w:rFonts w:ascii="仿宋" w:hAnsi="仿宋" w:eastAsia="仿宋"/>
          <w:color w:val="auto"/>
          <w:sz w:val="24"/>
          <w:szCs w:val="24"/>
          <w:lang w:eastAsia="zh-CN"/>
        </w:rPr>
        <w:t>陕西省数据和政务服务中心</w:t>
      </w:r>
    </w:p>
    <w:p w14:paraId="2183FCD3">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法定代表人或授权代表（签章）：</w:t>
      </w:r>
    </w:p>
    <w:p w14:paraId="3D94C939">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签约日期：</w:t>
      </w:r>
    </w:p>
    <w:p w14:paraId="5D1790DB">
      <w:pPr>
        <w:pStyle w:val="11"/>
        <w:spacing w:line="338" w:lineRule="auto"/>
        <w:rPr>
          <w:rFonts w:ascii="仿宋" w:hAnsi="仿宋" w:eastAsia="仿宋"/>
          <w:color w:val="auto"/>
          <w:sz w:val="24"/>
          <w:szCs w:val="24"/>
          <w:lang w:eastAsia="zh-CN"/>
        </w:rPr>
      </w:pPr>
    </w:p>
    <w:p w14:paraId="34E1D1A1">
      <w:pPr>
        <w:pStyle w:val="11"/>
        <w:spacing w:line="338" w:lineRule="auto"/>
        <w:ind w:firstLine="960"/>
        <w:rPr>
          <w:rFonts w:ascii="仿宋" w:hAnsi="仿宋" w:eastAsia="仿宋"/>
          <w:color w:val="auto"/>
          <w:sz w:val="24"/>
          <w:szCs w:val="24"/>
        </w:rPr>
      </w:pPr>
    </w:p>
    <w:p w14:paraId="49A2D9F2">
      <w:pPr>
        <w:pStyle w:val="11"/>
        <w:spacing w:line="338" w:lineRule="auto"/>
        <w:ind w:firstLine="480" w:firstLineChars="200"/>
        <w:rPr>
          <w:rFonts w:ascii="仿宋" w:hAnsi="仿宋" w:eastAsia="仿宋"/>
          <w:color w:val="auto"/>
          <w:sz w:val="24"/>
          <w:szCs w:val="24"/>
          <w:lang w:eastAsia="zh-CN"/>
        </w:rPr>
      </w:pPr>
      <w:r>
        <w:rPr>
          <w:rFonts w:ascii="仿宋" w:hAnsi="仿宋" w:eastAsia="仿宋"/>
          <w:color w:val="auto"/>
          <w:sz w:val="24"/>
          <w:szCs w:val="24"/>
          <w:lang w:eastAsia="zh-CN"/>
        </w:rPr>
        <w:t>乙方：</w:t>
      </w:r>
    </w:p>
    <w:p w14:paraId="1DC42F9E">
      <w:pPr>
        <w:pStyle w:val="11"/>
        <w:spacing w:line="338" w:lineRule="auto"/>
        <w:ind w:firstLine="480" w:firstLineChars="200"/>
        <w:rPr>
          <w:rFonts w:ascii="仿宋" w:hAnsi="仿宋" w:eastAsia="仿宋"/>
          <w:color w:val="auto"/>
          <w:sz w:val="24"/>
          <w:szCs w:val="24"/>
        </w:rPr>
      </w:pPr>
      <w:r>
        <w:rPr>
          <w:rFonts w:ascii="仿宋" w:hAnsi="仿宋" w:eastAsia="仿宋"/>
          <w:color w:val="auto"/>
          <w:sz w:val="24"/>
          <w:szCs w:val="24"/>
        </w:rPr>
        <w:t>法定代表人或授权代表（签章）：</w:t>
      </w:r>
    </w:p>
    <w:p w14:paraId="7711EB70">
      <w:pPr>
        <w:pStyle w:val="3"/>
        <w:ind w:firstLine="480" w:firstLineChars="200"/>
        <w:rPr>
          <w:color w:val="auto"/>
        </w:rPr>
      </w:pPr>
      <w:r>
        <w:rPr>
          <w:rFonts w:ascii="仿宋" w:hAnsi="仿宋" w:eastAsia="仿宋"/>
          <w:color w:val="auto"/>
          <w:sz w:val="24"/>
          <w:szCs w:val="24"/>
        </w:rPr>
        <w:t>签约日期：</w:t>
      </w:r>
    </w:p>
    <w:p w14:paraId="60825A27">
      <w:pPr>
        <w:pStyle w:val="11"/>
        <w:spacing w:line="338" w:lineRule="auto"/>
        <w:rPr>
          <w:rFonts w:ascii="仿宋" w:hAnsi="仿宋" w:eastAsia="仿宋"/>
          <w:sz w:val="24"/>
          <w:szCs w:val="24"/>
        </w:rPr>
      </w:pPr>
    </w:p>
    <w:p w14:paraId="6C2760C5">
      <w:pPr>
        <w:pStyle w:val="11"/>
        <w:spacing w:line="338" w:lineRule="auto"/>
        <w:rPr>
          <w:rFonts w:ascii="仿宋" w:hAnsi="仿宋" w:eastAsia="仿宋"/>
          <w:sz w:val="24"/>
          <w:szCs w:val="24"/>
        </w:rPr>
      </w:pPr>
    </w:p>
    <w:p w14:paraId="40518851">
      <w:pPr>
        <w:pStyle w:val="11"/>
        <w:spacing w:line="338" w:lineRule="auto"/>
        <w:rPr>
          <w:rFonts w:ascii="仿宋" w:hAnsi="仿宋" w:eastAsia="仿宋"/>
          <w:sz w:val="24"/>
          <w:szCs w:val="24"/>
        </w:rPr>
      </w:pPr>
    </w:p>
    <w:p w14:paraId="74E80466">
      <w:pPr>
        <w:spacing w:line="440" w:lineRule="exact"/>
        <w:jc w:val="both"/>
        <w:rPr>
          <w:rFonts w:hint="eastAsia" w:asciiTheme="minorEastAsia" w:hAnsiTheme="minorEastAsia" w:eastAsiaTheme="minorEastAsia" w:cstheme="minorEastAsia"/>
          <w:b/>
          <w:color w:val="auto"/>
          <w:sz w:val="24"/>
          <w:szCs w:val="24"/>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043DA4"/>
    <w:multiLevelType w:val="singleLevel"/>
    <w:tmpl w:val="89043DA4"/>
    <w:lvl w:ilvl="0" w:tentative="0">
      <w:start w:val="2"/>
      <w:numFmt w:val="decimal"/>
      <w:suff w:val="nothing"/>
      <w:lvlText w:val="（%1）"/>
      <w:lvlJc w:val="left"/>
    </w:lvl>
  </w:abstractNum>
  <w:abstractNum w:abstractNumId="1">
    <w:nsid w:val="584A86FD"/>
    <w:multiLevelType w:val="singleLevel"/>
    <w:tmpl w:val="584A86FD"/>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1B1C5874"/>
    <w:rsid w:val="1E502434"/>
    <w:rsid w:val="236B26A5"/>
    <w:rsid w:val="28695261"/>
    <w:rsid w:val="2AC60A5D"/>
    <w:rsid w:val="35C950CC"/>
    <w:rsid w:val="38AB375F"/>
    <w:rsid w:val="3EBD6CAB"/>
    <w:rsid w:val="42D722D4"/>
    <w:rsid w:val="4C8F20EA"/>
    <w:rsid w:val="56B476BB"/>
    <w:rsid w:val="5E611A65"/>
    <w:rsid w:val="66917E24"/>
    <w:rsid w:val="6AD411DC"/>
    <w:rsid w:val="6FA54153"/>
    <w:rsid w:val="708C1B2E"/>
    <w:rsid w:val="7A822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3332</Words>
  <Characters>3456</Characters>
  <Lines>0</Lines>
  <Paragraphs>0</Paragraphs>
  <TotalTime>0</TotalTime>
  <ScaleCrop>false</ScaleCrop>
  <LinksUpToDate>false</LinksUpToDate>
  <CharactersWithSpaces>3565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JYZB</cp:lastModifiedBy>
  <dcterms:modified xsi:type="dcterms:W3CDTF">2025-12-15T01:26:42Z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eyJoZGlkIjoiYzZkYjI3YWY3Y2EyYzFjYzc3Mjc1NjQ2MjIxMjE1MmUiLCJ1c2VySWQiOiIyNDIxOTA0MzAifQ==</vt:lpwstr>
  </property>
</Properties>
</file>