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897B7">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合同编号：         </w:t>
      </w:r>
    </w:p>
    <w:p w14:paraId="6D15BF6C">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w:t>
      </w:r>
    </w:p>
    <w:p w14:paraId="24ED14CF">
      <w:pPr>
        <w:spacing w:line="360" w:lineRule="auto"/>
        <w:rPr>
          <w:rFonts w:hint="eastAsia" w:ascii="仿宋" w:hAnsi="仿宋" w:eastAsia="仿宋" w:cs="仿宋"/>
          <w:sz w:val="28"/>
          <w:szCs w:val="28"/>
        </w:rPr>
      </w:pPr>
    </w:p>
    <w:p w14:paraId="295C4FE4">
      <w:pPr>
        <w:spacing w:line="360" w:lineRule="auto"/>
        <w:rPr>
          <w:rFonts w:hint="eastAsia" w:ascii="仿宋" w:hAnsi="仿宋" w:eastAsia="仿宋" w:cs="仿宋"/>
          <w:sz w:val="28"/>
          <w:szCs w:val="28"/>
        </w:rPr>
      </w:pPr>
    </w:p>
    <w:p w14:paraId="7A17C2F2">
      <w:pPr>
        <w:spacing w:line="360" w:lineRule="auto"/>
        <w:jc w:val="center"/>
        <w:rPr>
          <w:rFonts w:hint="eastAsia" w:ascii="仿宋" w:hAnsi="仿宋" w:eastAsia="仿宋" w:cs="仿宋"/>
          <w:b/>
          <w:sz w:val="36"/>
          <w:szCs w:val="36"/>
        </w:rPr>
      </w:pPr>
      <w:r>
        <w:rPr>
          <w:rFonts w:hint="eastAsia" w:ascii="仿宋" w:hAnsi="仿宋" w:eastAsia="仿宋" w:cs="仿宋"/>
          <w:b/>
          <w:sz w:val="36"/>
          <w:szCs w:val="36"/>
          <w:lang w:val="en-US" w:eastAsia="zh-CN"/>
        </w:rPr>
        <w:t xml:space="preserve">陕西省疾病预防控制中心生物所食品安全和营养健康项目仪器采购 </w:t>
      </w:r>
    </w:p>
    <w:p w14:paraId="645C613F">
      <w:pPr>
        <w:spacing w:line="360" w:lineRule="auto"/>
        <w:jc w:val="center"/>
        <w:rPr>
          <w:rFonts w:hint="eastAsia" w:ascii="仿宋" w:hAnsi="仿宋" w:eastAsia="仿宋" w:cs="仿宋"/>
          <w:b/>
          <w:sz w:val="28"/>
          <w:szCs w:val="28"/>
        </w:rPr>
      </w:pPr>
    </w:p>
    <w:p w14:paraId="05507EF5">
      <w:pPr>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供 货 合 同</w:t>
      </w:r>
    </w:p>
    <w:p w14:paraId="59851EA8">
      <w:pPr>
        <w:spacing w:line="360" w:lineRule="auto"/>
        <w:jc w:val="center"/>
        <w:rPr>
          <w:rFonts w:hint="default" w:ascii="仿宋" w:hAnsi="仿宋" w:eastAsia="仿宋" w:cs="仿宋"/>
          <w:b/>
          <w:sz w:val="36"/>
          <w:szCs w:val="36"/>
          <w:lang w:val="en-US" w:eastAsia="zh-CN"/>
        </w:rPr>
      </w:pPr>
      <w:r>
        <w:rPr>
          <w:rFonts w:hint="eastAsia" w:ascii="仿宋" w:hAnsi="仿宋" w:eastAsia="仿宋" w:cs="仿宋"/>
          <w:b/>
          <w:sz w:val="36"/>
          <w:szCs w:val="36"/>
          <w:lang w:val="en-US" w:eastAsia="zh-CN"/>
        </w:rPr>
        <w:t>仅供参考</w:t>
      </w:r>
    </w:p>
    <w:p w14:paraId="5BB639B8">
      <w:pPr>
        <w:spacing w:line="360" w:lineRule="auto"/>
        <w:rPr>
          <w:rFonts w:hint="eastAsia" w:ascii="仿宋" w:hAnsi="仿宋" w:eastAsia="仿宋" w:cs="仿宋"/>
          <w:b/>
          <w:color w:val="000000"/>
          <w:sz w:val="28"/>
          <w:szCs w:val="28"/>
        </w:rPr>
      </w:pPr>
    </w:p>
    <w:p w14:paraId="531B34AC">
      <w:pPr>
        <w:pStyle w:val="2"/>
        <w:rPr>
          <w:rFonts w:hint="eastAsia" w:ascii="仿宋" w:hAnsi="仿宋" w:eastAsia="仿宋" w:cs="仿宋"/>
          <w:b/>
          <w:color w:val="000000"/>
          <w:sz w:val="28"/>
          <w:szCs w:val="28"/>
        </w:rPr>
      </w:pPr>
    </w:p>
    <w:p w14:paraId="7017B56C">
      <w:pPr>
        <w:rPr>
          <w:rFonts w:hint="eastAsia" w:ascii="仿宋" w:hAnsi="仿宋" w:eastAsia="仿宋" w:cs="仿宋"/>
          <w:b/>
          <w:color w:val="000000"/>
          <w:sz w:val="28"/>
          <w:szCs w:val="28"/>
        </w:rPr>
      </w:pPr>
      <w:bookmarkStart w:id="0" w:name="_GoBack"/>
      <w:bookmarkEnd w:id="0"/>
    </w:p>
    <w:p w14:paraId="01E6695C">
      <w:pPr>
        <w:pStyle w:val="2"/>
        <w:rPr>
          <w:rFonts w:hint="eastAsia" w:ascii="仿宋" w:hAnsi="仿宋" w:eastAsia="仿宋" w:cs="仿宋"/>
          <w:b/>
          <w:color w:val="000000"/>
          <w:sz w:val="28"/>
          <w:szCs w:val="28"/>
        </w:rPr>
      </w:pPr>
    </w:p>
    <w:p w14:paraId="30CC03D2">
      <w:pPr>
        <w:rPr>
          <w:rFonts w:hint="eastAsia" w:ascii="仿宋" w:hAnsi="仿宋" w:eastAsia="仿宋" w:cs="仿宋"/>
          <w:b/>
          <w:color w:val="000000"/>
          <w:sz w:val="28"/>
          <w:szCs w:val="28"/>
        </w:rPr>
      </w:pPr>
    </w:p>
    <w:p w14:paraId="4A955504">
      <w:pPr>
        <w:pStyle w:val="2"/>
        <w:rPr>
          <w:rFonts w:hint="eastAsia" w:ascii="仿宋" w:hAnsi="仿宋" w:eastAsia="仿宋" w:cs="仿宋"/>
          <w:sz w:val="22"/>
          <w:szCs w:val="28"/>
        </w:rPr>
      </w:pPr>
    </w:p>
    <w:p w14:paraId="01A7D68F">
      <w:pPr>
        <w:spacing w:line="360" w:lineRule="auto"/>
        <w:ind w:firstLine="1124" w:firstLineChars="400"/>
        <w:rPr>
          <w:rFonts w:hint="eastAsia" w:ascii="仿宋" w:hAnsi="仿宋" w:eastAsia="仿宋" w:cs="仿宋"/>
          <w:b/>
          <w:color w:val="000000"/>
          <w:sz w:val="28"/>
          <w:szCs w:val="28"/>
          <w:lang w:eastAsia="zh-CN"/>
        </w:rPr>
      </w:pPr>
      <w:r>
        <w:rPr>
          <w:rFonts w:hint="eastAsia" w:ascii="仿宋" w:hAnsi="仿宋" w:eastAsia="仿宋" w:cs="仿宋"/>
          <w:b/>
          <w:color w:val="000000"/>
          <w:sz w:val="28"/>
          <w:szCs w:val="28"/>
        </w:rPr>
        <w:t>甲  方：</w:t>
      </w:r>
      <w:r>
        <w:rPr>
          <w:rFonts w:hint="eastAsia" w:ascii="仿宋" w:hAnsi="仿宋" w:eastAsia="仿宋" w:cs="仿宋"/>
          <w:b/>
          <w:color w:val="000000"/>
          <w:sz w:val="28"/>
          <w:szCs w:val="28"/>
          <w:lang w:eastAsia="zh-CN"/>
        </w:rPr>
        <w:t>陕西省疾病预防控制中心</w:t>
      </w:r>
    </w:p>
    <w:p w14:paraId="24A4531F">
      <w:pPr>
        <w:spacing w:line="360" w:lineRule="auto"/>
        <w:ind w:firstLine="1124" w:firstLineChars="400"/>
        <w:rPr>
          <w:rFonts w:hint="eastAsia" w:ascii="仿宋" w:hAnsi="仿宋" w:eastAsia="仿宋" w:cs="仿宋"/>
          <w:b/>
          <w:color w:val="000000"/>
          <w:sz w:val="28"/>
          <w:szCs w:val="28"/>
        </w:rPr>
      </w:pPr>
    </w:p>
    <w:p w14:paraId="126B0550">
      <w:pPr>
        <w:spacing w:line="360" w:lineRule="auto"/>
        <w:ind w:firstLine="1124" w:firstLineChars="400"/>
        <w:rPr>
          <w:rFonts w:hint="eastAsia" w:ascii="仿宋" w:hAnsi="仿宋" w:eastAsia="仿宋" w:cs="仿宋"/>
          <w:b/>
          <w:color w:val="000000"/>
          <w:sz w:val="28"/>
          <w:szCs w:val="28"/>
        </w:rPr>
      </w:pPr>
      <w:r>
        <w:rPr>
          <w:rFonts w:hint="eastAsia" w:ascii="仿宋" w:hAnsi="仿宋" w:eastAsia="仿宋" w:cs="仿宋"/>
          <w:b/>
          <w:color w:val="000000"/>
          <w:sz w:val="28"/>
          <w:szCs w:val="28"/>
        </w:rPr>
        <w:t>乙  方：根据实际情况填写</w:t>
      </w:r>
    </w:p>
    <w:p w14:paraId="70E2869F">
      <w:pPr>
        <w:spacing w:line="360" w:lineRule="auto"/>
        <w:rPr>
          <w:rFonts w:hint="eastAsia" w:ascii="仿宋" w:hAnsi="仿宋" w:eastAsia="仿宋" w:cs="仿宋"/>
          <w:sz w:val="28"/>
          <w:szCs w:val="28"/>
        </w:rPr>
      </w:pPr>
    </w:p>
    <w:p w14:paraId="7DD52765">
      <w:pPr>
        <w:spacing w:line="360" w:lineRule="auto"/>
        <w:rPr>
          <w:rFonts w:hint="eastAsia" w:ascii="仿宋" w:hAnsi="仿宋" w:eastAsia="仿宋" w:cs="仿宋"/>
          <w:sz w:val="28"/>
          <w:szCs w:val="28"/>
        </w:rPr>
      </w:pPr>
    </w:p>
    <w:p w14:paraId="49C89497">
      <w:pPr>
        <w:spacing w:line="360" w:lineRule="auto"/>
        <w:rPr>
          <w:rFonts w:hint="eastAsia" w:ascii="仿宋" w:hAnsi="仿宋" w:eastAsia="仿宋" w:cs="仿宋"/>
          <w:sz w:val="28"/>
          <w:szCs w:val="28"/>
        </w:rPr>
      </w:pPr>
    </w:p>
    <w:p w14:paraId="23232038">
      <w:pPr>
        <w:spacing w:line="360" w:lineRule="auto"/>
        <w:rPr>
          <w:rFonts w:hint="eastAsia" w:ascii="仿宋" w:hAnsi="仿宋" w:eastAsia="仿宋" w:cs="仿宋"/>
          <w:b/>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2025</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p>
    <w:p w14:paraId="1CDA41A7">
      <w:pPr>
        <w:spacing w:line="360" w:lineRule="auto"/>
        <w:rPr>
          <w:rFonts w:hint="eastAsia" w:ascii="仿宋" w:hAnsi="仿宋" w:eastAsia="仿宋" w:cs="仿宋"/>
          <w:b/>
          <w:sz w:val="28"/>
          <w:szCs w:val="28"/>
        </w:rPr>
      </w:pPr>
      <w:r>
        <w:rPr>
          <w:rFonts w:hint="eastAsia" w:ascii="仿宋" w:hAnsi="仿宋" w:eastAsia="仿宋" w:cs="仿宋"/>
          <w:b/>
          <w:sz w:val="28"/>
          <w:szCs w:val="28"/>
        </w:rPr>
        <w:br w:type="page"/>
      </w:r>
    </w:p>
    <w:p w14:paraId="4592A802">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供 货 合 同</w:t>
      </w:r>
    </w:p>
    <w:p w14:paraId="1D53198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陕西省疾病预防控制中心生物所食品安全和营养健康项目仪器采购</w:t>
      </w:r>
      <w:r>
        <w:rPr>
          <w:rFonts w:hint="eastAsia" w:ascii="仿宋" w:hAnsi="仿宋" w:eastAsia="仿宋" w:cs="仿宋"/>
          <w:sz w:val="28"/>
          <w:szCs w:val="28"/>
        </w:rPr>
        <w:t>，在财政</w:t>
      </w:r>
      <w:r>
        <w:rPr>
          <w:rFonts w:hint="eastAsia" w:ascii="仿宋" w:hAnsi="仿宋" w:eastAsia="仿宋" w:cs="仿宋"/>
          <w:sz w:val="28"/>
          <w:szCs w:val="28"/>
          <w:lang w:val="en-US" w:eastAsia="zh-CN"/>
        </w:rPr>
        <w:t>部门</w:t>
      </w:r>
      <w:r>
        <w:rPr>
          <w:rFonts w:hint="eastAsia" w:ascii="仿宋" w:hAnsi="仿宋" w:eastAsia="仿宋" w:cs="仿宋"/>
          <w:sz w:val="28"/>
          <w:szCs w:val="28"/>
        </w:rPr>
        <w:t>监督下，由</w:t>
      </w:r>
      <w:r>
        <w:rPr>
          <w:rFonts w:hint="eastAsia" w:ascii="仿宋" w:hAnsi="仿宋" w:eastAsia="仿宋" w:cs="仿宋"/>
          <w:sz w:val="28"/>
          <w:szCs w:val="28"/>
          <w:u w:val="single"/>
        </w:rPr>
        <w:t xml:space="preserve">     </w:t>
      </w:r>
      <w:r>
        <w:rPr>
          <w:rFonts w:hint="eastAsia" w:ascii="仿宋" w:hAnsi="仿宋" w:eastAsia="仿宋" w:cs="仿宋"/>
          <w:sz w:val="28"/>
          <w:szCs w:val="28"/>
        </w:rPr>
        <w:t>组织</w:t>
      </w:r>
      <w:r>
        <w:rPr>
          <w:rFonts w:hint="eastAsia" w:ascii="仿宋" w:hAnsi="仿宋" w:eastAsia="仿宋" w:cs="仿宋"/>
          <w:sz w:val="28"/>
          <w:szCs w:val="28"/>
          <w:lang w:val="en-US" w:eastAsia="zh-CN"/>
        </w:rPr>
        <w:t>公开招标</w:t>
      </w:r>
      <w:r>
        <w:rPr>
          <w:rFonts w:hint="eastAsia" w:ascii="仿宋" w:hAnsi="仿宋" w:eastAsia="仿宋" w:cs="仿宋"/>
          <w:sz w:val="28"/>
          <w:szCs w:val="28"/>
        </w:rPr>
        <w:t>。经甲、乙双方共同协商，达成如下合同条款。</w:t>
      </w:r>
    </w:p>
    <w:p w14:paraId="205AA412">
      <w:pPr>
        <w:tabs>
          <w:tab w:val="left" w:pos="480"/>
        </w:tabs>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一、合同内容</w:t>
      </w:r>
    </w:p>
    <w:p w14:paraId="4C34896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l、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14:paraId="7D36A3A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2、招标文件、乙方的投标文件及评标过程中的澄清、承诺内容均作为本合同的组成部分，具有同等法律效力。</w:t>
      </w:r>
    </w:p>
    <w:p w14:paraId="64395D27">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二、合同价款及质保期</w:t>
      </w:r>
    </w:p>
    <w:p w14:paraId="0137A3ED">
      <w:pPr>
        <w:spacing w:line="360" w:lineRule="auto"/>
        <w:rPr>
          <w:rFonts w:hint="eastAsia" w:ascii="仿宋" w:hAnsi="仿宋" w:eastAsia="仿宋" w:cs="仿宋"/>
          <w:sz w:val="28"/>
          <w:szCs w:val="28"/>
        </w:rPr>
      </w:pPr>
      <w:r>
        <w:rPr>
          <w:rFonts w:hint="eastAsia" w:ascii="仿宋" w:hAnsi="仿宋" w:eastAsia="仿宋" w:cs="仿宋"/>
          <w:sz w:val="28"/>
          <w:szCs w:val="28"/>
        </w:rPr>
        <w:t>1、中标产品品牌、规格、产地、数量、单价及合同总价：     单位：元</w:t>
      </w:r>
    </w:p>
    <w:tbl>
      <w:tblPr>
        <w:tblStyle w:val="3"/>
        <w:tblW w:w="8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630"/>
        <w:gridCol w:w="720"/>
        <w:gridCol w:w="1035"/>
        <w:gridCol w:w="1235"/>
        <w:gridCol w:w="730"/>
        <w:gridCol w:w="855"/>
        <w:gridCol w:w="637"/>
        <w:gridCol w:w="848"/>
        <w:gridCol w:w="845"/>
      </w:tblGrid>
      <w:tr w14:paraId="63863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14:paraId="73DF72B3">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名称</w:t>
            </w:r>
          </w:p>
        </w:tc>
        <w:tc>
          <w:tcPr>
            <w:tcW w:w="1350" w:type="dxa"/>
            <w:gridSpan w:val="2"/>
            <w:tcBorders>
              <w:top w:val="single" w:color="auto" w:sz="4" w:space="0"/>
              <w:left w:val="single" w:color="auto" w:sz="4" w:space="0"/>
              <w:bottom w:val="single" w:color="auto" w:sz="4" w:space="0"/>
              <w:right w:val="single" w:color="auto" w:sz="4" w:space="0"/>
            </w:tcBorders>
            <w:noWrap w:val="0"/>
            <w:vAlign w:val="center"/>
          </w:tcPr>
          <w:p w14:paraId="2E819B31">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品牌</w:t>
            </w: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8FA7428">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制造商</w:t>
            </w:r>
          </w:p>
        </w:tc>
        <w:tc>
          <w:tcPr>
            <w:tcW w:w="1235" w:type="dxa"/>
            <w:tcBorders>
              <w:top w:val="single" w:color="auto" w:sz="4" w:space="0"/>
              <w:left w:val="single" w:color="auto" w:sz="4" w:space="0"/>
              <w:bottom w:val="single" w:color="auto" w:sz="4" w:space="0"/>
              <w:right w:val="single" w:color="auto" w:sz="4" w:space="0"/>
            </w:tcBorders>
            <w:noWrap w:val="0"/>
            <w:vAlign w:val="center"/>
          </w:tcPr>
          <w:p w14:paraId="0A542081">
            <w:pPr>
              <w:spacing w:line="360" w:lineRule="auto"/>
              <w:jc w:val="left"/>
              <w:rPr>
                <w:rFonts w:hint="eastAsia" w:ascii="仿宋" w:hAnsi="仿宋" w:eastAsia="仿宋" w:cs="仿宋"/>
                <w:sz w:val="28"/>
                <w:szCs w:val="28"/>
              </w:rPr>
            </w:pPr>
            <w:r>
              <w:rPr>
                <w:rFonts w:hint="eastAsia" w:ascii="仿宋" w:hAnsi="仿宋" w:eastAsia="仿宋" w:cs="仿宋"/>
                <w:sz w:val="28"/>
                <w:szCs w:val="28"/>
              </w:rPr>
              <w:t>规格型号</w:t>
            </w:r>
          </w:p>
        </w:tc>
        <w:tc>
          <w:tcPr>
            <w:tcW w:w="730" w:type="dxa"/>
            <w:tcBorders>
              <w:top w:val="single" w:color="auto" w:sz="4" w:space="0"/>
              <w:left w:val="single" w:color="auto" w:sz="4" w:space="0"/>
              <w:bottom w:val="single" w:color="auto" w:sz="4" w:space="0"/>
              <w:right w:val="single" w:color="auto" w:sz="4" w:space="0"/>
            </w:tcBorders>
            <w:noWrap w:val="0"/>
            <w:vAlign w:val="center"/>
          </w:tcPr>
          <w:p w14:paraId="2B5AC0A3">
            <w:pPr>
              <w:spacing w:line="360" w:lineRule="auto"/>
              <w:rPr>
                <w:rFonts w:hint="eastAsia" w:ascii="仿宋" w:hAnsi="仿宋" w:eastAsia="仿宋" w:cs="仿宋"/>
                <w:sz w:val="28"/>
                <w:szCs w:val="28"/>
              </w:rPr>
            </w:pPr>
            <w:r>
              <w:rPr>
                <w:rFonts w:hint="eastAsia" w:ascii="仿宋" w:hAnsi="仿宋" w:eastAsia="仿宋" w:cs="仿宋"/>
                <w:sz w:val="28"/>
                <w:szCs w:val="28"/>
              </w:rPr>
              <w:t>单位</w:t>
            </w:r>
          </w:p>
        </w:tc>
        <w:tc>
          <w:tcPr>
            <w:tcW w:w="855" w:type="dxa"/>
            <w:tcBorders>
              <w:top w:val="single" w:color="auto" w:sz="4" w:space="0"/>
              <w:left w:val="single" w:color="auto" w:sz="4" w:space="0"/>
              <w:bottom w:val="single" w:color="auto" w:sz="4" w:space="0"/>
              <w:right w:val="single" w:color="auto" w:sz="4" w:space="0"/>
            </w:tcBorders>
            <w:noWrap w:val="0"/>
            <w:vAlign w:val="center"/>
          </w:tcPr>
          <w:p w14:paraId="47D35B3E">
            <w:pPr>
              <w:spacing w:line="360" w:lineRule="auto"/>
              <w:rPr>
                <w:rFonts w:hint="eastAsia" w:ascii="仿宋" w:hAnsi="仿宋" w:eastAsia="仿宋" w:cs="仿宋"/>
                <w:sz w:val="28"/>
                <w:szCs w:val="28"/>
              </w:rPr>
            </w:pPr>
            <w:r>
              <w:rPr>
                <w:rFonts w:hint="eastAsia" w:ascii="仿宋" w:hAnsi="仿宋" w:eastAsia="仿宋" w:cs="仿宋"/>
                <w:sz w:val="28"/>
                <w:szCs w:val="28"/>
              </w:rPr>
              <w:t>数量</w:t>
            </w:r>
          </w:p>
        </w:tc>
        <w:tc>
          <w:tcPr>
            <w:tcW w:w="637" w:type="dxa"/>
            <w:tcBorders>
              <w:top w:val="single" w:color="auto" w:sz="4" w:space="0"/>
              <w:left w:val="single" w:color="auto" w:sz="4" w:space="0"/>
              <w:bottom w:val="single" w:color="auto" w:sz="4" w:space="0"/>
              <w:right w:val="single" w:color="auto" w:sz="4" w:space="0"/>
            </w:tcBorders>
            <w:noWrap w:val="0"/>
            <w:vAlign w:val="center"/>
          </w:tcPr>
          <w:p w14:paraId="0E661E66">
            <w:pPr>
              <w:spacing w:line="360" w:lineRule="auto"/>
              <w:rPr>
                <w:rFonts w:hint="eastAsia" w:ascii="仿宋" w:hAnsi="仿宋" w:eastAsia="仿宋" w:cs="仿宋"/>
                <w:sz w:val="28"/>
                <w:szCs w:val="28"/>
              </w:rPr>
            </w:pPr>
            <w:r>
              <w:rPr>
                <w:rFonts w:hint="eastAsia" w:ascii="仿宋" w:hAnsi="仿宋" w:eastAsia="仿宋" w:cs="仿宋"/>
                <w:sz w:val="28"/>
                <w:szCs w:val="28"/>
              </w:rPr>
              <w:t>单价</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35214309">
            <w:pPr>
              <w:spacing w:line="360" w:lineRule="auto"/>
              <w:rPr>
                <w:rFonts w:hint="eastAsia" w:ascii="仿宋" w:hAnsi="仿宋" w:eastAsia="仿宋" w:cs="仿宋"/>
                <w:sz w:val="28"/>
                <w:szCs w:val="28"/>
              </w:rPr>
            </w:pPr>
            <w:r>
              <w:rPr>
                <w:rFonts w:hint="eastAsia" w:ascii="仿宋" w:hAnsi="仿宋" w:eastAsia="仿宋" w:cs="仿宋"/>
                <w:sz w:val="28"/>
                <w:szCs w:val="28"/>
              </w:rPr>
              <w:t>合计</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3ABB3EBA">
            <w:pPr>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免费质保期</w:t>
            </w:r>
          </w:p>
        </w:tc>
      </w:tr>
      <w:tr w14:paraId="7902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14:paraId="553BB33C">
            <w:pPr>
              <w:spacing w:line="360" w:lineRule="auto"/>
              <w:rPr>
                <w:rFonts w:hint="eastAsia" w:ascii="仿宋" w:hAnsi="仿宋" w:eastAsia="仿宋" w:cs="仿宋"/>
                <w:sz w:val="28"/>
                <w:szCs w:val="28"/>
              </w:rPr>
            </w:pPr>
          </w:p>
        </w:tc>
        <w:tc>
          <w:tcPr>
            <w:tcW w:w="1350" w:type="dxa"/>
            <w:gridSpan w:val="2"/>
            <w:tcBorders>
              <w:top w:val="single" w:color="auto" w:sz="4" w:space="0"/>
              <w:left w:val="single" w:color="auto" w:sz="4" w:space="0"/>
              <w:bottom w:val="single" w:color="auto" w:sz="4" w:space="0"/>
              <w:right w:val="single" w:color="auto" w:sz="4" w:space="0"/>
            </w:tcBorders>
            <w:noWrap w:val="0"/>
            <w:vAlign w:val="center"/>
          </w:tcPr>
          <w:p w14:paraId="500F5FD2">
            <w:pPr>
              <w:spacing w:line="360" w:lineRule="auto"/>
              <w:rPr>
                <w:rFonts w:hint="eastAsia" w:ascii="仿宋" w:hAnsi="仿宋" w:eastAsia="仿宋" w:cs="仿宋"/>
                <w:sz w:val="28"/>
                <w:szCs w:val="28"/>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0B52797">
            <w:pPr>
              <w:spacing w:line="360" w:lineRule="auto"/>
              <w:rPr>
                <w:rFonts w:hint="eastAsia" w:ascii="仿宋" w:hAnsi="仿宋" w:eastAsia="仿宋" w:cs="仿宋"/>
                <w:sz w:val="28"/>
                <w:szCs w:val="28"/>
              </w:rPr>
            </w:pPr>
          </w:p>
        </w:tc>
        <w:tc>
          <w:tcPr>
            <w:tcW w:w="1235" w:type="dxa"/>
            <w:tcBorders>
              <w:top w:val="single" w:color="auto" w:sz="4" w:space="0"/>
              <w:left w:val="single" w:color="auto" w:sz="4" w:space="0"/>
              <w:bottom w:val="single" w:color="auto" w:sz="4" w:space="0"/>
              <w:right w:val="single" w:color="auto" w:sz="4" w:space="0"/>
            </w:tcBorders>
            <w:noWrap w:val="0"/>
            <w:vAlign w:val="center"/>
          </w:tcPr>
          <w:p w14:paraId="60ABB82E">
            <w:pPr>
              <w:spacing w:line="360" w:lineRule="auto"/>
              <w:rPr>
                <w:rFonts w:hint="eastAsia" w:ascii="仿宋" w:hAnsi="仿宋" w:eastAsia="仿宋" w:cs="仿宋"/>
                <w:sz w:val="28"/>
                <w:szCs w:val="28"/>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4A4C87E4">
            <w:pPr>
              <w:spacing w:line="360" w:lineRule="auto"/>
              <w:rPr>
                <w:rFonts w:hint="eastAsia" w:ascii="仿宋" w:hAnsi="仿宋" w:eastAsia="仿宋" w:cs="仿宋"/>
                <w:sz w:val="28"/>
                <w:szCs w:val="28"/>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5ACC6A6E">
            <w:pPr>
              <w:spacing w:line="360" w:lineRule="auto"/>
              <w:rPr>
                <w:rFonts w:hint="eastAsia" w:ascii="仿宋" w:hAnsi="仿宋" w:eastAsia="仿宋" w:cs="仿宋"/>
                <w:sz w:val="28"/>
                <w:szCs w:val="28"/>
              </w:rPr>
            </w:pPr>
          </w:p>
        </w:tc>
        <w:tc>
          <w:tcPr>
            <w:tcW w:w="637" w:type="dxa"/>
            <w:tcBorders>
              <w:top w:val="single" w:color="auto" w:sz="4" w:space="0"/>
              <w:left w:val="single" w:color="auto" w:sz="4" w:space="0"/>
              <w:bottom w:val="single" w:color="auto" w:sz="4" w:space="0"/>
              <w:right w:val="single" w:color="auto" w:sz="4" w:space="0"/>
            </w:tcBorders>
            <w:noWrap w:val="0"/>
            <w:vAlign w:val="center"/>
          </w:tcPr>
          <w:p w14:paraId="2D10A103">
            <w:pPr>
              <w:spacing w:line="360" w:lineRule="auto"/>
              <w:rPr>
                <w:rFonts w:hint="eastAsia" w:ascii="仿宋" w:hAnsi="仿宋" w:eastAsia="仿宋" w:cs="仿宋"/>
                <w:sz w:val="28"/>
                <w:szCs w:val="28"/>
              </w:rPr>
            </w:pPr>
          </w:p>
        </w:tc>
        <w:tc>
          <w:tcPr>
            <w:tcW w:w="848" w:type="dxa"/>
            <w:tcBorders>
              <w:top w:val="single" w:color="auto" w:sz="4" w:space="0"/>
              <w:left w:val="single" w:color="auto" w:sz="4" w:space="0"/>
              <w:bottom w:val="single" w:color="auto" w:sz="4" w:space="0"/>
              <w:right w:val="single" w:color="auto" w:sz="4" w:space="0"/>
            </w:tcBorders>
            <w:noWrap w:val="0"/>
            <w:vAlign w:val="center"/>
          </w:tcPr>
          <w:p w14:paraId="7C606A4F">
            <w:pPr>
              <w:spacing w:line="360" w:lineRule="auto"/>
              <w:rPr>
                <w:rFonts w:hint="eastAsia" w:ascii="仿宋" w:hAnsi="仿宋" w:eastAsia="仿宋" w:cs="仿宋"/>
                <w:sz w:val="28"/>
                <w:szCs w:val="28"/>
              </w:rPr>
            </w:pPr>
          </w:p>
        </w:tc>
        <w:tc>
          <w:tcPr>
            <w:tcW w:w="845" w:type="dxa"/>
            <w:tcBorders>
              <w:top w:val="single" w:color="auto" w:sz="4" w:space="0"/>
              <w:left w:val="single" w:color="auto" w:sz="4" w:space="0"/>
              <w:bottom w:val="single" w:color="auto" w:sz="4" w:space="0"/>
              <w:right w:val="single" w:color="auto" w:sz="4" w:space="0"/>
            </w:tcBorders>
            <w:noWrap w:val="0"/>
            <w:vAlign w:val="center"/>
          </w:tcPr>
          <w:p w14:paraId="6A6C04CD">
            <w:pPr>
              <w:spacing w:line="360" w:lineRule="auto"/>
              <w:rPr>
                <w:rFonts w:hint="eastAsia" w:ascii="仿宋" w:hAnsi="仿宋" w:eastAsia="仿宋" w:cs="仿宋"/>
                <w:sz w:val="28"/>
                <w:szCs w:val="28"/>
              </w:rPr>
            </w:pPr>
          </w:p>
        </w:tc>
      </w:tr>
      <w:tr w14:paraId="6F977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14:paraId="22002640">
            <w:pPr>
              <w:spacing w:line="360" w:lineRule="auto"/>
              <w:rPr>
                <w:rFonts w:hint="eastAsia" w:ascii="仿宋" w:hAnsi="仿宋" w:eastAsia="仿宋" w:cs="仿宋"/>
                <w:sz w:val="28"/>
                <w:szCs w:val="28"/>
              </w:rPr>
            </w:pPr>
          </w:p>
        </w:tc>
        <w:tc>
          <w:tcPr>
            <w:tcW w:w="1350" w:type="dxa"/>
            <w:gridSpan w:val="2"/>
            <w:tcBorders>
              <w:top w:val="single" w:color="auto" w:sz="4" w:space="0"/>
              <w:left w:val="single" w:color="auto" w:sz="4" w:space="0"/>
              <w:bottom w:val="single" w:color="auto" w:sz="4" w:space="0"/>
              <w:right w:val="single" w:color="auto" w:sz="4" w:space="0"/>
            </w:tcBorders>
            <w:noWrap w:val="0"/>
            <w:vAlign w:val="center"/>
          </w:tcPr>
          <w:p w14:paraId="7F5B3D67">
            <w:pPr>
              <w:spacing w:line="360" w:lineRule="auto"/>
              <w:rPr>
                <w:rFonts w:hint="eastAsia" w:ascii="仿宋" w:hAnsi="仿宋" w:eastAsia="仿宋" w:cs="仿宋"/>
                <w:sz w:val="28"/>
                <w:szCs w:val="28"/>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3F11E7A">
            <w:pPr>
              <w:spacing w:line="360" w:lineRule="auto"/>
              <w:rPr>
                <w:rFonts w:hint="eastAsia" w:ascii="仿宋" w:hAnsi="仿宋" w:eastAsia="仿宋" w:cs="仿宋"/>
                <w:sz w:val="28"/>
                <w:szCs w:val="28"/>
              </w:rPr>
            </w:pPr>
          </w:p>
        </w:tc>
        <w:tc>
          <w:tcPr>
            <w:tcW w:w="1235" w:type="dxa"/>
            <w:tcBorders>
              <w:top w:val="single" w:color="auto" w:sz="4" w:space="0"/>
              <w:left w:val="single" w:color="auto" w:sz="4" w:space="0"/>
              <w:bottom w:val="single" w:color="auto" w:sz="4" w:space="0"/>
              <w:right w:val="single" w:color="auto" w:sz="4" w:space="0"/>
            </w:tcBorders>
            <w:noWrap w:val="0"/>
            <w:vAlign w:val="center"/>
          </w:tcPr>
          <w:p w14:paraId="34EC55D6">
            <w:pPr>
              <w:spacing w:line="360" w:lineRule="auto"/>
              <w:rPr>
                <w:rFonts w:hint="eastAsia" w:ascii="仿宋" w:hAnsi="仿宋" w:eastAsia="仿宋" w:cs="仿宋"/>
                <w:sz w:val="28"/>
                <w:szCs w:val="28"/>
              </w:rPr>
            </w:pPr>
          </w:p>
        </w:tc>
        <w:tc>
          <w:tcPr>
            <w:tcW w:w="730" w:type="dxa"/>
            <w:tcBorders>
              <w:top w:val="single" w:color="auto" w:sz="4" w:space="0"/>
              <w:left w:val="single" w:color="auto" w:sz="4" w:space="0"/>
              <w:bottom w:val="single" w:color="auto" w:sz="4" w:space="0"/>
              <w:right w:val="single" w:color="auto" w:sz="4" w:space="0"/>
            </w:tcBorders>
            <w:noWrap w:val="0"/>
            <w:vAlign w:val="center"/>
          </w:tcPr>
          <w:p w14:paraId="39224C2A">
            <w:pPr>
              <w:spacing w:line="360" w:lineRule="auto"/>
              <w:rPr>
                <w:rFonts w:hint="eastAsia" w:ascii="仿宋" w:hAnsi="仿宋" w:eastAsia="仿宋" w:cs="仿宋"/>
                <w:sz w:val="28"/>
                <w:szCs w:val="28"/>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4E0C0644">
            <w:pPr>
              <w:spacing w:line="360" w:lineRule="auto"/>
              <w:rPr>
                <w:rFonts w:hint="eastAsia" w:ascii="仿宋" w:hAnsi="仿宋" w:eastAsia="仿宋" w:cs="仿宋"/>
                <w:sz w:val="28"/>
                <w:szCs w:val="28"/>
              </w:rPr>
            </w:pPr>
          </w:p>
        </w:tc>
        <w:tc>
          <w:tcPr>
            <w:tcW w:w="637" w:type="dxa"/>
            <w:tcBorders>
              <w:top w:val="single" w:color="auto" w:sz="4" w:space="0"/>
              <w:left w:val="single" w:color="auto" w:sz="4" w:space="0"/>
              <w:bottom w:val="single" w:color="auto" w:sz="4" w:space="0"/>
              <w:right w:val="single" w:color="auto" w:sz="4" w:space="0"/>
            </w:tcBorders>
            <w:noWrap w:val="0"/>
            <w:vAlign w:val="center"/>
          </w:tcPr>
          <w:p w14:paraId="439C7F34">
            <w:pPr>
              <w:spacing w:line="360" w:lineRule="auto"/>
              <w:rPr>
                <w:rFonts w:hint="eastAsia" w:ascii="仿宋" w:hAnsi="仿宋" w:eastAsia="仿宋" w:cs="仿宋"/>
                <w:sz w:val="28"/>
                <w:szCs w:val="28"/>
              </w:rPr>
            </w:pPr>
          </w:p>
        </w:tc>
        <w:tc>
          <w:tcPr>
            <w:tcW w:w="848" w:type="dxa"/>
            <w:tcBorders>
              <w:top w:val="single" w:color="auto" w:sz="4" w:space="0"/>
              <w:left w:val="single" w:color="auto" w:sz="4" w:space="0"/>
              <w:bottom w:val="single" w:color="auto" w:sz="4" w:space="0"/>
              <w:right w:val="single" w:color="auto" w:sz="4" w:space="0"/>
            </w:tcBorders>
            <w:noWrap w:val="0"/>
            <w:vAlign w:val="center"/>
          </w:tcPr>
          <w:p w14:paraId="2F1AFDDA">
            <w:pPr>
              <w:spacing w:line="360" w:lineRule="auto"/>
              <w:rPr>
                <w:rFonts w:hint="eastAsia" w:ascii="仿宋" w:hAnsi="仿宋" w:eastAsia="仿宋" w:cs="仿宋"/>
                <w:sz w:val="28"/>
                <w:szCs w:val="28"/>
              </w:rPr>
            </w:pPr>
          </w:p>
        </w:tc>
        <w:tc>
          <w:tcPr>
            <w:tcW w:w="845" w:type="dxa"/>
            <w:tcBorders>
              <w:top w:val="single" w:color="auto" w:sz="4" w:space="0"/>
              <w:left w:val="single" w:color="auto" w:sz="4" w:space="0"/>
              <w:bottom w:val="single" w:color="auto" w:sz="4" w:space="0"/>
              <w:right w:val="single" w:color="auto" w:sz="4" w:space="0"/>
            </w:tcBorders>
            <w:noWrap w:val="0"/>
            <w:vAlign w:val="center"/>
          </w:tcPr>
          <w:p w14:paraId="195B4F2B">
            <w:pPr>
              <w:spacing w:line="360" w:lineRule="auto"/>
              <w:rPr>
                <w:rFonts w:hint="eastAsia" w:ascii="仿宋" w:hAnsi="仿宋" w:eastAsia="仿宋" w:cs="仿宋"/>
                <w:sz w:val="28"/>
                <w:szCs w:val="28"/>
              </w:rPr>
            </w:pPr>
          </w:p>
        </w:tc>
      </w:tr>
      <w:tr w14:paraId="64B3B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1806" w:type="dxa"/>
            <w:gridSpan w:val="2"/>
            <w:tcBorders>
              <w:top w:val="single" w:color="auto" w:sz="4" w:space="0"/>
              <w:left w:val="single" w:color="auto" w:sz="4" w:space="0"/>
              <w:bottom w:val="single" w:color="auto" w:sz="4" w:space="0"/>
              <w:right w:val="single" w:color="auto" w:sz="4" w:space="0"/>
            </w:tcBorders>
            <w:noWrap w:val="0"/>
            <w:vAlign w:val="center"/>
          </w:tcPr>
          <w:p w14:paraId="4BF714B5">
            <w:pPr>
              <w:spacing w:line="360" w:lineRule="auto"/>
              <w:rPr>
                <w:rFonts w:hint="eastAsia" w:ascii="仿宋" w:hAnsi="仿宋" w:eastAsia="仿宋" w:cs="仿宋"/>
                <w:sz w:val="28"/>
                <w:szCs w:val="28"/>
              </w:rPr>
            </w:pPr>
            <w:r>
              <w:rPr>
                <w:rFonts w:hint="eastAsia" w:ascii="仿宋" w:hAnsi="仿宋" w:eastAsia="仿宋" w:cs="仿宋"/>
                <w:sz w:val="28"/>
                <w:szCs w:val="28"/>
              </w:rPr>
              <w:t>总价（人民币）：</w:t>
            </w:r>
          </w:p>
        </w:tc>
        <w:tc>
          <w:tcPr>
            <w:tcW w:w="6060" w:type="dxa"/>
            <w:gridSpan w:val="7"/>
            <w:tcBorders>
              <w:top w:val="single" w:color="auto" w:sz="4" w:space="0"/>
              <w:left w:val="single" w:color="auto" w:sz="4" w:space="0"/>
              <w:bottom w:val="single" w:color="auto" w:sz="4" w:space="0"/>
              <w:right w:val="single" w:color="auto" w:sz="4" w:space="0"/>
            </w:tcBorders>
            <w:noWrap w:val="0"/>
            <w:vAlign w:val="center"/>
          </w:tcPr>
          <w:p w14:paraId="2BD532A3">
            <w:pPr>
              <w:spacing w:line="360" w:lineRule="auto"/>
              <w:jc w:val="left"/>
              <w:rPr>
                <w:rFonts w:hint="eastAsia" w:ascii="仿宋" w:hAnsi="仿宋" w:eastAsia="仿宋" w:cs="仿宋"/>
                <w:sz w:val="28"/>
                <w:szCs w:val="28"/>
              </w:rPr>
            </w:pPr>
            <w:r>
              <w:rPr>
                <w:rFonts w:hint="eastAsia" w:ascii="仿宋" w:hAnsi="仿宋" w:eastAsia="仿宋" w:cs="仿宋"/>
                <w:sz w:val="28"/>
                <w:szCs w:val="28"/>
              </w:rPr>
              <w:t xml:space="preserve">大写：                                            小写：¥                   </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13FF32C8">
            <w:pPr>
              <w:spacing w:line="360" w:lineRule="auto"/>
              <w:rPr>
                <w:rFonts w:hint="eastAsia" w:ascii="仿宋" w:hAnsi="仿宋" w:eastAsia="仿宋" w:cs="仿宋"/>
                <w:sz w:val="28"/>
                <w:szCs w:val="28"/>
              </w:rPr>
            </w:pPr>
          </w:p>
        </w:tc>
      </w:tr>
    </w:tbl>
    <w:p w14:paraId="3A091C5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2、合同总价包括：产品供应费、运输费（含保险费）、检测验收费、培训费、售后服务费、税费及其它全部费用。</w:t>
      </w:r>
    </w:p>
    <w:p w14:paraId="4D4F371B">
      <w:pPr>
        <w:spacing w:line="360" w:lineRule="auto"/>
        <w:ind w:firstLine="560" w:firstLineChars="200"/>
        <w:rPr>
          <w:rFonts w:hint="eastAsia" w:ascii="仿宋" w:hAnsi="仿宋" w:eastAsia="仿宋" w:cs="仿宋"/>
          <w:bCs/>
          <w:sz w:val="28"/>
          <w:szCs w:val="28"/>
        </w:rPr>
      </w:pPr>
      <w:r>
        <w:rPr>
          <w:rFonts w:hint="eastAsia" w:ascii="仿宋" w:hAnsi="仿宋" w:eastAsia="仿宋" w:cs="仿宋"/>
          <w:sz w:val="28"/>
          <w:szCs w:val="28"/>
        </w:rPr>
        <w:t>3、合同总价一次性包死，不受市场价格变化因素的影响。</w:t>
      </w:r>
      <w:r>
        <w:rPr>
          <w:rFonts w:hint="eastAsia" w:ascii="仿宋" w:hAnsi="仿宋" w:eastAsia="仿宋" w:cs="仿宋"/>
          <w:bCs/>
          <w:sz w:val="28"/>
          <w:szCs w:val="28"/>
        </w:rPr>
        <w:t>在项目实施中产生的其它费用，均由</w:t>
      </w:r>
      <w:r>
        <w:rPr>
          <w:rFonts w:hint="eastAsia" w:ascii="仿宋" w:hAnsi="仿宋" w:eastAsia="仿宋" w:cs="仿宋"/>
          <w:sz w:val="28"/>
          <w:szCs w:val="28"/>
        </w:rPr>
        <w:t>乙方</w:t>
      </w:r>
      <w:r>
        <w:rPr>
          <w:rFonts w:hint="eastAsia" w:ascii="仿宋" w:hAnsi="仿宋" w:eastAsia="仿宋" w:cs="仿宋"/>
          <w:bCs/>
          <w:sz w:val="28"/>
          <w:szCs w:val="28"/>
        </w:rPr>
        <w:t>免费提供，甲方不再支付任何费用。</w:t>
      </w:r>
    </w:p>
    <w:p w14:paraId="44A2AFB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4、关于所采购货物本身随同配备的备品备件及器材的价格已包含于合同总价，不再额外收取费用。</w:t>
      </w:r>
    </w:p>
    <w:p w14:paraId="760AC37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5、乙方需保证所能够提供使用的备品备件属于经过合法授权的，确保备品备件产权归乙方所有。</w:t>
      </w:r>
    </w:p>
    <w:p w14:paraId="59A642B6">
      <w:pPr>
        <w:spacing w:after="120" w:line="360" w:lineRule="auto"/>
        <w:ind w:firstLine="560" w:firstLineChars="200"/>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6、乙方开户行：</w:t>
      </w:r>
    </w:p>
    <w:p w14:paraId="0C858E36">
      <w:pPr>
        <w:spacing w:after="120" w:line="360" w:lineRule="auto"/>
        <w:ind w:firstLine="840" w:firstLineChars="300"/>
        <w:rPr>
          <w:rFonts w:hint="eastAsia" w:ascii="仿宋" w:hAnsi="仿宋" w:eastAsia="仿宋" w:cs="仿宋"/>
          <w:bCs/>
          <w:color w:val="000000"/>
          <w:sz w:val="28"/>
          <w:szCs w:val="28"/>
        </w:rPr>
      </w:pPr>
      <w:r>
        <w:rPr>
          <w:rFonts w:hint="eastAsia" w:ascii="仿宋" w:hAnsi="仿宋" w:eastAsia="仿宋" w:cs="仿宋"/>
          <w:bCs/>
          <w:color w:val="000000"/>
          <w:sz w:val="28"/>
          <w:szCs w:val="28"/>
        </w:rPr>
        <w:t>乙方公司名称：</w:t>
      </w:r>
    </w:p>
    <w:p w14:paraId="21441D03">
      <w:pPr>
        <w:spacing w:after="120" w:line="360" w:lineRule="auto"/>
        <w:ind w:firstLine="840" w:firstLineChars="300"/>
        <w:rPr>
          <w:rFonts w:hint="eastAsia" w:ascii="仿宋" w:hAnsi="仿宋" w:eastAsia="仿宋" w:cs="仿宋"/>
          <w:bCs/>
          <w:color w:val="000000"/>
          <w:sz w:val="28"/>
          <w:szCs w:val="28"/>
        </w:rPr>
      </w:pPr>
      <w:r>
        <w:rPr>
          <w:rFonts w:hint="eastAsia" w:ascii="仿宋" w:hAnsi="仿宋" w:eastAsia="仿宋" w:cs="仿宋"/>
          <w:bCs/>
          <w:color w:val="000000"/>
          <w:sz w:val="28"/>
          <w:szCs w:val="28"/>
        </w:rPr>
        <w:t>乙方公司账号：</w:t>
      </w:r>
    </w:p>
    <w:p w14:paraId="680BE4B0">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三、款项结算</w:t>
      </w:r>
    </w:p>
    <w:p w14:paraId="40F02A9C">
      <w:pPr>
        <w:tabs>
          <w:tab w:val="left" w:pos="840"/>
        </w:tabs>
        <w:spacing w:line="360" w:lineRule="auto"/>
        <w:ind w:firstLine="560" w:firstLineChars="200"/>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货到验收合格后，采购人结算，在付款前供应商必须开具全额发票给采购人 ，达到付款条件起 15 日内，支付合同总金额的 100.00%。</w:t>
      </w:r>
    </w:p>
    <w:p w14:paraId="581BC71A">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四、双方的权利和义务</w:t>
      </w:r>
    </w:p>
    <w:p w14:paraId="015D68A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1、甲方责任</w:t>
      </w:r>
    </w:p>
    <w:p w14:paraId="22B191B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负责核准、认定本项目相关技术资料文档；监督、参与项目执行的整个过程（包括实施方案的设计、项目验收、人员培训、售后服务等）；为乙方提供必要的工作条件，并提供该产品所必需的运行环境；按照合同约定支付各阶段合同款项。</w:t>
      </w:r>
    </w:p>
    <w:p w14:paraId="1CCF969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2、乙方责任</w:t>
      </w:r>
    </w:p>
    <w:p w14:paraId="2BC76D8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按时完成产品运行环境的检查；产品的交接；按时完成本合同所涉及产品的验收工作；协助配合甲方完成应用系统的整合工作；为甲方做好整个项目的售后服务技术支持工作。附件同时提供产品详细的中文技术规格书和外观照片。提供零配件供应周期、工时费等服务标准。</w:t>
      </w:r>
    </w:p>
    <w:p w14:paraId="480A63DE">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五、交货条件：</w:t>
      </w:r>
    </w:p>
    <w:p w14:paraId="29E58230">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rPr>
        <w:t xml:space="preserve">1、交货地点:甲方指定地点。  </w:t>
      </w:r>
    </w:p>
    <w:p w14:paraId="37821EEB">
      <w:pPr>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（1）乙方必须派人送货清点、移交。不受理任何物流、邮寄供货业务。</w:t>
      </w:r>
    </w:p>
    <w:p w14:paraId="250664BB">
      <w:pPr>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（2）本合同所有产品单件必须标明厂商、商标、型号、生产时间并附有效期内的检测报告并盖章。</w:t>
      </w:r>
    </w:p>
    <w:p w14:paraId="278F3EB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2、交货期：</w:t>
      </w:r>
      <w:r>
        <w:rPr>
          <w:rFonts w:hint="eastAsia" w:ascii="仿宋" w:hAnsi="仿宋" w:eastAsia="仿宋" w:cs="仿宋"/>
          <w:sz w:val="28"/>
          <w:szCs w:val="28"/>
          <w:highlight w:val="none"/>
          <w:lang w:val="en-US" w:eastAsia="zh-CN"/>
        </w:rPr>
        <w:t>按照采购人实际需求供货</w:t>
      </w:r>
      <w:r>
        <w:rPr>
          <w:rFonts w:hint="eastAsia" w:ascii="仿宋" w:hAnsi="仿宋" w:eastAsia="仿宋" w:cs="仿宋"/>
          <w:sz w:val="28"/>
          <w:szCs w:val="28"/>
          <w:highlight w:val="none"/>
        </w:rPr>
        <w:t>。</w:t>
      </w:r>
    </w:p>
    <w:p w14:paraId="13675411">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六、运输</w:t>
      </w:r>
    </w:p>
    <w:p w14:paraId="435D792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1、运输由乙方负责，运杂费已包含在合同总价内，包括从产品供应地点所含的运输费、装卸费、仓储费、保险费等。</w:t>
      </w:r>
    </w:p>
    <w:p w14:paraId="7B84348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2、乙方保证产品安全、按期运输到达甲方指定交货地点，在到达甲方地点并经甲方验收合格前发生的不可预见的风险均由乙方承担。</w:t>
      </w:r>
    </w:p>
    <w:p w14:paraId="1DEC6EE4">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七、乙方质量保证</w:t>
      </w:r>
    </w:p>
    <w:p w14:paraId="07B537EE">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八、乙方售后服务</w:t>
      </w:r>
    </w:p>
    <w:p w14:paraId="79243401">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九、乙方提供技术与服务</w:t>
      </w:r>
    </w:p>
    <w:p w14:paraId="0E140FB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随同货物提供相应的中文技术文件（包括产品合格证、装箱清单、使用说明、检测报告、服务指南等资料）；</w:t>
      </w:r>
    </w:p>
    <w:p w14:paraId="5CB97445">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十、违约责任</w:t>
      </w:r>
    </w:p>
    <w:p w14:paraId="1E73B56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1、按《中华人民共和国民法典》中的相关条款执行。</w:t>
      </w:r>
    </w:p>
    <w:p w14:paraId="406062B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14:paraId="08F3A6F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交货期每逾期一天，乙方应向甲方支付合同总价款的5‰违约金。逾期超过15日的，甲方有单方面解除本合同，乙方除退还甲方已支付全部费用外还应按照合同总价的20%向甲方支付违约金。违约金不足以弥补损失的，乙方应予以补足。</w:t>
      </w:r>
    </w:p>
    <w:p w14:paraId="786D76C6">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十一、验收</w:t>
      </w:r>
    </w:p>
    <w:p w14:paraId="1D5164F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1、产品到达甲方指定地点后，甲方根据合同约定，对产品进行外观验收、确认产品的产地、规格、型号和数量。</w:t>
      </w:r>
      <w:r>
        <w:rPr>
          <w:rFonts w:hint="eastAsia" w:ascii="仿宋" w:hAnsi="仿宋" w:eastAsia="仿宋" w:cs="仿宋"/>
          <w:bCs/>
          <w:sz w:val="28"/>
          <w:szCs w:val="28"/>
        </w:rPr>
        <w:t>器材</w:t>
      </w:r>
      <w:r>
        <w:rPr>
          <w:rFonts w:hint="eastAsia" w:ascii="仿宋" w:hAnsi="仿宋" w:eastAsia="仿宋" w:cs="仿宋"/>
          <w:sz w:val="28"/>
          <w:szCs w:val="28"/>
        </w:rPr>
        <w:t>所有产品外包装箱、单个产品包装盒上必须印制或粘贴下列基本信息：产品生产厂家、生产日期、有效期、生产厂家联系人、联系电话；代理厂商联系人、联系电话、售后联系人、联系方式。</w:t>
      </w:r>
    </w:p>
    <w:p w14:paraId="2A79699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、甲方确认乙方的自检内容后（必要时请有关专家）进行系统验收，填写项目验收单，作为对设备的最终认可；</w:t>
      </w:r>
    </w:p>
    <w:p w14:paraId="33FE6A1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、验收依据：</w:t>
      </w:r>
    </w:p>
    <w:p w14:paraId="47BC517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-1、招标文件、投标文件、澄清表（函）；</w:t>
      </w:r>
    </w:p>
    <w:p w14:paraId="6EF3114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-2、本合同及附件文本；</w:t>
      </w:r>
    </w:p>
    <w:p w14:paraId="757E35A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-3、技术参数中要求的有效证书；</w:t>
      </w:r>
    </w:p>
    <w:p w14:paraId="268CE76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-4、相应的国家标准、规范等。</w:t>
      </w:r>
    </w:p>
    <w:p w14:paraId="7044057A">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、保密责任</w:t>
      </w:r>
    </w:p>
    <w:p w14:paraId="3C93355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双方均应遵守《中华人民共和国保守国家秘密法》和其它相关规定，妥善保管对方提供的资料，保守对方的各项秘密，保护对方的知识产权；未经对方许可，不得利用知悉的对方资料和成果为自己或第三方谋取利益。</w:t>
      </w:r>
    </w:p>
    <w:p w14:paraId="79D8E425">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、通知与送达</w:t>
      </w:r>
    </w:p>
    <w:p w14:paraId="2A63FFA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1、甲乙双方应当在3天内将与合同有关的通知、批准、证明、证书、指示、指令、要求、请求、同意、意见、确定和决定等书面函件送达对方当事人。</w:t>
      </w:r>
    </w:p>
    <w:p w14:paraId="676FF81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16EA276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3、甲乙双方应当及时签收另一方送达至送达地点和指定接收人的来往信函。拒不签收的，由此增加的费用和（或）延误的交货期由拒绝接收一方承担。</w:t>
      </w:r>
    </w:p>
    <w:p w14:paraId="148448C5">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十六、合同争议解决的方式</w:t>
      </w:r>
    </w:p>
    <w:p w14:paraId="50273B5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本合同在履行过程中发生的争议，由甲、乙方当事人协商解决；也可由当地工商行政管理部门调解；协商或调解不成的按以下第2种方式解决；</w:t>
      </w:r>
    </w:p>
    <w:p w14:paraId="0F44B33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1、提交西安仲裁委员会仲裁；</w:t>
      </w:r>
    </w:p>
    <w:p w14:paraId="57332F1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2、依法向甲方所在地人民法院起诉。</w:t>
      </w:r>
    </w:p>
    <w:p w14:paraId="42EFE6A1">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十七、其他事项</w:t>
      </w:r>
    </w:p>
    <w:p w14:paraId="3D2DFC9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1、招标文件、投标文件、澄清表（函）、合同附件均成为合同不可分割的部分。</w:t>
      </w:r>
    </w:p>
    <w:p w14:paraId="2CEFFFB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2、合同未尽事宜，由甲、乙双方协商，另行签订补充合同，为本合同有效组成部分。</w:t>
      </w:r>
    </w:p>
    <w:p w14:paraId="70E01DE5">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本合同一式伍份，甲方、乙方各执贰份；采购代理机构执壹份。各方签字盖章后生效，合同执行完毕自动终止。（合同的服务承诺则长期有效）。</w:t>
      </w:r>
    </w:p>
    <w:p w14:paraId="541A2953">
      <w:pPr>
        <w:spacing w:line="360" w:lineRule="auto"/>
        <w:rPr>
          <w:rFonts w:hint="eastAsia" w:ascii="仿宋" w:hAnsi="仿宋" w:eastAsia="仿宋" w:cs="仿宋"/>
          <w:sz w:val="28"/>
          <w:szCs w:val="28"/>
        </w:rPr>
      </w:pPr>
    </w:p>
    <w:p w14:paraId="68F96501">
      <w:pPr>
        <w:spacing w:line="360" w:lineRule="auto"/>
        <w:ind w:left="7602" w:leftChars="20" w:hanging="7560" w:hangingChars="2700"/>
        <w:rPr>
          <w:rFonts w:hint="eastAsia" w:ascii="仿宋" w:hAnsi="仿宋" w:eastAsia="仿宋" w:cs="仿宋"/>
          <w:sz w:val="28"/>
          <w:szCs w:val="28"/>
        </w:rPr>
      </w:pPr>
      <w:r>
        <w:rPr>
          <w:rFonts w:hint="eastAsia" w:ascii="仿宋" w:hAnsi="仿宋" w:eastAsia="仿宋" w:cs="仿宋"/>
          <w:sz w:val="28"/>
          <w:szCs w:val="28"/>
        </w:rPr>
        <w:t xml:space="preserve">甲      方：                         乙      方：                     </w:t>
      </w:r>
    </w:p>
    <w:p w14:paraId="2F43C763">
      <w:pPr>
        <w:spacing w:line="360" w:lineRule="auto"/>
        <w:ind w:left="6921" w:leftChars="29" w:hanging="6860" w:hangingChars="2450"/>
        <w:rPr>
          <w:rFonts w:hint="eastAsia" w:ascii="仿宋" w:hAnsi="仿宋" w:eastAsia="仿宋" w:cs="仿宋"/>
          <w:sz w:val="28"/>
          <w:szCs w:val="28"/>
        </w:rPr>
      </w:pPr>
      <w:r>
        <w:rPr>
          <w:rFonts w:hint="eastAsia" w:ascii="仿宋" w:hAnsi="仿宋" w:eastAsia="仿宋" w:cs="仿宋"/>
          <w:sz w:val="28"/>
          <w:szCs w:val="28"/>
        </w:rPr>
        <w:t xml:space="preserve">地      址：                         地      址：                      </w:t>
      </w:r>
    </w:p>
    <w:p w14:paraId="32B2FAF5">
      <w:pPr>
        <w:spacing w:line="360" w:lineRule="auto"/>
        <w:rPr>
          <w:rFonts w:hint="eastAsia" w:ascii="仿宋" w:hAnsi="仿宋" w:eastAsia="仿宋" w:cs="仿宋"/>
          <w:sz w:val="28"/>
          <w:szCs w:val="28"/>
        </w:rPr>
      </w:pPr>
      <w:r>
        <w:rPr>
          <w:rFonts w:hint="eastAsia" w:ascii="仿宋" w:hAnsi="仿宋" w:eastAsia="仿宋" w:cs="仿宋"/>
          <w:sz w:val="28"/>
          <w:szCs w:val="28"/>
        </w:rPr>
        <w:t>法定代表人：                          法定代表人：</w:t>
      </w:r>
    </w:p>
    <w:p w14:paraId="06F1B3AB">
      <w:pPr>
        <w:spacing w:line="360" w:lineRule="auto"/>
        <w:rPr>
          <w:rFonts w:hint="eastAsia" w:ascii="仿宋" w:hAnsi="仿宋" w:eastAsia="仿宋" w:cs="仿宋"/>
          <w:sz w:val="28"/>
          <w:szCs w:val="28"/>
        </w:rPr>
      </w:pPr>
      <w:r>
        <w:rPr>
          <w:rFonts w:hint="eastAsia" w:ascii="仿宋" w:hAnsi="仿宋" w:eastAsia="仿宋" w:cs="仿宋"/>
          <w:sz w:val="28"/>
          <w:szCs w:val="28"/>
        </w:rPr>
        <w:t>委托代理人：                          委托代理人：</w:t>
      </w:r>
    </w:p>
    <w:p w14:paraId="75FAD5FF">
      <w:pPr>
        <w:spacing w:line="360" w:lineRule="auto"/>
        <w:rPr>
          <w:rFonts w:hint="eastAsia" w:ascii="仿宋" w:hAnsi="仿宋" w:eastAsia="仿宋" w:cs="仿宋"/>
          <w:spacing w:val="-10"/>
          <w:sz w:val="28"/>
          <w:szCs w:val="28"/>
        </w:rPr>
      </w:pPr>
      <w:r>
        <w:rPr>
          <w:rFonts w:hint="eastAsia" w:ascii="仿宋" w:hAnsi="仿宋" w:eastAsia="仿宋" w:cs="仿宋"/>
          <w:spacing w:val="-10"/>
          <w:sz w:val="28"/>
          <w:szCs w:val="28"/>
        </w:rPr>
        <w:t>联 系 电 话</w:t>
      </w:r>
      <w:r>
        <w:rPr>
          <w:rFonts w:hint="eastAsia" w:ascii="仿宋" w:hAnsi="仿宋" w:eastAsia="仿宋" w:cs="仿宋"/>
          <w:sz w:val="28"/>
          <w:szCs w:val="28"/>
        </w:rPr>
        <w:t xml:space="preserve">：                          </w:t>
      </w:r>
      <w:r>
        <w:rPr>
          <w:rFonts w:hint="eastAsia" w:ascii="仿宋" w:hAnsi="仿宋" w:eastAsia="仿宋" w:cs="仿宋"/>
          <w:spacing w:val="-10"/>
          <w:sz w:val="28"/>
          <w:szCs w:val="28"/>
        </w:rPr>
        <w:t>联 系 电 话</w:t>
      </w:r>
      <w:r>
        <w:rPr>
          <w:rFonts w:hint="eastAsia" w:ascii="仿宋" w:hAnsi="仿宋" w:eastAsia="仿宋" w:cs="仿宋"/>
          <w:sz w:val="28"/>
          <w:szCs w:val="28"/>
        </w:rPr>
        <w:t xml:space="preserve">：                    </w:t>
      </w:r>
    </w:p>
    <w:p w14:paraId="479F02DF">
      <w:pPr>
        <w:spacing w:line="360" w:lineRule="auto"/>
        <w:rPr>
          <w:rFonts w:hint="eastAsia" w:ascii="仿宋" w:hAnsi="仿宋" w:eastAsia="仿宋" w:cs="仿宋"/>
          <w:spacing w:val="-10"/>
          <w:sz w:val="28"/>
          <w:szCs w:val="28"/>
        </w:rPr>
      </w:pPr>
      <w:r>
        <w:rPr>
          <w:rFonts w:hint="eastAsia" w:ascii="仿宋" w:hAnsi="仿宋" w:eastAsia="仿宋" w:cs="仿宋"/>
          <w:spacing w:val="-10"/>
          <w:sz w:val="28"/>
          <w:szCs w:val="28"/>
        </w:rPr>
        <w:t>签 订 日 期：                               签 订 日 期：</w:t>
      </w:r>
    </w:p>
    <w:p w14:paraId="0206F206">
      <w:pPr>
        <w:rPr>
          <w:rFonts w:hint="eastAsia" w:ascii="仿宋" w:hAnsi="仿宋" w:eastAsia="仿宋" w:cs="仿宋"/>
          <w:sz w:val="28"/>
          <w:szCs w:val="28"/>
        </w:rPr>
      </w:pPr>
    </w:p>
    <w:p w14:paraId="4A6DFFA5">
      <w:pPr>
        <w:spacing w:line="560" w:lineRule="exact"/>
        <w:ind w:firstLine="472"/>
        <w:jc w:val="left"/>
        <w:rPr>
          <w:rFonts w:hint="eastAsia" w:ascii="仿宋" w:hAnsi="仿宋" w:eastAsia="仿宋" w:cs="仿宋"/>
          <w:b/>
          <w:bCs/>
          <w:kern w:val="1"/>
          <w:sz w:val="28"/>
          <w:szCs w:val="28"/>
        </w:rPr>
      </w:pPr>
      <w:r>
        <w:rPr>
          <w:rFonts w:hint="eastAsia" w:ascii="仿宋" w:hAnsi="仿宋" w:eastAsia="仿宋" w:cs="仿宋"/>
          <w:b/>
          <w:bCs/>
          <w:kern w:val="1"/>
          <w:sz w:val="28"/>
          <w:szCs w:val="28"/>
          <w:lang w:eastAsia="zh-Hans"/>
        </w:rPr>
        <w:t>*最终合同模版以甲方所提供的合同稿件为准</w:t>
      </w:r>
    </w:p>
    <w:p w14:paraId="233B101B"/>
    <w:p w14:paraId="35364FFA">
      <w:pPr>
        <w:spacing w:line="360" w:lineRule="auto"/>
        <w:rPr>
          <w:rFonts w:hint="eastAsia" w:ascii="仿宋" w:hAnsi="仿宋" w:eastAsia="仿宋" w:cs="仿宋"/>
          <w:color w:val="000000"/>
          <w:sz w:val="28"/>
          <w:szCs w:val="28"/>
        </w:rPr>
      </w:pPr>
    </w:p>
    <w:p w14:paraId="3BDF9DF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F835F9"/>
    <w:rsid w:val="14F835F9"/>
    <w:rsid w:val="39FA3EB5"/>
    <w:rsid w:val="670B151E"/>
    <w:rsid w:val="73813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0" w:line="324" w:lineRule="auto"/>
      <w:jc w:val="both"/>
    </w:pPr>
    <w:rPr>
      <w:rFonts w:ascii="Times New Roman" w:hAnsi="Times New Roman" w:eastAsia="宋体" w:cs="Times New Roman"/>
      <w:color w:val="993300"/>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376</Words>
  <Characters>379</Characters>
  <Lines>0</Lines>
  <Paragraphs>0</Paragraphs>
  <TotalTime>1</TotalTime>
  <ScaleCrop>false</ScaleCrop>
  <LinksUpToDate>false</LinksUpToDate>
  <CharactersWithSpaces>440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2025-07-30T03:16:00Z</dcterms:created>
  <dc:creator>A-Sa</dc:creator>
  <cp:lastModifiedBy>A-Sa</cp:lastModifiedBy>
  <dcterms:modified xsi:type="dcterms:W3CDTF">2025-12-16T08:01:32Z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12A5535809CC4FB39C4E9DA7E65D960E_13</vt:lpwstr>
  </property>
  <property fmtid="{D5CDD505-2E9C-101B-9397-08002B2CF9AE}" pid="4" name="KSOTemplateDocerSaveRecord">
    <vt:lpwstr>eyJoZGlkIjoiNWU5YzU3NTIyOWFkYzczZTM3ODYwOGJjYzk3OGVhZTUiLCJ1c2VySWQiOiI5Mzc5NjEzNTAifQ==</vt:lpwstr>
  </property>
</Properties>
</file>