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版本号：SXZH-2025-15320251216001</w:t>
      </w:r>
      <w:r>
        <w:br/>
      </w:r>
      <w:r>
        <w:br/>
      </w:r>
      <w:r>
        <w:br/>
      </w:r>
      <w:r>
        <w:br/>
      </w:r>
      <w:r>
        <w:br/>
      </w:r>
    </w:p>
    <w:p>
      <w:pPr>
        <w:pStyle w:val="null3"/>
        <w:jc w:val="center"/>
        <w:outlineLvl w:val="0"/>
      </w:pPr>
      <w:r>
        <w:rPr>
          <w:rFonts w:ascii="仿宋_GB2312" w:hAnsi="仿宋_GB2312" w:cs="仿宋_GB2312" w:eastAsia="仿宋_GB2312"/>
          <w:sz w:val="48"/>
          <w:b/>
        </w:rPr>
        <w:t>询价通知书</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秦岭违规穿越探险重点线路综合防控能力提升项目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SXZH-2025-153</w:t>
      </w:r>
      <w:r>
        <w:br/>
      </w:r>
      <w:r>
        <w:br/>
      </w:r>
      <w:r>
        <w:br/>
      </w:r>
    </w:p>
    <w:p>
      <w:pPr>
        <w:pStyle w:val="null3"/>
        <w:jc w:val="center"/>
        <w:outlineLvl w:val="2"/>
      </w:pPr>
      <w:r>
        <w:rPr>
          <w:rFonts w:ascii="仿宋_GB2312" w:hAnsi="仿宋_GB2312" w:cs="仿宋_GB2312" w:eastAsia="仿宋_GB2312"/>
          <w:sz w:val="28"/>
          <w:b/>
        </w:rPr>
        <w:t>陕西牛背梁国家级自然保护区管理局</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第一章 询价邀请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陕西牛背梁国家级自然保护区管理局</w:t>
      </w:r>
      <w:r>
        <w:rPr>
          <w:rFonts w:ascii="仿宋_GB2312" w:hAnsi="仿宋_GB2312" w:cs="仿宋_GB2312" w:eastAsia="仿宋_GB2312"/>
        </w:rPr>
        <w:t>委托，拟对</w:t>
      </w:r>
      <w:r>
        <w:rPr>
          <w:rFonts w:ascii="仿宋_GB2312" w:hAnsi="仿宋_GB2312" w:cs="仿宋_GB2312" w:eastAsia="仿宋_GB2312"/>
        </w:rPr>
        <w:t>秦岭违规穿越探险重点线路综合防控能力提升项目</w:t>
      </w:r>
      <w:r>
        <w:rPr>
          <w:rFonts w:ascii="仿宋_GB2312" w:hAnsi="仿宋_GB2312" w:cs="仿宋_GB2312" w:eastAsia="仿宋_GB2312"/>
        </w:rPr>
        <w:t>进行询价采购，兹邀请供应商参加询价。</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SXZH-2025-153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秦岭违规穿越探险重点线路综合防控能力提升项目</w:t>
      </w:r>
    </w:p>
    <w:p>
      <w:pPr>
        <w:pStyle w:val="null3"/>
        <w:outlineLvl w:val="2"/>
      </w:pPr>
      <w:r>
        <w:rPr>
          <w:rFonts w:ascii="仿宋_GB2312" w:hAnsi="仿宋_GB2312" w:cs="仿宋_GB2312" w:eastAsia="仿宋_GB2312"/>
          <w:sz w:val="28"/>
          <w:b/>
        </w:rPr>
        <w:t>三、项目简介</w:t>
      </w:r>
    </w:p>
    <w:p>
      <w:pPr>
        <w:pStyle w:val="null3"/>
        <w:ind w:firstLine="480"/>
      </w:pPr>
      <w:r>
        <w:rPr>
          <w:rFonts w:ascii="仿宋_GB2312" w:hAnsi="仿宋_GB2312" w:cs="仿宋_GB2312" w:eastAsia="仿宋_GB2312"/>
        </w:rPr>
        <w:t>通过增设管护站点、视频监控、无人机巡护 系统、电子围栏、语音提示等设施设备，优化防控力量布局，强化技术应用，显著提升秦岭违规穿越探险重点线路的综合防控能力，有效遏制违规穿越行为，减少人为活动对秦岭生态环境的干扰破坏，维护区域生态安全和人员安全。</w:t>
      </w:r>
    </w:p>
    <w:p>
      <w:pPr>
        <w:pStyle w:val="null3"/>
        <w:outlineLvl w:val="2"/>
      </w:pPr>
      <w:r>
        <w:rPr>
          <w:rFonts w:ascii="仿宋_GB2312" w:hAnsi="仿宋_GB2312" w:cs="仿宋_GB2312" w:eastAsia="仿宋_GB2312"/>
          <w:sz w:val="28"/>
          <w:b/>
        </w:rPr>
        <w:t>四、邀请供应商方式</w:t>
      </w:r>
    </w:p>
    <w:p>
      <w:pPr>
        <w:pStyle w:val="null3"/>
      </w:pPr>
      <w:r>
        <w:rPr>
          <w:rFonts w:ascii="仿宋_GB2312" w:hAnsi="仿宋_GB2312" w:cs="仿宋_GB2312" w:eastAsia="仿宋_GB2312"/>
        </w:rPr>
        <w:t>本次采购采取公告征集邀请询价的供应商。</w:t>
      </w:r>
    </w:p>
    <w:p>
      <w:pPr>
        <w:pStyle w:val="null3"/>
      </w:pPr>
      <w:r>
        <w:rPr>
          <w:rFonts w:ascii="仿宋_GB2312" w:hAnsi="仿宋_GB2312" w:cs="仿宋_GB2312" w:eastAsia="仿宋_GB2312"/>
        </w:rPr>
        <w:t xml:space="preserve"> 公告征集：本次询价采购在“陕西省政府采购网（www.ccgp-shaanxi.gov.cn）”上以公告形式发布，兹邀请符合本次采购要求的供应商参加本项目询价采购。</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采购包1（秦岭违规穿越探险重点线路综合防控能力提升项目）：属于专门面向中小企业采购。</w:t>
      </w:r>
    </w:p>
    <w:p>
      <w:pPr>
        <w:pStyle w:val="null3"/>
        <w:ind w:firstLine="480"/>
        <w:jc w:val="left"/>
      </w:pPr>
      <w:r>
        <w:rPr>
          <w:rFonts w:ascii="仿宋_GB2312" w:hAnsi="仿宋_GB2312" w:cs="仿宋_GB2312" w:eastAsia="仿宋_GB2312"/>
        </w:rPr>
        <w:t xml:space="preserve"> 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七、询价通知书获取时间、方式及地址</w:t>
      </w:r>
    </w:p>
    <w:p>
      <w:pPr>
        <w:pStyle w:val="null3"/>
        <w:ind w:firstLine="480"/>
      </w:pPr>
      <w:r>
        <w:rPr>
          <w:rFonts w:ascii="仿宋_GB2312" w:hAnsi="仿宋_GB2312" w:cs="仿宋_GB2312" w:eastAsia="仿宋_GB2312"/>
        </w:rPr>
        <w:t>（一）询价通知书获取时间：详见采购公告。</w:t>
      </w:r>
    </w:p>
    <w:p>
      <w:pPr>
        <w:pStyle w:val="null3"/>
        <w:ind w:firstLine="480"/>
      </w:pPr>
      <w:r>
        <w:rPr>
          <w:rFonts w:ascii="仿宋_GB2312" w:hAnsi="仿宋_GB2312" w:cs="仿宋_GB2312" w:eastAsia="仿宋_GB2312"/>
        </w:rPr>
        <w:t xml:space="preserve"> （二）在询价通知书获取开始时间前，采购人或代理机构将本项目询价通知书上传至项目电子化交易系统，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rFonts w:ascii="仿宋_GB2312" w:hAnsi="仿宋_GB2312" w:cs="仿宋_GB2312" w:eastAsia="仿宋_GB2312"/>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澄清或者修改后的询价通知书发布日期距提交响应文件截止日期不足3个工作日的，采购人或代理机构顺延提交响应文件的截止时间。供应商未重新获取询价通知书或者未按照澄清或者修改后的询价通知书编制响应文件进行响应的，自行承担不利后果。</w:t>
      </w:r>
    </w:p>
    <w:p>
      <w:pPr>
        <w:pStyle w:val="null3"/>
        <w:ind w:firstLine="480"/>
      </w:pPr>
      <w:r>
        <w:rPr>
          <w:rFonts w:ascii="仿宋_GB2312" w:hAnsi="仿宋_GB2312" w:cs="仿宋_GB2312" w:eastAsia="仿宋_GB2312"/>
        </w:rPr>
        <w:t>注：获取的询价通知书主体格式包括pdf、word两种格式版本，其中以pdf格式为准。</w:t>
      </w:r>
    </w:p>
    <w:p>
      <w:pPr>
        <w:pStyle w:val="null3"/>
        <w:outlineLvl w:val="2"/>
      </w:pPr>
      <w:r>
        <w:rPr>
          <w:rFonts w:ascii="仿宋_GB2312" w:hAnsi="仿宋_GB2312" w:cs="仿宋_GB2312" w:eastAsia="仿宋_GB2312"/>
          <w:sz w:val="28"/>
          <w:b/>
        </w:rPr>
        <w:t>八、响应文件提交截止时间及开启时间（北京时间）、地点、方式</w:t>
      </w:r>
    </w:p>
    <w:p>
      <w:pPr>
        <w:pStyle w:val="null3"/>
        <w:ind w:firstLine="480"/>
      </w:pPr>
      <w:r>
        <w:rPr>
          <w:rFonts w:ascii="仿宋_GB2312" w:hAnsi="仿宋_GB2312" w:cs="仿宋_GB2312" w:eastAsia="仿宋_GB2312"/>
        </w:rPr>
        <w:t>（一）响应文件提交截止时间及开启时间：详见采购公告。</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（三）本项目采取网上开启，即采购人或代理机构通过项目电子化交易系统“开标/开启大厅”组织在线开启。</w:t>
      </w:r>
    </w:p>
    <w:p>
      <w:pPr>
        <w:pStyle w:val="null3"/>
        <w:outlineLvl w:val="2"/>
      </w:pPr>
      <w:r>
        <w:rPr>
          <w:rFonts w:ascii="仿宋_GB2312" w:hAnsi="仿宋_GB2312" w:cs="仿宋_GB2312" w:eastAsia="仿宋_GB2312"/>
          <w:sz w:val="28"/>
          <w:b/>
        </w:rPr>
        <w:t>九、本询价邀请在陕西省政府采购网以公告形式发布</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陕西牛背梁国家级自然保护区管理局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西安长安区航天大道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陕西牛背梁国家级自然保护区管理局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029-85641765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陕西省西安市雁塔区南二环东段凯森盛世B座2层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029-89533929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供应商的采购包响应报价高于采购包采购预算的，其响应文件将按无效处理。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如以联合体响应的，联合体各方均应当具备本询价通知书要求的资格条件和能力。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（2）询价通知书对供应商资格条件有特殊要求的，联合体各个成员都应当具备规定的相应资格条件。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rFonts w:ascii="仿宋_GB2312" w:hAnsi="仿宋_GB2312" w:cs="仿宋_GB2312" w:eastAsia="仿宋_GB2312"/>
              </w:rPr>
              <w:t xml:space="preserve"> 核心产品清单详见第三章。</w:t>
            </w:r>
          </w:p>
          <w:p>
            <w:pPr>
              <w:pStyle w:val="null3"/>
            </w:pPr>
            <w:r>
              <w:rPr>
                <w:rFonts w:ascii="仿宋_GB2312" w:hAnsi="仿宋_GB2312" w:cs="仿宋_GB2312" w:eastAsia="仿宋_GB2312"/>
              </w:rPr>
              <w:t xml:space="preserve"> 在符合性审查环节提供核心产品品牌不足3个的，视为有效响应供应商不足3家。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w:t>
            </w:r>
          </w:p>
          <w:p>
            <w:pPr>
              <w:pStyle w:val="null3"/>
            </w:pP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代理服务费收费标准：1.采购代理服务费以成交价为基准价，按照发改价格〔2011〕534号文 件、〔2015〕299号文件收费标准计取。 由成交供应商支付采购代理服务费，成交供应商在领取《成交通知书》之前，应当向采购代理机构交纳全额采购代理服务费。 2、采购代理服务费可以采取现金、支票、银行汇票、电汇、网银等方式缴纳。 3、招标代理服务费缴纳信息： 银行户名：陕西筑辉工程咨询有限公司 开户银行：北京银行股份有限公司西安经济技术开发区支行 账 号：20000041418600030109571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开启方式</w:t>
            </w:r>
          </w:p>
        </w:tc>
        <w:tc>
          <w:tcPr>
            <w:tcW w:type="dxa" w:w="5004"/>
          </w:tcPr>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一、本询价通知书仅适用于本次询价采购项目。</w:t>
      </w:r>
    </w:p>
    <w:p>
      <w:pPr>
        <w:pStyle w:val="null3"/>
        <w:ind w:firstLine="480"/>
      </w:pPr>
      <w:r>
        <w:rPr>
          <w:rFonts w:ascii="仿宋_GB2312" w:hAnsi="仿宋_GB2312" w:cs="仿宋_GB2312" w:eastAsia="仿宋_GB2312"/>
        </w:rPr>
        <w:t xml:space="preserve"> 二、本询价通知书的最终解释权由</w:t>
      </w:r>
      <w:r>
        <w:rPr>
          <w:rFonts w:ascii="仿宋_GB2312" w:hAnsi="仿宋_GB2312" w:cs="仿宋_GB2312" w:eastAsia="仿宋_GB2312"/>
        </w:rPr>
        <w:t>陕西牛背梁国家级自然保护区管理局</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享有。询价通知书中供应商参加本次政府采购活动应当具备的条件、技术、服务、商务及其他要求由采购人负责解释。除前述询价通知书内容，其他内容</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一、“采购人”是指依法进行政府采购的各级国家机关、事业单位、团体组织。本次询价采购项目的采购人是</w:t>
      </w:r>
      <w:r>
        <w:rPr>
          <w:rFonts w:ascii="仿宋_GB2312" w:hAnsi="仿宋_GB2312" w:cs="仿宋_GB2312" w:eastAsia="仿宋_GB2312"/>
        </w:rPr>
        <w:t>陕西牛背梁国家级自然保护区管理局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二、“供应商”是指按照本项目询价通知书规定获取询价通知书，拟参加响应和向采购人提供货物、工程或服务的法人、其他组织或自然人。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rFonts w:ascii="仿宋_GB2312" w:hAnsi="仿宋_GB2312" w:cs="仿宋_GB2312" w:eastAsia="仿宋_GB2312"/>
        </w:rPr>
        <w:t xml:space="preserve"> 五、“电子评审”是指通过项目电子化交易系统在线完成资格审查小组和询价小组组建，开展资格和符合性审查、比较与评价、出具评审报告、推荐成交候选供应商等活动。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2.3询价通知书</w:t>
      </w:r>
    </w:p>
    <w:p>
      <w:pPr>
        <w:pStyle w:val="null3"/>
        <w:outlineLvl w:val="3"/>
      </w:pPr>
      <w:r>
        <w:rPr>
          <w:rFonts w:ascii="仿宋_GB2312" w:hAnsi="仿宋_GB2312" w:cs="仿宋_GB2312" w:eastAsia="仿宋_GB2312"/>
          <w:sz w:val="24"/>
          <w:b/>
        </w:rPr>
        <w:t xml:space="preserve"> 2.3.1询价通知书的构成</w:t>
      </w:r>
    </w:p>
    <w:p>
      <w:pPr>
        <w:pStyle w:val="null3"/>
        <w:ind w:firstLine="480"/>
      </w:pPr>
      <w:r>
        <w:rPr>
          <w:rFonts w:ascii="仿宋_GB2312" w:hAnsi="仿宋_GB2312" w:cs="仿宋_GB2312" w:eastAsia="仿宋_GB2312"/>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rFonts w:ascii="仿宋_GB2312" w:hAnsi="仿宋_GB2312" w:cs="仿宋_GB2312" w:eastAsia="仿宋_GB2312"/>
        </w:rPr>
        <w:t>（一）询价邀请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（五）询价方法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rFonts w:ascii="仿宋_GB2312" w:hAnsi="仿宋_GB2312" w:cs="仿宋_GB2312" w:eastAsia="仿宋_GB2312"/>
          <w:sz w:val="24"/>
          <w:b/>
        </w:rPr>
        <w:t xml:space="preserve"> 2.3.2询价通知书的澄清和修改</w:t>
      </w:r>
    </w:p>
    <w:p>
      <w:pPr>
        <w:pStyle w:val="null3"/>
        <w:ind w:firstLine="480"/>
      </w:pPr>
      <w:r>
        <w:rPr>
          <w:rFonts w:ascii="仿宋_GB2312" w:hAnsi="仿宋_GB2312" w:cs="仿宋_GB2312" w:eastAsia="仿宋_GB2312"/>
        </w:rPr>
        <w:t>一、在响应文件提交截止时间前，采购人或者代理机构可以对已发出的询价通知书进行必要的澄清或者修改。</w:t>
      </w:r>
    </w:p>
    <w:p>
      <w:pPr>
        <w:pStyle w:val="null3"/>
        <w:ind w:firstLine="480"/>
      </w:pPr>
      <w:r>
        <w:rPr>
          <w:rFonts w:ascii="仿宋_GB2312" w:hAnsi="仿宋_GB2312" w:cs="仿宋_GB2312" w:eastAsia="仿宋_GB2312"/>
        </w:rPr>
        <w:t xml:space="preserve"> 二、澄清或者修改的内容为询价通知书的组成部分。采购人或代理机构将在陕西省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除询价通知书中另有规定外，本项目均采用国家法定的计量单位。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三、如采用供应商所不拥有的知识产权，则在报价中必须包括合法获取使用该知识产权的相关费用。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一、供应商应按照询价通知书的规定和要求编制响应文件。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一、供应商应按照询价通知书第六章中提供的“响应文件格式”填写相关内容。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三、通过资格审查和符合性审查供应商的响应文件中的报价表或分项报价明细表是一次性不可更改的报价。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一、响应文件应当根据询价通知书进行编制。供应商应通过陕西省政府采购网-办事指南-CA及签章服务下载响应客户端，使用客户端编制响应文件。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2.5.开启、资格审查、询价和成交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一、本项目为网上询价项目。网上开启的开始时间为响应文件提交截止时间。成功提交或解密电子响应文件的供应商不足3家的，不予开启，采购人或代理机构将终止采购活动。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响应文件提交截止时间前30分钟，供应商登录项目电子化交易系统-“开标/开启大厅”参与开启。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详见询价通知书第四章。</w:t>
      </w:r>
    </w:p>
    <w:p>
      <w:pPr>
        <w:pStyle w:val="null3"/>
        <w:outlineLvl w:val="3"/>
      </w:pPr>
      <w:r>
        <w:rPr>
          <w:rFonts w:ascii="仿宋_GB2312" w:hAnsi="仿宋_GB2312" w:cs="仿宋_GB2312" w:eastAsia="仿宋_GB2312"/>
          <w:sz w:val="24"/>
          <w:b/>
        </w:rPr>
        <w:t>2.5.4询价</w:t>
      </w:r>
    </w:p>
    <w:p>
      <w:pPr>
        <w:pStyle w:val="null3"/>
        <w:ind w:firstLine="480"/>
      </w:pPr>
      <w:r>
        <w:rPr>
          <w:rFonts w:ascii="仿宋_GB2312" w:hAnsi="仿宋_GB2312" w:cs="仿宋_GB2312" w:eastAsia="仿宋_GB2312"/>
        </w:rPr>
        <w:t>详见询价通知书第五章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一、采购人或者询价小组确认成交供应商后，代理机构在陕西省政府采购网发布成交结果公告、通过项目电子化交易系统发出成交通知书，成交供应商通过项目电子化交易系统获取成交通知书。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二、采购人和成交供应商签订的采购合同不得对询价通知书确定的事项以及成交供应商的响应文件作实质性修改。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2.7询价采购工作纪律及要求</w:t>
      </w:r>
    </w:p>
    <w:p>
      <w:pPr>
        <w:pStyle w:val="null3"/>
        <w:outlineLvl w:val="3"/>
      </w:pPr>
      <w:r>
        <w:rPr>
          <w:rFonts w:ascii="仿宋_GB2312" w:hAnsi="仿宋_GB2312" w:cs="仿宋_GB2312" w:eastAsia="仿宋_GB2312"/>
          <w:sz w:val="24"/>
          <w:b/>
        </w:rPr>
        <w:t xml:space="preserve"> 2.7.1供应商不得具有的情形（实质性要求）</w:t>
      </w:r>
    </w:p>
    <w:p>
      <w:pPr>
        <w:pStyle w:val="null3"/>
        <w:ind w:firstLine="480"/>
      </w:pPr>
      <w:r>
        <w:rPr>
          <w:rFonts w:ascii="仿宋_GB2312" w:hAnsi="仿宋_GB2312" w:cs="仿宋_GB2312" w:eastAsia="仿宋_GB2312"/>
        </w:rPr>
        <w:t>供应商参加询价不得有下列情形：</w:t>
      </w:r>
    </w:p>
    <w:p>
      <w:pPr>
        <w:pStyle w:val="null3"/>
        <w:ind w:firstLine="480"/>
      </w:pPr>
      <w:r>
        <w:rPr>
          <w:rFonts w:ascii="仿宋_GB2312" w:hAnsi="仿宋_GB2312" w:cs="仿宋_GB2312" w:eastAsia="仿宋_GB2312"/>
        </w:rPr>
        <w:t>一、有下列情形之一的，视为供应商串通询价：</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（二）不同供应商委托同一单位或者个人办理询价事宜；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五、向采购人或代理机构、询价小组成员行贿或者提供其他不正当利益；</w:t>
      </w:r>
    </w:p>
    <w:p>
      <w:pPr>
        <w:pStyle w:val="null3"/>
        <w:ind w:firstLine="480"/>
      </w:pPr>
      <w:r>
        <w:rPr>
          <w:rFonts w:ascii="仿宋_GB2312" w:hAnsi="仿宋_GB2312" w:cs="仿宋_GB2312" w:eastAsia="仿宋_GB2312"/>
        </w:rPr>
        <w:t>六、在询价过程中与采购人或代理机构进行协商谈判；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八、未按照询价通知书确定的事项签订政府采购合同；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根据委托代理协议约定，供应商对询价通知书的询问、质疑由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（五）针对质疑事项必要的证明材料（针对询价通知书提出的质疑，需提交从项目电子化交易系统获取的询价通知书回执函）。</w:t>
      </w:r>
    </w:p>
    <w:p>
      <w:pPr>
        <w:pStyle w:val="null3"/>
        <w:ind w:firstLine="480"/>
      </w:pPr>
      <w:r>
        <w:rPr>
          <w:rFonts w:ascii="仿宋_GB2312" w:hAnsi="仿宋_GB2312" w:cs="仿宋_GB2312" w:eastAsia="仿宋_GB2312"/>
        </w:rPr>
        <w:t>注：根据《中华人民共和国政府采购法》的规定，供应商质疑不得超出询价通知书、询价过程、成交结果的范围。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通过增设管护站点、视频监控、无人机巡护 系统、电子围栏、语音提示等设施设备，优化防控力量布局，强化技术应用，显著提升秦岭违规穿越探险重点线路的综合防控能力，有效遏制违规穿越行为，减少人为活动对秦岭生态环境的干扰破坏，维护区域生态安全和人员安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81300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20000.00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A02430900</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架</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35700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140000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143000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3.3技术参数及要求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标的名称：81300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普通隔离栏</w:t>
            </w:r>
          </w:p>
          <w:p>
            <w:pPr>
              <w:pStyle w:val="null3"/>
            </w:pPr>
            <w:r>
              <w:rPr>
                <w:rFonts w:ascii="仿宋_GB2312" w:hAnsi="仿宋_GB2312" w:cs="仿宋_GB2312" w:eastAsia="仿宋_GB2312"/>
              </w:rPr>
              <w:t>网孔：≤15×15cm，网片：≤180×180cm；立柱：≥15×15×200cm</w:t>
            </w:r>
          </w:p>
        </w:tc>
      </w:tr>
    </w:tbl>
    <w:p>
      <w:pPr>
        <w:pStyle w:val="null3"/>
      </w:pPr>
      <w:r>
        <w:rPr>
          <w:rFonts w:ascii="仿宋_GB2312" w:hAnsi="仿宋_GB2312" w:cs="仿宋_GB2312" w:eastAsia="仿宋_GB2312"/>
        </w:rPr>
        <w:t>标的名称：20000.00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汽油发电机</w:t>
            </w:r>
          </w:p>
          <w:p>
            <w:pPr>
              <w:pStyle w:val="null3"/>
            </w:pPr>
            <w:r>
              <w:rPr>
                <w:rFonts w:ascii="仿宋_GB2312" w:hAnsi="仿宋_GB2312" w:cs="仿宋_GB2312" w:eastAsia="仿宋_GB2312"/>
              </w:rPr>
              <w:t xml:space="preserve">1.额定功率5kW </w:t>
            </w:r>
            <w:r>
              <w:br/>
            </w:r>
            <w:r>
              <w:rPr>
                <w:rFonts w:ascii="仿宋_GB2312" w:hAnsi="仿宋_GB2312" w:cs="仿宋_GB2312" w:eastAsia="仿宋_GB2312"/>
              </w:rPr>
              <w:t xml:space="preserve"> 2.发动机类型采用单缸四冲程</w:t>
            </w:r>
            <w:r>
              <w:br/>
            </w:r>
            <w:r>
              <w:rPr>
                <w:rFonts w:ascii="仿宋_GB2312" w:hAnsi="仿宋_GB2312" w:cs="仿宋_GB2312" w:eastAsia="仿宋_GB2312"/>
              </w:rPr>
              <w:t xml:space="preserve"> 3.支持连续工作10小时以上。</w:t>
            </w:r>
            <w:r>
              <w:br/>
            </w:r>
            <w:r>
              <w:rPr>
                <w:rFonts w:ascii="仿宋_GB2312" w:hAnsi="仿宋_GB2312" w:cs="仿宋_GB2312" w:eastAsia="仿宋_GB2312"/>
              </w:rPr>
              <w:t xml:space="preserve"> 4.电压稳定性波动范围：±2%，输出电压220V/50Hz（单相）或380V/50Hz（三相）4所述支持双电压切功能</w:t>
            </w:r>
            <w:r>
              <w:br/>
            </w:r>
            <w:r>
              <w:rPr>
                <w:rFonts w:ascii="仿宋_GB2312" w:hAnsi="仿宋_GB2312" w:cs="仿宋_GB2312" w:eastAsia="仿宋_GB2312"/>
              </w:rPr>
              <w:t xml:space="preserve"> 过载保护：负载超过110%时自动切断输出</w:t>
            </w:r>
            <w:r>
              <w:br/>
            </w:r>
            <w:r>
              <w:rPr>
                <w:rFonts w:ascii="仿宋_GB2312" w:hAnsi="仿宋_GB2312" w:cs="仿宋_GB2312" w:eastAsia="仿宋_GB2312"/>
              </w:rPr>
              <w:t xml:space="preserve"> 低油压报警：机油不足时停机保护发动机</w:t>
            </w:r>
            <w:r>
              <w:br/>
            </w:r>
            <w:r>
              <w:rPr>
                <w:rFonts w:ascii="仿宋_GB2312" w:hAnsi="仿宋_GB2312" w:cs="仿宋_GB2312" w:eastAsia="仿宋_GB2312"/>
              </w:rPr>
              <w:t xml:space="preserve"> 电压异常保护：防止设备损坏 </w:t>
            </w:r>
          </w:p>
        </w:tc>
      </w:tr>
    </w:tbl>
    <w:p>
      <w:pPr>
        <w:pStyle w:val="null3"/>
      </w:pPr>
      <w:r>
        <w:rPr>
          <w:rFonts w:ascii="仿宋_GB2312" w:hAnsi="仿宋_GB2312" w:cs="仿宋_GB2312" w:eastAsia="仿宋_GB2312"/>
        </w:rPr>
        <w:t>标的名称：A02430900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带机巢无人机（核心产品）</w:t>
            </w:r>
          </w:p>
          <w:p>
            <w:pPr>
              <w:pStyle w:val="null3"/>
            </w:pPr>
            <w:r>
              <w:rPr>
                <w:rFonts w:ascii="仿宋_GB2312" w:hAnsi="仿宋_GB2312" w:cs="仿宋_GB2312" w:eastAsia="仿宋_GB2312"/>
              </w:rPr>
              <w:t>最大运行海拔高度：≥2500 m</w:t>
            </w:r>
            <w:r>
              <w:br/>
            </w:r>
            <w:r>
              <w:rPr>
                <w:rFonts w:ascii="仿宋_GB2312" w:hAnsi="仿宋_GB2312" w:cs="仿宋_GB2312" w:eastAsia="仿宋_GB2312"/>
              </w:rPr>
              <w:t xml:space="preserve"> 最大作业半径：≥3000 m</w:t>
            </w:r>
            <w:r>
              <w:br/>
            </w:r>
            <w:r>
              <w:rPr>
                <w:rFonts w:ascii="仿宋_GB2312" w:hAnsi="仿宋_GB2312" w:cs="仿宋_GB2312" w:eastAsia="仿宋_GB2312"/>
              </w:rPr>
              <w:t xml:space="preserve"> RTK 基站卫星接收频点：同时接收:GPS、BeiDou</w:t>
            </w:r>
            <w:r>
              <w:br/>
            </w:r>
            <w:r>
              <w:rPr>
                <w:rFonts w:ascii="仿宋_GB2312" w:hAnsi="仿宋_GB2312" w:cs="仿宋_GB2312" w:eastAsia="仿宋_GB2312"/>
              </w:rPr>
              <w:t xml:space="preserve"> RTK 基站定位精准度：水平 : 5 cm、垂直: 10 cm</w:t>
            </w:r>
            <w:r>
              <w:br/>
            </w:r>
            <w:r>
              <w:rPr>
                <w:rFonts w:ascii="仿宋_GB2312" w:hAnsi="仿宋_GB2312" w:cs="仿宋_GB2312" w:eastAsia="仿宋_GB2312"/>
              </w:rPr>
              <w:t xml:space="preserve"> 飞行器：最大旋转角速度≥100°/s</w:t>
            </w:r>
            <w:r>
              <w:br/>
            </w:r>
            <w:r>
              <w:rPr>
                <w:rFonts w:ascii="仿宋_GB2312" w:hAnsi="仿宋_GB2312" w:cs="仿宋_GB2312" w:eastAsia="仿宋_GB2312"/>
              </w:rPr>
              <w:t xml:space="preserve"> 最大俯仰角度：≥35°</w:t>
            </w:r>
            <w:r>
              <w:br/>
            </w:r>
            <w:r>
              <w:rPr>
                <w:rFonts w:ascii="仿宋_GB2312" w:hAnsi="仿宋_GB2312" w:cs="仿宋_GB2312" w:eastAsia="仿宋_GB2312"/>
              </w:rPr>
              <w:t xml:space="preserve"> 最大上升/下降速度：≥3 m/s , 2 m/s</w:t>
            </w:r>
            <w:r>
              <w:br/>
            </w:r>
            <w:r>
              <w:rPr>
                <w:rFonts w:ascii="仿宋_GB2312" w:hAnsi="仿宋_GB2312" w:cs="仿宋_GB2312" w:eastAsia="仿宋_GB2312"/>
              </w:rPr>
              <w:t xml:space="preserve"> 最大水平飞行速度：≥18 m/s</w:t>
            </w:r>
            <w:r>
              <w:br/>
            </w:r>
            <w:r>
              <w:rPr>
                <w:rFonts w:ascii="仿宋_GB2312" w:hAnsi="仿宋_GB2312" w:cs="仿宋_GB2312" w:eastAsia="仿宋_GB2312"/>
              </w:rPr>
              <w:t xml:space="preserve"> 最大可承受风速：≥8 m/s</w:t>
            </w:r>
            <w:r>
              <w:br/>
            </w:r>
            <w:r>
              <w:rPr>
                <w:rFonts w:ascii="仿宋_GB2312" w:hAnsi="仿宋_GB2312" w:cs="仿宋_GB2312" w:eastAsia="仿宋_GB2312"/>
              </w:rPr>
              <w:t xml:space="preserve"> 最大悬停时间：≥20 分钟</w:t>
            </w:r>
            <w:r>
              <w:br/>
            </w:r>
            <w:r>
              <w:rPr>
                <w:rFonts w:ascii="仿宋_GB2312" w:hAnsi="仿宋_GB2312" w:cs="仿宋_GB2312" w:eastAsia="仿宋_GB2312"/>
              </w:rPr>
              <w:t xml:space="preserve"> 最大飞行时间：≥20 分钟</w:t>
            </w:r>
            <w:r>
              <w:br/>
            </w:r>
            <w:r>
              <w:rPr>
                <w:rFonts w:ascii="仿宋_GB2312" w:hAnsi="仿宋_GB2312" w:cs="仿宋_GB2312" w:eastAsia="仿宋_GB2312"/>
              </w:rPr>
              <w:t xml:space="preserve"> 工作环境温度：20°C至50°C</w:t>
            </w:r>
          </w:p>
        </w:tc>
      </w:tr>
    </w:tbl>
    <w:p>
      <w:pPr>
        <w:pStyle w:val="null3"/>
      </w:pPr>
      <w:r>
        <w:rPr>
          <w:rFonts w:ascii="仿宋_GB2312" w:hAnsi="仿宋_GB2312" w:cs="仿宋_GB2312" w:eastAsia="仿宋_GB2312"/>
        </w:rPr>
        <w:t>标的名称：35700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1、管护（检查）站点标识牌</w:t>
            </w:r>
          </w:p>
          <w:p>
            <w:pPr>
              <w:pStyle w:val="null3"/>
            </w:pPr>
            <w:r>
              <w:rPr>
                <w:rFonts w:ascii="仿宋_GB2312" w:hAnsi="仿宋_GB2312" w:cs="仿宋_GB2312" w:eastAsia="仿宋_GB2312"/>
              </w:rPr>
              <w:t>方形:300*150CM</w:t>
            </w:r>
            <w:r>
              <w:br/>
            </w:r>
            <w:r>
              <w:rPr>
                <w:rFonts w:ascii="仿宋_GB2312" w:hAnsi="仿宋_GB2312" w:cs="仿宋_GB2312" w:eastAsia="仿宋_GB2312"/>
              </w:rPr>
              <w:t xml:space="preserve"> 材质：铝合金</w:t>
            </w:r>
          </w:p>
          <w:p>
            <w:pPr>
              <w:pStyle w:val="null3"/>
            </w:pPr>
            <w:r>
              <w:rPr>
                <w:rFonts w:ascii="仿宋_GB2312" w:hAnsi="仿宋_GB2312" w:cs="仿宋_GB2312" w:eastAsia="仿宋_GB2312"/>
              </w:rPr>
              <w:t>2、简易路障设施</w:t>
            </w:r>
          </w:p>
          <w:p>
            <w:pPr>
              <w:pStyle w:val="null3"/>
            </w:pPr>
            <w:r>
              <w:rPr>
                <w:rFonts w:ascii="仿宋_GB2312" w:hAnsi="仿宋_GB2312" w:cs="仿宋_GB2312" w:eastAsia="仿宋_GB2312"/>
              </w:rPr>
              <w:t xml:space="preserve">尺寸：采用Φ89的钢管，地面伸出高度约80cm，相邻路障间距通常设置308cm。 </w:t>
            </w:r>
            <w:r>
              <w:br/>
            </w:r>
            <w:r>
              <w:rPr>
                <w:rFonts w:ascii="仿宋_GB2312" w:hAnsi="仿宋_GB2312" w:cs="仿宋_GB2312" w:eastAsia="仿宋_GB2312"/>
              </w:rPr>
              <w:t xml:space="preserve"> 材质与防腐：立柱多采用钢材，需进行防腐处理</w:t>
            </w:r>
          </w:p>
        </w:tc>
      </w:tr>
    </w:tbl>
    <w:p>
      <w:pPr>
        <w:pStyle w:val="null3"/>
      </w:pPr>
      <w:r>
        <w:rPr>
          <w:rFonts w:ascii="仿宋_GB2312" w:hAnsi="仿宋_GB2312" w:cs="仿宋_GB2312" w:eastAsia="仿宋_GB2312"/>
        </w:rPr>
        <w:t>标的名称：140000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禁止违规穿越探险警示牌</w:t>
            </w:r>
          </w:p>
          <w:p>
            <w:pPr>
              <w:pStyle w:val="null3"/>
            </w:pPr>
            <w:r>
              <w:rPr>
                <w:rFonts w:ascii="仿宋_GB2312" w:hAnsi="仿宋_GB2312" w:cs="仿宋_GB2312" w:eastAsia="仿宋_GB2312"/>
              </w:rPr>
              <w:t xml:space="preserve">尺寸：采用Φ89的钢管，地面伸出高度约80cm，相邻路障间距通常设置308cm。 </w:t>
            </w:r>
            <w:r>
              <w:br/>
            </w:r>
            <w:r>
              <w:rPr>
                <w:rFonts w:ascii="仿宋_GB2312" w:hAnsi="仿宋_GB2312" w:cs="仿宋_GB2312" w:eastAsia="仿宋_GB2312"/>
              </w:rPr>
              <w:t xml:space="preserve"> 材质与防腐：立柱多采用钢材，需进行防腐处理</w:t>
            </w:r>
          </w:p>
        </w:tc>
      </w:tr>
    </w:tbl>
    <w:p>
      <w:pPr>
        <w:pStyle w:val="null3"/>
      </w:pPr>
      <w:r>
        <w:rPr>
          <w:rFonts w:ascii="仿宋_GB2312" w:hAnsi="仿宋_GB2312" w:cs="仿宋_GB2312" w:eastAsia="仿宋_GB2312"/>
        </w:rPr>
        <w:t>标的名称：143000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电子围栏</w:t>
            </w:r>
          </w:p>
          <w:p>
            <w:pPr>
              <w:pStyle w:val="null3"/>
            </w:pPr>
            <w:r>
              <w:rPr>
                <w:rFonts w:ascii="仿宋_GB2312" w:hAnsi="仿宋_GB2312" w:cs="仿宋_GB2312" w:eastAsia="仿宋_GB2312"/>
              </w:rPr>
              <w:t>消耗功率不大于15VA;</w:t>
            </w:r>
            <w:r>
              <w:br/>
            </w:r>
            <w:r>
              <w:rPr>
                <w:rFonts w:ascii="仿宋_GB2312" w:hAnsi="仿宋_GB2312" w:cs="仿宋_GB2312" w:eastAsia="仿宋_GB2312"/>
              </w:rPr>
              <w:t xml:space="preserve"> 工作环境温度：-40°C~60°C;</w:t>
            </w:r>
            <w:r>
              <w:br/>
            </w:r>
            <w:r>
              <w:rPr>
                <w:rFonts w:ascii="仿宋_GB2312" w:hAnsi="仿宋_GB2312" w:cs="仿宋_GB2312" w:eastAsia="仿宋_GB2312"/>
              </w:rPr>
              <w:t xml:space="preserve"> 感应式自动报警，响应时间≤2s</w:t>
            </w:r>
          </w:p>
        </w:tc>
      </w:tr>
    </w:tbl>
    <w:p>
      <w:pPr>
        <w:pStyle w:val="null3"/>
      </w:pPr>
      <w:r>
        <w:rPr>
          <w:rFonts w:ascii="仿宋_GB2312" w:hAnsi="仿宋_GB2312" w:cs="仿宋_GB2312" w:eastAsia="仿宋_GB2312"/>
        </w:rPr>
        <w:t>标的名称：80000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带喊话功能提示器</w:t>
            </w:r>
          </w:p>
          <w:p>
            <w:pPr>
              <w:pStyle w:val="null3"/>
            </w:pPr>
            <w:r>
              <w:rPr>
                <w:rFonts w:ascii="仿宋_GB2312" w:hAnsi="仿宋_GB2312" w:cs="仿宋_GB2312" w:eastAsia="仿宋_GB2312"/>
              </w:rPr>
              <w:t xml:space="preserve">工作电压范围通常为DC7-30V，报警时输出功率可达3.3W至18W物理与环境适应性 </w:t>
            </w:r>
            <w:r>
              <w:br/>
            </w:r>
            <w:r>
              <w:rPr>
                <w:rFonts w:ascii="仿宋_GB2312" w:hAnsi="仿宋_GB2312" w:cs="仿宋_GB2312" w:eastAsia="仿宋_GB2312"/>
              </w:rPr>
              <w:t xml:space="preserve"> 设备尺寸97×50×32mm。工作温度范围常见为-10℃至+55℃，相对湿度：≤85%（无结露）。</w:t>
            </w:r>
            <w:r>
              <w:br/>
            </w:r>
            <w:r>
              <w:rPr>
                <w:rFonts w:ascii="仿宋_GB2312" w:hAnsi="仿宋_GB2312" w:cs="仿宋_GB2312" w:eastAsia="仿宋_GB2312"/>
              </w:rPr>
              <w:t xml:space="preserve"> 功能支持TTS文本转语音技术，可播报报警原因、位置等信息；具备无线传输、组网、自动恢复功能。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陕西牛背梁国家级自然保护区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1.成交供应商在领取成交通知书前，须向采购代理机构提供纸质版响应文件3套及电子版响应文件1套（电子版提供U盘），且提供的响应文件必须与在陕西省政府采购综合管理平台的项目电子化交易系统中递交的电子响应文件内容一致，纸质版响应文件必须装订成册签字盖章，电子版响应文件为纸质版签字盖章后的扫描件。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响应文件提交截止时间结束后，由资格性审查小组依据法律法规和询价通知书的规定，对响应文件中的资格证明等进行审查，以确定被邀请参加询价采购活动的供应商名单并出具资格审查报告。</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（2）税收缴纳证明：提供供应商自磋商前1年内已缴纳任意时段完税凭证或税务机关开具的完税证明（任意税种）；依法免税的应提供相关文件证明； （3）社会保障资金缴纳证明：提供供应商自磋商前1年内已缴存的任意时段的社会保障资金缴存单据或社保机构开具的社会保险参保缴费情况证明；依法不需要缴纳社会保障资金的供应商应提供相关文件证明； （4）提供供应商具备履行合同所必需的设备和专业技术能力的证明材料； （5）供应商参加本次磋商前3年内，在经营活动中没有重大违法记录的书面声明； （供应商需在项目电子化交易系统中按要求填写《投标函》完成承诺并进行电子签章。供应商需在《供应商应提交的相关资格证明材料》中提供上述资格证明材料）。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询价方法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二、评审工作由代理机构负责组织，具体评审事务由采购人和代理机构依法组建的询价小组负责。询价小组由采购人代表和评审专家组成。</w:t>
      </w:r>
    </w:p>
    <w:p>
      <w:pPr>
        <w:pStyle w:val="null3"/>
        <w:ind w:firstLine="480"/>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rFonts w:ascii="仿宋_GB2312" w:hAnsi="仿宋_GB2312" w:cs="仿宋_GB2312" w:eastAsia="仿宋_GB2312"/>
        </w:rPr>
        <w:t>六、询价小组按照询价通知书规定的询价采购活动程序进行评审，并在采购活动中应当履行下列职责：</w:t>
      </w:r>
    </w:p>
    <w:p>
      <w:pPr>
        <w:pStyle w:val="null3"/>
        <w:ind w:firstLine="480"/>
      </w:pPr>
      <w:r>
        <w:rPr>
          <w:rFonts w:ascii="仿宋_GB2312" w:hAnsi="仿宋_GB2312" w:cs="仿宋_GB2312" w:eastAsia="仿宋_GB2312"/>
        </w:rPr>
        <w:t>（一）熟悉和理解询价通知书；</w:t>
      </w:r>
    </w:p>
    <w:p>
      <w:pPr>
        <w:pStyle w:val="null3"/>
        <w:ind w:firstLine="480"/>
      </w:pPr>
      <w:r>
        <w:rPr>
          <w:rFonts w:ascii="仿宋_GB2312" w:hAnsi="仿宋_GB2312" w:cs="仿宋_GB2312" w:eastAsia="仿宋_GB2312"/>
        </w:rPr>
        <w:t>（二）审查供应商响应文件等是否满足询价通知书要求，并作出评价；</w:t>
      </w:r>
    </w:p>
    <w:p>
      <w:pPr>
        <w:pStyle w:val="null3"/>
        <w:ind w:firstLine="480"/>
      </w:pPr>
      <w:r>
        <w:rPr>
          <w:rFonts w:ascii="仿宋_GB2312" w:hAnsi="仿宋_GB2312" w:cs="仿宋_GB2312" w:eastAsia="仿宋_GB2312"/>
        </w:rPr>
        <w:t xml:space="preserve"> （三）根据需要要求采购组织单位对询价通知书作出解释；根据需要要求供应商对响应文件有关事项作出澄清、说明或者更正；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ind w:firstLine="480"/>
      </w:pPr>
      <w:r>
        <w:rPr>
          <w:rFonts w:ascii="仿宋_GB2312" w:hAnsi="仿宋_GB2312" w:cs="仿宋_GB2312" w:eastAsia="仿宋_GB2312"/>
        </w:rPr>
        <w:t>七、评审过程独立、保密。供应商非法干预评审过程的行为将导致其响应文件作为无效处理。</w:t>
      </w:r>
    </w:p>
    <w:p>
      <w:pPr>
        <w:pStyle w:val="null3"/>
        <w:ind w:firstLine="480"/>
      </w:pPr>
      <w:r>
        <w:rPr>
          <w:rFonts w:ascii="仿宋_GB2312" w:hAnsi="仿宋_GB2312" w:cs="仿宋_GB2312" w:eastAsia="仿宋_GB2312"/>
        </w:rPr>
        <w:t xml:space="preserve"> 八、询价小组决定响应文件的响应性依据响应文件本身的内容，而不寻求外部的证据，询价通知书有明确约定的除外。</w:t>
      </w:r>
    </w:p>
    <w:p>
      <w:pPr>
        <w:pStyle w:val="null3"/>
        <w:ind w:firstLine="480"/>
      </w:pPr>
      <w:r>
        <w:rPr>
          <w:rFonts w:ascii="仿宋_GB2312" w:hAnsi="仿宋_GB2312" w:cs="仿宋_GB2312" w:eastAsia="仿宋_GB2312"/>
        </w:rPr>
        <w:t>九、询价小组发现询价通知书表述不明确或需要说明的事项，可提请采购人和代理机构书面解释说明。</w:t>
      </w:r>
    </w:p>
    <w:p>
      <w:pPr>
        <w:pStyle w:val="null3"/>
        <w:outlineLvl w:val="2"/>
      </w:pPr>
      <w:r>
        <w:rPr>
          <w:rFonts w:ascii="仿宋_GB2312" w:hAnsi="仿宋_GB2312" w:cs="仿宋_GB2312" w:eastAsia="仿宋_GB2312"/>
          <w:sz w:val="28"/>
          <w:b/>
        </w:rPr>
        <w:t>5.2询价小组组建</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5.3.1熟悉和理解询价通知书和停止评审</w:t>
      </w:r>
    </w:p>
    <w:p>
      <w:pPr>
        <w:pStyle w:val="null3"/>
        <w:ind w:firstLine="480"/>
      </w:pPr>
      <w:r>
        <w:rPr>
          <w:rFonts w:ascii="仿宋_GB2312" w:hAnsi="仿宋_GB2312" w:cs="仿宋_GB2312" w:eastAsia="仿宋_GB2312"/>
        </w:rPr>
        <w:t xml:space="preserve"> 一、询价小组正式评审前，应当对询价通知书进行熟悉和理解，内容主要包括询价通知书中供应商的采购项目技术、服务和商务要求、评审方法和标准以及可能涉及签订政府采购合同的内容等。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rFonts w:ascii="仿宋_GB2312" w:hAnsi="仿宋_GB2312" w:cs="仿宋_GB2312" w:eastAsia="仿宋_GB2312"/>
        </w:rPr>
        <w:t xml:space="preserve"> 二、询价小组熟悉和理解询价通知书以及评审过程中，发现本询价通知书有下列情形之一的，询价小组应当停止评审：</w:t>
      </w:r>
    </w:p>
    <w:p>
      <w:pPr>
        <w:pStyle w:val="null3"/>
        <w:ind w:firstLine="480"/>
      </w:pPr>
      <w:r>
        <w:rPr>
          <w:rFonts w:ascii="仿宋_GB2312" w:hAnsi="仿宋_GB2312" w:cs="仿宋_GB2312" w:eastAsia="仿宋_GB2312"/>
        </w:rPr>
        <w:t>（一）询价通知书的规定存在歧义、重大缺陷的；</w:t>
      </w:r>
    </w:p>
    <w:p>
      <w:pPr>
        <w:pStyle w:val="null3"/>
        <w:ind w:firstLine="480"/>
      </w:pPr>
      <w:r>
        <w:rPr>
          <w:rFonts w:ascii="仿宋_GB2312" w:hAnsi="仿宋_GB2312" w:cs="仿宋_GB2312" w:eastAsia="仿宋_GB2312"/>
        </w:rPr>
        <w:t>（二）询价通知书明显以不合理条件对供应商实行差别待遇或者歧视待遇的；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（四）采购项目属于政府采购促进中小企业发展的范围，但是询价通知书未依法体现促进中小企业发展相关规定的；</w:t>
      </w:r>
    </w:p>
    <w:p>
      <w:pPr>
        <w:pStyle w:val="null3"/>
        <w:ind w:firstLine="480"/>
      </w:pPr>
      <w:r>
        <w:rPr>
          <w:rFonts w:ascii="仿宋_GB2312" w:hAnsi="仿宋_GB2312" w:cs="仿宋_GB2312" w:eastAsia="仿宋_GB2312"/>
        </w:rPr>
        <w:t>（五）询价通知书将供应商的资格条件列为评分因素的；</w:t>
      </w:r>
    </w:p>
    <w:p>
      <w:pPr>
        <w:pStyle w:val="null3"/>
        <w:ind w:firstLine="480"/>
      </w:pPr>
      <w:r>
        <w:rPr>
          <w:rFonts w:ascii="仿宋_GB2312" w:hAnsi="仿宋_GB2312" w:cs="仿宋_GB2312" w:eastAsia="仿宋_GB2312"/>
        </w:rPr>
        <w:t>（六）询价通知书载明的成交原则不合法的；</w:t>
      </w:r>
    </w:p>
    <w:p>
      <w:pPr>
        <w:pStyle w:val="null3"/>
        <w:ind w:firstLine="480"/>
      </w:pPr>
      <w:r>
        <w:rPr>
          <w:rFonts w:ascii="仿宋_GB2312" w:hAnsi="仿宋_GB2312" w:cs="仿宋_GB2312" w:eastAsia="仿宋_GB2312"/>
        </w:rPr>
        <w:t>（七）询价通知书有违反国家其他有关强制性规定的情形。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询价小组不应当停止评审的，可以通过项目电子化交易系统书面报告采购项目同级财政部门依法处理，并提供相关证明材料。</w:t>
      </w:r>
    </w:p>
    <w:p>
      <w:pPr>
        <w:pStyle w:val="null3"/>
        <w:outlineLvl w:val="3"/>
      </w:pPr>
      <w:r>
        <w:rPr>
          <w:rFonts w:ascii="仿宋_GB2312" w:hAnsi="仿宋_GB2312" w:cs="仿宋_GB2312" w:eastAsia="仿宋_GB2312"/>
          <w:sz w:val="24"/>
          <w:b/>
        </w:rPr>
        <w:t>5.3.2符合性审查</w:t>
      </w:r>
    </w:p>
    <w:p>
      <w:pPr>
        <w:pStyle w:val="null3"/>
        <w:ind w:firstLine="480"/>
      </w:pPr>
      <w:r>
        <w:rPr>
          <w:rFonts w:ascii="仿宋_GB2312" w:hAnsi="仿宋_GB2312" w:cs="仿宋_GB2312" w:eastAsia="仿宋_GB2312"/>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询价小组认为供应商的报价明显低于其他实质性响应的供应商报价，有可能影响工程质量或者不能诚信履约的，应当要求其在合理的时间内提供书面说明，必要时提交相关证明材料；供应商不能证明其报价合理性的，询价小组应当将其作为无效响应处理。 2.供应商通过项目电子化交易系统在询价小组要求的合理时间内提交说明，否则无效。</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2、报价货币符合询价通知书要求 ; 3、未超出采购预算或询价通知书规定的最高限价。</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与所投项目名称、项目编号一致，且符合询价通知书签署盖章要求。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所投产品的技术参数响应询价通知书的要求</w:t>
            </w:r>
          </w:p>
        </w:tc>
        <w:tc>
          <w:tcPr>
            <w:tcW w:type="dxa" w:w="1661"/>
          </w:tcPr>
          <w:p>
            <w:pPr>
              <w:pStyle w:val="null3"/>
            </w:pPr>
            <w:r>
              <w:rPr>
                <w:rFonts w:ascii="仿宋_GB2312" w:hAnsi="仿宋_GB2312" w:cs="仿宋_GB2312" w:eastAsia="仿宋_GB2312"/>
              </w:rPr>
              <w:t>技术偏离表.docx 供货方案.docx</w:t>
            </w:r>
          </w:p>
        </w:tc>
      </w:tr>
    </w:tbl>
    <w:p>
      <w:pPr>
        <w:pStyle w:val="null3"/>
        <w:outlineLvl w:val="3"/>
      </w:pPr>
      <w:r>
        <w:rPr>
          <w:rFonts w:ascii="仿宋_GB2312" w:hAnsi="仿宋_GB2312" w:cs="仿宋_GB2312" w:eastAsia="仿宋_GB2312"/>
          <w:sz w:val="24"/>
          <w:b/>
        </w:rPr>
        <w:t>5.3.3价格扣除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六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5.3.4解释、澄清、说明的有关问题</w:t>
      </w:r>
    </w:p>
    <w:p>
      <w:pPr>
        <w:pStyle w:val="null3"/>
        <w:ind w:firstLine="480"/>
      </w:pPr>
      <w:r>
        <w:rPr>
          <w:rFonts w:ascii="仿宋_GB2312" w:hAnsi="仿宋_GB2312" w:cs="仿宋_GB2312" w:eastAsia="仿宋_GB2312"/>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rFonts w:ascii="仿宋_GB2312" w:hAnsi="仿宋_GB2312" w:cs="仿宋_GB2312" w:eastAsia="仿宋_GB2312"/>
        </w:rPr>
        <w:t>（一）供应商响应文件中不响应询价通知书规定的技术参数指标和商务应答；</w:t>
      </w:r>
    </w:p>
    <w:p>
      <w:pPr>
        <w:pStyle w:val="null3"/>
        <w:ind w:firstLine="480"/>
      </w:pPr>
      <w:r>
        <w:rPr>
          <w:rFonts w:ascii="仿宋_GB2312" w:hAnsi="仿宋_GB2312" w:cs="仿宋_GB2312" w:eastAsia="仿宋_GB2312"/>
        </w:rPr>
        <w:t>（二）供应商响应文件中未提供的证明其是否符合询价通知书资格、符合性规定要求的相关材料。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四、报价出现下列情况的，按以下原则处理：</w:t>
      </w:r>
    </w:p>
    <w:p>
      <w:pPr>
        <w:pStyle w:val="null3"/>
        <w:ind w:firstLine="480"/>
      </w:pPr>
      <w:r>
        <w:rPr>
          <w:rFonts w:ascii="仿宋_GB2312" w:hAnsi="仿宋_GB2312" w:cs="仿宋_GB2312" w:eastAsia="仿宋_GB2312"/>
        </w:rPr>
        <w:t>（一）大写金额和小写金额不一致的，以大写金额为准，但大写金额出现文字错误，导致金额无法判断的除外；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（二）单价金额小数点或者百分比有明显错位的，以开启一览表总价为准，并修改单价；</w:t>
      </w:r>
    </w:p>
    <w:p>
      <w:pPr>
        <w:pStyle w:val="null3"/>
        <w:ind w:firstLine="480"/>
      </w:pPr>
      <w:r>
        <w:rPr>
          <w:rFonts w:ascii="仿宋_GB2312" w:hAnsi="仿宋_GB2312" w:cs="仿宋_GB2312" w:eastAsia="仿宋_GB2312"/>
        </w:rPr>
        <w:t>（三）总价金额与按单价汇总金额不一致的，以单价金额计算结果为准。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同时出现两种以上不一致的，按照前款规定的顺序修正。修正后的报价经供应商确认后产生约束力，供应商不确认的，其响应无效。</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rFonts w:ascii="仿宋_GB2312" w:hAnsi="仿宋_GB2312" w:cs="仿宋_GB2312" w:eastAsia="仿宋_GB2312"/>
        </w:rPr>
        <w:t>六、询价小组应当积极履行澄清、说明或者更正的职责，不得滥用权力。</w:t>
      </w:r>
    </w:p>
    <w:p>
      <w:pPr>
        <w:pStyle w:val="null3"/>
        <w:outlineLvl w:val="3"/>
      </w:pPr>
      <w:r>
        <w:rPr>
          <w:rFonts w:ascii="仿宋_GB2312" w:hAnsi="仿宋_GB2312" w:cs="仿宋_GB2312" w:eastAsia="仿宋_GB2312"/>
          <w:sz w:val="24"/>
          <w:b/>
        </w:rPr>
        <w:t>5.3.5复核</w:t>
      </w:r>
    </w:p>
    <w:p>
      <w:pPr>
        <w:pStyle w:val="null3"/>
        <w:ind w:firstLine="480"/>
      </w:pPr>
      <w:r>
        <w:rPr>
          <w:rFonts w:ascii="仿宋_GB2312" w:hAnsi="仿宋_GB2312" w:cs="仿宋_GB2312" w:eastAsia="仿宋_GB2312"/>
        </w:rPr>
        <w:t xml:space="preserve"> 一、评审结束后，询价小组应当进行复核，特别要对拟推荐为成交候选供应商的、报价最低的、响应文件被认定为无效的进行重点复核。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rFonts w:ascii="仿宋_GB2312" w:hAnsi="仿宋_GB2312" w:cs="仿宋_GB2312" w:eastAsia="仿宋_GB2312"/>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5.3.6推荐成交候选供应商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5.3.7编写询价报告</w:t>
      </w:r>
    </w:p>
    <w:p>
      <w:pPr>
        <w:pStyle w:val="null3"/>
        <w:ind w:firstLine="480"/>
      </w:pPr>
      <w:r>
        <w:rPr>
          <w:rFonts w:ascii="仿宋_GB2312" w:hAnsi="仿宋_GB2312" w:cs="仿宋_GB2312" w:eastAsia="仿宋_GB2312"/>
        </w:rPr>
        <w:t>询价小组项目在电子化交易系统中编制评审情况，生成询价报告。</w:t>
      </w:r>
    </w:p>
    <w:p>
      <w:pPr>
        <w:pStyle w:val="null3"/>
        <w:ind w:firstLine="480"/>
      </w:pPr>
      <w:r>
        <w:rPr>
          <w:rFonts w:ascii="仿宋_GB2312" w:hAnsi="仿宋_GB2312" w:cs="仿宋_GB2312" w:eastAsia="仿宋_GB2312"/>
        </w:rPr>
        <w:t>询价报告是询价小组根据全体成员签字的原始评审记录和评审结果编写的报告，其主要内容包括：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二、响应文件开启日期和地点，询价小组成员名单；</w:t>
      </w:r>
    </w:p>
    <w:p>
      <w:pPr>
        <w:pStyle w:val="null3"/>
        <w:ind w:firstLine="480"/>
      </w:pPr>
      <w:r>
        <w:rPr>
          <w:rFonts w:ascii="仿宋_GB2312" w:hAnsi="仿宋_GB2312" w:cs="仿宋_GB2312" w:eastAsia="仿宋_GB2312"/>
        </w:rPr>
        <w:t>三、提交报价的供应商名单及报价情况，获取询价通知书但未提交报价的供应商名单；</w:t>
      </w:r>
    </w:p>
    <w:p>
      <w:pPr>
        <w:pStyle w:val="null3"/>
        <w:ind w:firstLine="480"/>
      </w:pPr>
      <w:r>
        <w:rPr>
          <w:rFonts w:ascii="仿宋_GB2312" w:hAnsi="仿宋_GB2312" w:cs="仿宋_GB2312" w:eastAsia="仿宋_GB2312"/>
        </w:rPr>
        <w:t xml:space="preserve"> 四、评审情况记录和说明，包括对供应商的资格审查情况、供应商响应文件评审情况、询价采购活动情况、报价情况等；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rFonts w:ascii="仿宋_GB2312" w:hAnsi="仿宋_GB2312" w:cs="仿宋_GB2312" w:eastAsia="仿宋_GB2312"/>
          <w:sz w:val="28"/>
          <w:b/>
        </w:rPr>
        <w:t>5.4争议处理规则</w:t>
      </w:r>
    </w:p>
    <w:p>
      <w:pPr>
        <w:pStyle w:val="null3"/>
        <w:ind w:firstLine="480"/>
      </w:pPr>
      <w:r>
        <w:rPr>
          <w:rFonts w:ascii="仿宋_GB2312" w:hAnsi="仿宋_GB2312" w:cs="仿宋_GB2312" w:eastAsia="仿宋_GB2312"/>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rFonts w:ascii="仿宋_GB2312" w:hAnsi="仿宋_GB2312" w:cs="仿宋_GB2312" w:eastAsia="仿宋_GB2312"/>
          <w:sz w:val="28"/>
          <w:b/>
        </w:rPr>
        <w:t>5.5终止采购活动</w:t>
      </w:r>
    </w:p>
    <w:p>
      <w:pPr>
        <w:pStyle w:val="null3"/>
        <w:ind w:firstLine="480"/>
      </w:pPr>
      <w:r>
        <w:rPr>
          <w:rFonts w:ascii="仿宋_GB2312" w:hAnsi="仿宋_GB2312" w:cs="仿宋_GB2312" w:eastAsia="仿宋_GB2312"/>
        </w:rPr>
        <w:t>出现下列情形之一的，终止询价采购活动：</w:t>
      </w:r>
    </w:p>
    <w:p>
      <w:pPr>
        <w:pStyle w:val="null3"/>
        <w:ind w:firstLine="480"/>
      </w:pPr>
      <w:r>
        <w:rPr>
          <w:rFonts w:ascii="仿宋_GB2312" w:hAnsi="仿宋_GB2312" w:cs="仿宋_GB2312" w:eastAsia="仿宋_GB2312"/>
        </w:rPr>
        <w:t>一、因情况变化，不再符合规定的询价采购方式适用情形的；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三、在采购过程中符合竞争要求的供应商或者报价未超过采购预算的供应商不足3家的。</w:t>
      </w:r>
    </w:p>
    <w:p>
      <w:pPr>
        <w:pStyle w:val="null3"/>
        <w:outlineLvl w:val="2"/>
      </w:pPr>
      <w:r>
        <w:rPr>
          <w:rFonts w:ascii="仿宋_GB2312" w:hAnsi="仿宋_GB2312" w:cs="仿宋_GB2312" w:eastAsia="仿宋_GB2312"/>
          <w:sz w:val="28"/>
          <w:b/>
        </w:rPr>
        <w:t>5.6确定成交供应商</w:t>
      </w:r>
    </w:p>
    <w:p>
      <w:pPr>
        <w:pStyle w:val="null3"/>
      </w:pPr>
      <w:r>
        <w:rPr>
          <w:rFonts w:ascii="仿宋_GB2312" w:hAnsi="仿宋_GB2312" w:cs="仿宋_GB2312" w:eastAsia="仿宋_GB2312"/>
        </w:rPr>
        <w:t>一、代理机构在评审结束后2个工作日内将评审报告送采购人确认。</w:t>
      </w:r>
    </w:p>
    <w:p>
      <w:pPr>
        <w:pStyle w:val="null3"/>
      </w:pPr>
      <w:r>
        <w:rPr>
          <w:rFonts w:ascii="仿宋_GB2312" w:hAnsi="仿宋_GB2312" w:cs="仿宋_GB2312" w:eastAsia="仿宋_GB2312"/>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rFonts w:ascii="仿宋_GB2312" w:hAnsi="仿宋_GB2312" w:cs="仿宋_GB2312" w:eastAsia="仿宋_GB2312"/>
        </w:rPr>
        <w:t>三、成交候选供应商并列的，由采购人、询价小组随机抽取确定成交供应商。</w:t>
      </w:r>
    </w:p>
    <w:p>
      <w:pPr>
        <w:pStyle w:val="null3"/>
      </w:pPr>
      <w:r>
        <w:rPr>
          <w:rFonts w:ascii="仿宋_GB2312" w:hAnsi="仿宋_GB2312" w:cs="仿宋_GB2312" w:eastAsia="仿宋_GB2312"/>
        </w:rPr>
        <w:t>四、采购人逾期未确定成交供应商且不提出异议的，视为确定评审报告提出的报价最低的供应商为成交供应商。</w:t>
      </w:r>
    </w:p>
    <w:p>
      <w:pPr>
        <w:pStyle w:val="null3"/>
        <w:outlineLvl w:val="2"/>
      </w:pPr>
      <w:r>
        <w:rPr>
          <w:rFonts w:ascii="仿宋_GB2312" w:hAnsi="仿宋_GB2312" w:cs="仿宋_GB2312" w:eastAsia="仿宋_GB2312"/>
          <w:sz w:val="28"/>
          <w:b/>
        </w:rPr>
        <w:t>5.7询价小组成员义务</w:t>
      </w:r>
    </w:p>
    <w:p>
      <w:pPr>
        <w:pStyle w:val="null3"/>
        <w:ind w:firstLine="480"/>
      </w:pPr>
      <w:r>
        <w:rPr>
          <w:rFonts w:ascii="仿宋_GB2312" w:hAnsi="仿宋_GB2312" w:cs="仿宋_GB2312" w:eastAsia="仿宋_GB2312"/>
        </w:rPr>
        <w:t>询价小组成员在政府采购活动中承担以下义务：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5.8询价采购活动纪律</w:t>
      </w:r>
    </w:p>
    <w:p>
      <w:pPr>
        <w:pStyle w:val="null3"/>
        <w:ind w:firstLine="480"/>
      </w:pPr>
      <w:r>
        <w:rPr>
          <w:rFonts w:ascii="仿宋_GB2312" w:hAnsi="仿宋_GB2312" w:cs="仿宋_GB2312" w:eastAsia="仿宋_GB2312"/>
        </w:rPr>
        <w:t>询价小组成员在政府采购活动中应当遵守以下工作纪律：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详见附件：供货方案.docx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拟签订的合同文本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