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版本号：DRZB2025-ZC-110-320251217001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专精特新中小企业培育赋能项目(三次)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DRZB2025-ZC-110-3</w:t>
      </w:r>
      <w:r>
        <w:br/>
      </w:r>
      <w:r>
        <w:br/>
      </w:r>
      <w:r>
        <w:br/>
      </w:r>
    </w:p>
    <w:p>
      <w:pPr>
        <w:pStyle w:val="null3"/>
        <w:jc w:val="center"/>
        <w:outlineLvl w:val="2"/>
      </w:pPr>
      <w:r>
        <w:rPr>
          <w:rFonts w:ascii="仿宋_GB2312" w:hAnsi="仿宋_GB2312" w:cs="仿宋_GB2312" w:eastAsia="仿宋_GB2312"/>
          <w:sz w:val="28"/>
          <w:b/>
        </w:rPr>
        <w:t>陕西省工业和信息化厅机关</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陕西省工业和信息化厅机关</w:t>
      </w:r>
      <w:r>
        <w:rPr>
          <w:rFonts w:ascii="仿宋_GB2312" w:hAnsi="仿宋_GB2312" w:cs="仿宋_GB2312" w:eastAsia="仿宋_GB2312"/>
        </w:rPr>
        <w:t>委托，拟对</w:t>
      </w:r>
      <w:r>
        <w:rPr>
          <w:rFonts w:ascii="仿宋_GB2312" w:hAnsi="仿宋_GB2312" w:cs="仿宋_GB2312" w:eastAsia="仿宋_GB2312"/>
        </w:rPr>
        <w:t>专精特新中小企业培育赋能项目(三次)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DRZB2025-ZC-110-3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专精特新中小企业培育赋能项目(三次)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包1：管理诊断服务2：面向“小巨人”企业生产经营管理存在的短板弱项和管理提升需求，诊断问题、识别差距、检视提高，引导企业提升管理意识，完善治理结构和管理制度，提高资源要素利用效率和经营管理水平，实现降本增效提质，促进企业高质量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4、社会保障资金缴存证明：提供投标前六个月内任意一个月已缴存的社会保障资金缴存单据或社保机构开具的社会保险参保缴费情况证明；依法不需要缴纳社会保障资金的应提供相关文件证明。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5、书面声明：参加本次政府采购活动前3年内在经营活动中没有重大违纪的声明。</w:t>
      </w:r>
    </w:p>
    <w:p>
      <w:pPr>
        <w:pStyle w:val="null3"/>
      </w:pPr>
      <w:r>
        <w:rPr>
          <w:rFonts w:ascii="仿宋_GB2312" w:hAnsi="仿宋_GB2312" w:cs="仿宋_GB2312" w:eastAsia="仿宋_GB2312"/>
        </w:rPr>
        <w:t>6、承诺函：提供具有履行本合同所必需的专业技术能力的声明。</w:t>
      </w:r>
    </w:p>
    <w:p>
      <w:pPr>
        <w:pStyle w:val="null3"/>
      </w:pPr>
      <w:r>
        <w:rPr>
          <w:rFonts w:ascii="仿宋_GB2312" w:hAnsi="仿宋_GB2312" w:cs="仿宋_GB2312" w:eastAsia="仿宋_GB2312"/>
        </w:rPr>
        <w:t>7、法定代表人授权书：法定代表人直接参加投标的，须出具法人身份证明书及身份证；法定代表人授权代表参加投标的，须出具法定代表人授权书及授权代表身份证。</w:t>
      </w:r>
    </w:p>
    <w:p>
      <w:pPr>
        <w:pStyle w:val="null3"/>
      </w:pPr>
      <w:r>
        <w:rPr>
          <w:rFonts w:ascii="仿宋_GB2312" w:hAnsi="仿宋_GB2312" w:cs="仿宋_GB2312" w:eastAsia="仿宋_GB2312"/>
        </w:rPr>
        <w:t>8、信用中国：投标人不得为信用中国网站(www.creditchina.gov.cn)“记录失信被执行人和重大税收违法案件当事人名单”记录名单；不得为中国政府采购网(www.ccgp.gov.cn)“政府采购严重违法失信行为信息记录”的单位。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承诺：单位负责人为同一人或者存在直接控股、管理关系的不同投标人，不得同时参加本采购项目。为本项目提供整体设计、规范编制或者项目管理、监理、检测等服务的投标人，不得再参加本项目投标。</w:t>
      </w:r>
    </w:p>
    <w:p>
      <w:pPr>
        <w:pStyle w:val="null3"/>
      </w:pPr>
      <w:r>
        <w:rPr>
          <w:rFonts w:ascii="仿宋_GB2312" w:hAnsi="仿宋_GB2312" w:cs="仿宋_GB2312" w:eastAsia="仿宋_GB2312"/>
        </w:rPr>
        <w:t>10、非联合体声明：提供非联合体不分包投标声明。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陕西省工业和信息化厅机关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省政府前大楼四楼中小企业服务处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刘一聪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029-63916810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韩钊、张海燕、赵璐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采购包1保证金金额：3,906.00元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代理服务费参照发改办价格〔2015〕299号、国家计委关于印发《招标代理服务收费管理暂行办法》的通知（计价格〔2002〕1980号）、《国家发展和改革委员会办公厅关于招标代理服务收费有关问题的通知》（发改办价格〔2003〕857号）规定下浮20%向中标（成交）供应商收取代理服务费。银行户名：陕西德仁招标有限公司开户银行：招商银行股份有限公司西安城南支行账号：129909046810901联系人：苏会计联系电话：029-89185132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陕西省工业和信息化厅机关</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陕西省工业和信息化厅机关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陕西省工业和信息化厅机关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1、乙方须根据甲方的需求制定详细的诊断计划，并确保内容的实用性、针对性。 2、提交相关管理诊断报告等成果文件。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联系人：韩钊、张海燕、赵璐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管理诊断服务2：面向“小巨人”企业生产经营管理存在的短板弱项和管理提升需求，诊断问题、识别差距、检视提高，引导企业提升管理意识，完善治理结构和管理制度，提高资源要素利用效率和经营管理水平，实现降本增效提质，促进企业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200,020.00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管理诊断服务2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标的名称：管理诊断服务2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面向“小巨人”企业、省级专精特新企业生产经营管理存在的短板弱项和管理提升需求，诊断问题、识别差距、检视提高，引导企业提升管理意识，完善治理结构和管理制度，提高资源要素利用效率和经营管理水平，实现降本增效提质，促进企业高质量发展。管理诊断可以参考工业和信息化部印发的《工业中小企业管理提升指南(试行)》。</w:t>
            </w:r>
          </w:p>
          <w:p>
            <w:pPr>
              <w:pStyle w:val="null3"/>
            </w:pPr>
            <w:r>
              <w:rPr>
                <w:rFonts w:ascii="仿宋_GB2312" w:hAnsi="仿宋_GB2312" w:cs="仿宋_GB2312" w:eastAsia="仿宋_GB2312"/>
              </w:rPr>
              <w:t>二、工作计划与要求：</w:t>
            </w:r>
          </w:p>
          <w:p>
            <w:pPr>
              <w:pStyle w:val="null3"/>
            </w:pPr>
            <w:r>
              <w:rPr>
                <w:rFonts w:ascii="仿宋_GB2312" w:hAnsi="仿宋_GB2312" w:cs="仿宋_GB2312" w:eastAsia="仿宋_GB2312"/>
              </w:rPr>
              <w:t>1.总体思路</w:t>
            </w:r>
          </w:p>
          <w:p>
            <w:pPr>
              <w:pStyle w:val="null3"/>
            </w:pPr>
            <w:r>
              <w:rPr>
                <w:rFonts w:ascii="仿宋_GB2312" w:hAnsi="仿宋_GB2312" w:cs="仿宋_GB2312" w:eastAsia="仿宋_GB2312"/>
              </w:rPr>
              <w:t>依据工业和信息化部印发的《工业中小企业管理提升指南(试行)》，面向“小巨人”企业、省级专精特新企业生产经营管理存在的短板弱项和管理提升需求开展诊断活动、组织专家帮助企业识别差距、检视提高，引导企业提升管理意识，完善治理结构和管理制度，提高资源要素利用效率和经营管理水平，实现降本增效提质，促进企业高质量发展。</w:t>
            </w:r>
          </w:p>
          <w:p>
            <w:pPr>
              <w:pStyle w:val="null3"/>
            </w:pPr>
            <w:r>
              <w:rPr>
                <w:rFonts w:ascii="仿宋_GB2312" w:hAnsi="仿宋_GB2312" w:cs="仿宋_GB2312" w:eastAsia="仿宋_GB2312"/>
              </w:rPr>
              <w:t>2.量化指标</w:t>
            </w:r>
          </w:p>
          <w:p>
            <w:pPr>
              <w:pStyle w:val="null3"/>
            </w:pPr>
            <w:r>
              <w:rPr>
                <w:rFonts w:ascii="仿宋_GB2312" w:hAnsi="仿宋_GB2312" w:cs="仿宋_GB2312" w:eastAsia="仿宋_GB2312"/>
              </w:rPr>
              <w:t>（1）举办至少1次管理诊断活动；</w:t>
            </w:r>
          </w:p>
          <w:p>
            <w:pPr>
              <w:pStyle w:val="null3"/>
            </w:pPr>
            <w:r>
              <w:rPr>
                <w:rFonts w:ascii="仿宋_GB2312" w:hAnsi="仿宋_GB2312" w:cs="仿宋_GB2312" w:eastAsia="仿宋_GB2312"/>
              </w:rPr>
              <w:t>（2）对我省有效期内的“小巨人”企业、省级专精特新企业进行管理诊断服务的企业数量不少于15家；</w:t>
            </w:r>
          </w:p>
          <w:p>
            <w:pPr>
              <w:pStyle w:val="null3"/>
            </w:pPr>
            <w:r>
              <w:rPr>
                <w:rFonts w:ascii="仿宋_GB2312" w:hAnsi="仿宋_GB2312" w:cs="仿宋_GB2312" w:eastAsia="仿宋_GB2312"/>
              </w:rPr>
              <w:t>（3）出具专业的诊断评估报告不少于15份；</w:t>
            </w:r>
          </w:p>
          <w:p>
            <w:pPr>
              <w:pStyle w:val="null3"/>
            </w:pPr>
            <w:r>
              <w:rPr>
                <w:rFonts w:ascii="仿宋_GB2312" w:hAnsi="仿宋_GB2312" w:cs="仿宋_GB2312" w:eastAsia="仿宋_GB2312"/>
              </w:rPr>
              <w:t>（4）企业对于管理诊断工作满意度不低于90%；</w:t>
            </w:r>
          </w:p>
          <w:p>
            <w:pPr>
              <w:pStyle w:val="null3"/>
            </w:pPr>
            <w:r>
              <w:rPr>
                <w:rFonts w:ascii="仿宋_GB2312" w:hAnsi="仿宋_GB2312" w:cs="仿宋_GB2312" w:eastAsia="仿宋_GB2312"/>
              </w:rPr>
              <w:t>（5）活动结束后15个工作日内提交项目总结报告（含实施情况、典型问题与改进建议、经费使用明细）。</w:t>
            </w:r>
          </w:p>
          <w:p>
            <w:pPr>
              <w:pStyle w:val="null3"/>
            </w:pPr>
            <w:r>
              <w:rPr>
                <w:rFonts w:ascii="仿宋_GB2312" w:hAnsi="仿宋_GB2312" w:cs="仿宋_GB2312" w:eastAsia="仿宋_GB2312"/>
              </w:rPr>
              <w:t>3.工作开始前需向采购人提交被诊断企业相关信息，经采购人确认后方可开展管理诊断工作。</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1、服务期限：合同签订后至2026年6月30日。</w:t>
            </w:r>
          </w:p>
          <w:p>
            <w:pPr>
              <w:pStyle w:val="null3"/>
            </w:pPr>
            <w:r>
              <w:rPr>
                <w:rFonts w:ascii="仿宋_GB2312" w:hAnsi="仿宋_GB2312" w:cs="仿宋_GB2312" w:eastAsia="仿宋_GB2312"/>
              </w:rPr>
              <w:t>2、服务人员及服务地点：服务期内具有一定数量(一般不得低于5名)的管理咨询专业人员，服务地点最终以实际开展工作为准。</w:t>
            </w:r>
          </w:p>
          <w:p>
            <w:pPr>
              <w:pStyle w:val="null3"/>
            </w:pPr>
            <w:r>
              <w:rPr>
                <w:rFonts w:ascii="仿宋_GB2312" w:hAnsi="仿宋_GB2312" w:cs="仿宋_GB2312" w:eastAsia="仿宋_GB2312"/>
              </w:rPr>
              <w:t>3、交付物：服务期内的过程文档，汇编成册，当期服务完成后由成交供应商根据采购人要求出具相关管理诊断报告等成果文件。</w:t>
            </w:r>
          </w:p>
          <w:p>
            <w:pPr>
              <w:pStyle w:val="null3"/>
            </w:pPr>
            <w:r>
              <w:rPr>
                <w:rFonts w:ascii="仿宋_GB2312" w:hAnsi="仿宋_GB2312" w:cs="仿宋_GB2312" w:eastAsia="仿宋_GB2312"/>
              </w:rPr>
              <w:t>4、服务质量：按照《《财政部工业和信息化部关于进一步支持专精特新中小企业高质量发展的通知》（财建〔2024〕148号》的工作要求，达到采购人要求，符合有关行业规范和标准。</w:t>
            </w:r>
          </w:p>
          <w:p>
            <w:pPr>
              <w:pStyle w:val="null3"/>
            </w:pPr>
            <w:r>
              <w:rPr>
                <w:rFonts w:ascii="仿宋_GB2312" w:hAnsi="仿宋_GB2312" w:cs="仿宋_GB2312" w:eastAsia="仿宋_GB2312"/>
              </w:rPr>
              <w:t>5、验收标准：①乙方须根据甲方的需求制定详细的诊断计划，并确保内容的实用性、针对性。②提交相关管理诊断报告等成果文件。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最终以实际开展工作为准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1、乙方须根据甲方的需求制定详细的诊断计划，并确保内容的实用性、针对性。 2、提交相关管理诊断报告等成果文件。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乙方在合同执行完成验收后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1、甲乙双方均应全面履行本合同，任何一方不履行或不按约定履行均构成违约，违约方应赔偿因此给对方造成的全部损失。 2、乙方未按照本合同约定期限向甲方提供，每延迟一日应向甲方支付本合同项下服务费总额0.1%的违约金；延迟60日以上仍未提供服务的，甲方有权解除本合同，乙方应返还甲方已经支付的全部款项，并向甲方支付服务费用总额10%的违约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本项目政府采购工作，投标人须在陕西省政府采购电子化交易平台上传电子版投标文件并完成签章、加密，同时，线下递交纸质版投标文件正本一份、副本一份。若电子版投标文件与纸质版投标文件不一致的，以陕西省政府采购电子化交易平台上传的电子版投标文件为准。纸质版投标文件递交截止时间同开标截止时间，递交地点为西安市唐延路37号class公馆B栋1103室。 2、原《专精特新中小企业培育赋能项目》合同包3（质量诊断服务1）、合同包4(质量诊断服务2)、合同包5(管理诊断服务1)、《专精特新中小企业培育赋能项目(二次)》合同包1(企业培训服务1)、合同包2(企业培训服务2)已中标单位不具备中标候选人推荐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提供投标前六个月内任意一个月已缴存的社会保障资金缴存单据或社保机构开具的社会保险参保缴费情况证明；依法不需要缴纳社会保障资金的应提供相关文件证明。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法定代表人直接参加投标的，须出具法人身份证明书及身份证；法定代表人授权代表参加投标的，须出具法定代表人授权书及授权代表身份证。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单位负责人为同一人或者存在直接控股、管理关系的不同投标人，不得同时参加本采购项目。为本项目提供整体设计、规范编制或者项目管理、监理、检测等服务的投标人，不得再参加本项目投标。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开标一览表 报价一览表.docx 业绩.docx 投标人认为有必要说明的其他资料.docx 服务保障措施.docx 成果管理制度方案.docx 团队人员配备方案.docx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报价一览表.docx 业绩.docx 投标人认为有必要说明的其他资料.docx 服务保障措施.docx 成果管理制度方案.docx 团队人员配备方案.docx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响应招标文件商务条款，无重大保留或偏差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开标一览表 报价一览表.docx 业绩.docx 投标人认为有必要说明的其他资料.docx 服务保障措施.docx 成果管理制度方案.docx 团队人员配备方案.docx 中小企业声明函 项目理解分析.docx 后续服务承诺.docx 服务偏离表.docx 资格证明文件.docx 分项报价表.docx 投标函 残疾人福利性单位声明函 标的清单 保证金缴纳凭证.docx 投标文件封面 实施方案.docx 商务偏离表.docx 投标人承诺书.docx 服务方案.docx 监狱企业的证明文件 服务能力.docx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一、评审内容 针对本项目提供对项目的理解分析，包括但不限于①项目背景、内容及意义的理解；②分析描述本项目相关的业务现状；③项目重点难点分析及应对措施。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三、赋分依据（满分9分） ①项目背景、内容及意义的理解：每完全满足一个评审标准得1分，满分3分。 ②分析描述本项目相关的业务现状：每完全满足一个评审标准得1分，满分3分。 ③项目重点难点分析及应对措施:每完全满足一个评审标准得1分，满分3分。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针对本项目提供服务方案，包括但不限于①项目总体服务方案；②工作流程；③进度安排方案；④企业确定方法。 二、评审标准 1、完整性：方案须全面，对评审内容中的各项要求有详细描述。 2、可实施性：切合本项目实际情况，实施步骤清晰、合理。 3、针对性：方案能够紧扣项目实际情况，内容科学合理。 三、赋分依据（满分12分） ①项目总体服务方案：每完全满足一个评审标准得1分，满分3分。 ②工作流程：每完全满足一个评审标准得1分，满分3分。 ③进度安排方案：每完全满足一个评审标准得1分，满分3分。 ④企业确定方法：每完全满足一个评审标准得1分，满分3分。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针对本项目具有完善的实施方案，包括但不限于①项目组织；②质量管理；③验收计划；④保密管理；⑤项目实施相关设备配置管理等。 二、评审标准 1、完整性：方案须全面，对评审内容中的各项要求有详细描述。 2、可实施性：切合本项目实际情况，实施步骤清晰、合理。 3、针对性：方案能够紧扣项目实际情况，内容科学合理。 三、赋分依据（满分15分） ①项目组织：每完全满足一个评审标准得1分，满分3分。 ②质量管理：每完全满足一个评审标准得1分，满分3分。 ③验收计划：每完全满足一个评审标准得1分，满分3分。 ④保密管理：每完全满足一个评审标准得1分，满分3分。 ⑤项目实施相关设备配置管理等：每完全满足一个评审标准得1分，满分3分。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针对本项目提供服务保障措施，包括但不限于①服务质量保障措施；②进度计划保证措施；③应急预案及处理措施。 二、评审标准 1、完整性：方案须全面，对评审内容中的各项要求有详细描述。 2、可实施性：切合本项目实际情况，实施步骤清晰、合理。 3、针对性：方案能够紧扣项目实际情况，内容科学合理。 三、赋分依据（满分9分） ①服务质量保障措施：每完全满足一个评审标准得1分，满分3分。 ②进度计划保证措施：每完全满足一个评审标准得1分，满分3分。 ③应急预案及处理措施：每完全满足一个评审标准得1分，满分3分。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服务保障措施.docx</w:t>
            </w:r>
          </w:p>
        </w:tc>
      </w:tr>
      <w:tr>
        <w:tc>
          <w:tcPr>
            <w:tcW w:type="dxa" w:w="831"/>
            <w:vMerge/>
          </w:tcPr>
          <w:p/>
        </w:tc>
        <w:tc>
          <w:tcPr>
            <w:tcW w:type="dxa" w:w="1661"/>
          </w:tcPr>
          <w:p>
            <w:pPr>
              <w:pStyle w:val="null3"/>
            </w:pPr>
            <w:r>
              <w:rPr>
                <w:rFonts w:ascii="仿宋_GB2312" w:hAnsi="仿宋_GB2312" w:cs="仿宋_GB2312" w:eastAsia="仿宋_GB2312"/>
              </w:rPr>
              <w:t>成果管理制度方案</w:t>
            </w:r>
          </w:p>
        </w:tc>
        <w:tc>
          <w:tcPr>
            <w:tcW w:type="dxa" w:w="2492"/>
          </w:tcPr>
          <w:p>
            <w:pPr>
              <w:pStyle w:val="null3"/>
            </w:pPr>
            <w:r>
              <w:rPr>
                <w:rFonts w:ascii="仿宋_GB2312" w:hAnsi="仿宋_GB2312" w:cs="仿宋_GB2312" w:eastAsia="仿宋_GB2312"/>
              </w:rPr>
              <w:t>一、评审内容 针对本项目提供成果管理制度方案，包括但不限于：①成果资料审核及管理制度；②成果移交工作制度。 二、评审标准 1、完整性：方案须全面，对评审内容中的各项要求有详细描述。 2、可实施性：切合本项目实际情况，实施步骤清晰、合理。 3、针对性：方案能够紧扣项目实际情况，内容科学合理。 三、赋分依据（满分6分） ①成果资料审核及管理制度：每完全满足一个评审标准得1分，满分3分。 ②成果移交工作制度：每完全满足一个评审标准得1分，满分3分。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成果管理制度方案.docx</w:t>
            </w:r>
          </w:p>
        </w:tc>
      </w:tr>
      <w:tr>
        <w:tc>
          <w:tcPr>
            <w:tcW w:type="dxa" w:w="831"/>
            <w:vMerge/>
          </w:tcPr>
          <w:p/>
        </w:tc>
        <w:tc>
          <w:tcPr>
            <w:tcW w:type="dxa" w:w="1661"/>
          </w:tcPr>
          <w:p>
            <w:pPr>
              <w:pStyle w:val="null3"/>
            </w:pPr>
            <w:r>
              <w:rPr>
                <w:rFonts w:ascii="仿宋_GB2312" w:hAnsi="仿宋_GB2312" w:cs="仿宋_GB2312" w:eastAsia="仿宋_GB2312"/>
              </w:rPr>
              <w:t>团队人员配备方案</w:t>
            </w:r>
          </w:p>
        </w:tc>
        <w:tc>
          <w:tcPr>
            <w:tcW w:type="dxa" w:w="2492"/>
          </w:tcPr>
          <w:p>
            <w:pPr>
              <w:pStyle w:val="null3"/>
            </w:pPr>
            <w:r>
              <w:rPr>
                <w:rFonts w:ascii="仿宋_GB2312" w:hAnsi="仿宋_GB2312" w:cs="仿宋_GB2312" w:eastAsia="仿宋_GB2312"/>
              </w:rPr>
              <w:t>一、评审内容 针对本项目采购需求中的人员要求提供团队人员配备方案，包括但不限于 ①团队组织架构；②人员构成及分工；③岗位设置及岗位责任制度。注：须提供项目团队人员名单（包括姓名、工作职责、联系方式等），否则不得分。 二、评审标准 1、完整性：方案须全面，对评审内容中的各项要求有详细描述。 2、可实施性：切合本项目实际情况，实施步骤清晰、合理。 3、针对性：方案能够紧扣项目实际情况，内容科学合理。 三、赋分依据（满分9分） ①团队组织架构：每完全满足一个评审标准得1分，满分3分。 ②人员构成及分工：每完全满足一个评审标准得1分，满分3分。 ③岗位设置及岗位责任制度：每完全满足一个评审标准得1分，满分3分。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团队人员配备方案.docx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一、评审内容 针对本项目提供服务能力方案，包括但不限于①拟投入本项目的设施；②管理技术工具；③项目管理方法及服务过程监督和责任机制；④管理咨询诊断工具或模型；⑤管理咨询诊断相关数据库； 二、评审标准 1、完整性：方案须全面，对评审内容中的各项要求有详细描述。 2、可实施性：切合本项目实际情况，实施步骤清晰、合理。 3、针对性：方案能够紧扣项目实际情况，内容科学合理。 三、赋分依据（满分15分） ①拟投入本项目的设施：每完全满足一个评审标准得1分，满分3分。 ②管理技术工具：每完全满足一个评审标准得1分，满分3分。 ③项目管理方法及服务过程监督和责任机制：每完全满足一个评审标准得1分，满分3分。 ④管理咨询诊断工具或模型：每完全满足一个评审标准得1分，满分3分。 ⑤管理咨询诊断相关数据库：每完全满足一个评审标准得1分，满分3分。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服务能力.docx</w:t>
            </w:r>
          </w:p>
        </w:tc>
      </w:tr>
      <w:tr>
        <w:tc>
          <w:tcPr>
            <w:tcW w:type="dxa" w:w="831"/>
            <w:vMerge/>
          </w:tcPr>
          <w:p/>
        </w:tc>
        <w:tc>
          <w:tcPr>
            <w:tcW w:type="dxa" w:w="1661"/>
          </w:tcPr>
          <w:p>
            <w:pPr>
              <w:pStyle w:val="null3"/>
            </w:pPr>
            <w:r>
              <w:rPr>
                <w:rFonts w:ascii="仿宋_GB2312" w:hAnsi="仿宋_GB2312" w:cs="仿宋_GB2312" w:eastAsia="仿宋_GB2312"/>
              </w:rPr>
              <w:t>后续服务承诺</w:t>
            </w:r>
          </w:p>
        </w:tc>
        <w:tc>
          <w:tcPr>
            <w:tcW w:type="dxa" w:w="2492"/>
          </w:tcPr>
          <w:p>
            <w:pPr>
              <w:pStyle w:val="null3"/>
            </w:pPr>
            <w:r>
              <w:rPr>
                <w:rFonts w:ascii="仿宋_GB2312" w:hAnsi="仿宋_GB2312" w:cs="仿宋_GB2312" w:eastAsia="仿宋_GB2312"/>
              </w:rPr>
              <w:t>一、评审内容 针对本项目提供的后续服务承诺，包括但不限于①后续项目验收配合承诺；②成果售后服务承诺；③推广配合承诺。 二、评审标准 1、完整性：方案须全面，对评审内容中的各项要求有详细描述。 2、可实施性：切合本项目实际情况，实施步骤清晰、合理。 3、针对性：方案能够紧扣项目实际情况，内容科学合理。 三、赋分依据（满分9分） ①后续项目验收配合承诺：每完全满足一个评审标准得1分，满分3分。 ②成果售后服务承诺：每完全满足一个评审标准得1分，满分3分。 ③推广配合承诺：每完全满足一个评审标准得1分，满分3分。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后续服务承诺.docx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提供2022年10月1日以来诊断服务项目业绩，每提供一个得1分，满分6分。注：以合同签订日期为准，提供合同复印件（包括首页、签字盖章页，金额等，金额不得涂抹）加盖公章。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详见附件：成果管理制度方案.docx</w:t>
      </w:r>
    </w:p>
    <w:p>
      <w:pPr>
        <w:pStyle w:val="null3"/>
        <w:ind w:firstLine="960"/>
      </w:pPr>
      <w:r>
        <w:rPr>
          <w:rFonts w:ascii="仿宋_GB2312" w:hAnsi="仿宋_GB2312" w:cs="仿宋_GB2312" w:eastAsia="仿宋_GB2312"/>
        </w:rPr>
        <w:t>详见附件：团队人员配备方案.docx</w:t>
      </w:r>
    </w:p>
    <w:p>
      <w:pPr>
        <w:pStyle w:val="null3"/>
        <w:ind w:firstLine="960"/>
      </w:pPr>
      <w:r>
        <w:rPr>
          <w:rFonts w:ascii="仿宋_GB2312" w:hAnsi="仿宋_GB2312" w:cs="仿宋_GB2312" w:eastAsia="仿宋_GB2312"/>
        </w:rPr>
        <w:t>详见附件：服务能力.docx</w:t>
      </w:r>
    </w:p>
    <w:p>
      <w:pPr>
        <w:pStyle w:val="null3"/>
        <w:ind w:firstLine="960"/>
      </w:pPr>
      <w:r>
        <w:rPr>
          <w:rFonts w:ascii="仿宋_GB2312" w:hAnsi="仿宋_GB2312" w:cs="仿宋_GB2312" w:eastAsia="仿宋_GB2312"/>
        </w:rPr>
        <w:t>详见附件：后续服务承诺.docx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