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259">
      <w:pPr>
        <w:adjustRightInd w:val="0"/>
        <w:snapToGrid w:val="0"/>
        <w:spacing w:line="360" w:lineRule="auto"/>
        <w:ind w:firstLine="562" w:firstLineChars="200"/>
        <w:jc w:val="center"/>
        <w:rPr>
          <w:rFonts w:ascii="仿宋" w:hAnsi="仿宋" w:eastAsia="仿宋" w:cs="仿宋"/>
          <w:b/>
          <w:bCs/>
          <w:sz w:val="28"/>
          <w:szCs w:val="28"/>
          <w:highlight w:val="none"/>
        </w:rPr>
      </w:pPr>
      <w:bookmarkStart w:id="0" w:name="_Toc424720404"/>
      <w:bookmarkStart w:id="1" w:name="_Toc423528747"/>
      <w:bookmarkStart w:id="2" w:name="_Toc423529083"/>
      <w:r>
        <w:rPr>
          <w:rFonts w:hint="eastAsia" w:ascii="仿宋" w:hAnsi="仿宋" w:eastAsia="仿宋" w:cs="仿宋"/>
          <w:b/>
          <w:bCs/>
          <w:sz w:val="28"/>
          <w:szCs w:val="28"/>
          <w:highlight w:val="none"/>
        </w:rPr>
        <w:t>第一部分  协议书</w:t>
      </w:r>
      <w:bookmarkEnd w:id="0"/>
      <w:bookmarkEnd w:id="1"/>
      <w:bookmarkEnd w:id="2"/>
    </w:p>
    <w:p w14:paraId="4E16360F">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 xml:space="preserve">发包人（全称）：  西安石油大学                    </w:t>
      </w:r>
    </w:p>
    <w:p w14:paraId="1021289B">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承包人（全称）： 　　　　　　　　　　　　　　　　　</w:t>
      </w:r>
    </w:p>
    <w:p w14:paraId="04FCEE1F">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依照《中华人民共和国民法典》、《中华人民共和国建筑法》等法律、行政法规，以及相关施工规范、标准，遵循平等、自愿、公平和诚实信用的原则，双方就“西安石油大学雁塔、鄠邑校区电梯加装项目”达成协议，承包人愿按本合同约定的付款方式承担本工程的全部施工任务，双方协商一致，订立本合同。</w:t>
      </w:r>
    </w:p>
    <w:p w14:paraId="1B0A4921">
      <w:pPr>
        <w:adjustRightInd w:val="0"/>
        <w:snapToGrid w:val="0"/>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一、工程承包范围</w:t>
      </w:r>
    </w:p>
    <w:p w14:paraId="1E9D8581">
      <w:pPr>
        <w:adjustRightInd w:val="0"/>
        <w:snapToGrid w:val="0"/>
        <w:spacing w:line="360" w:lineRule="auto"/>
        <w:ind w:firstLine="210" w:firstLineChars="100"/>
        <w:rPr>
          <w:rFonts w:ascii="仿宋" w:eastAsia="仿宋"/>
          <w:bCs/>
          <w:highlight w:val="none"/>
        </w:rPr>
      </w:pPr>
      <w:r>
        <w:rPr>
          <w:rFonts w:hint="eastAsia" w:ascii="仿宋" w:eastAsia="仿宋"/>
          <w:bCs/>
          <w:highlight w:val="none"/>
        </w:rPr>
        <w:t>根据学校工作安排，为满足师生出行需求，现拟对现计划对雁塔校区三号实验楼、鄠邑校区C</w:t>
      </w:r>
      <w:r>
        <w:rPr>
          <w:rFonts w:ascii="仿宋" w:eastAsia="仿宋"/>
          <w:bCs/>
          <w:highlight w:val="none"/>
        </w:rPr>
        <w:t>2</w:t>
      </w:r>
      <w:r>
        <w:rPr>
          <w:rFonts w:hint="eastAsia" w:ascii="仿宋" w:eastAsia="仿宋"/>
          <w:bCs/>
          <w:highlight w:val="none"/>
        </w:rPr>
        <w:t>楼（志远楼）及工训中心加装电梯。其中雁塔校区3号实验楼原有电梯1部始建于1995年3月现已停用，此次加装为旧梯更新，鄠邑校区C</w:t>
      </w:r>
      <w:r>
        <w:rPr>
          <w:rFonts w:ascii="仿宋" w:eastAsia="仿宋"/>
          <w:bCs/>
          <w:highlight w:val="none"/>
        </w:rPr>
        <w:t>2</w:t>
      </w:r>
      <w:r>
        <w:rPr>
          <w:rFonts w:hint="eastAsia" w:ascii="仿宋" w:eastAsia="仿宋"/>
          <w:bCs/>
          <w:highlight w:val="none"/>
        </w:rPr>
        <w:t>楼（志远楼）及工训中心为新建（电梯井道预留），利用原有建筑预留电梯井道进行新梯安装，三部电梯均为有机房电梯。</w:t>
      </w:r>
      <w:r>
        <w:rPr>
          <w:rFonts w:ascii="仿宋" w:eastAsia="仿宋"/>
          <w:bCs/>
          <w:highlight w:val="none"/>
        </w:rPr>
        <w:t>3</w:t>
      </w:r>
      <w:r>
        <w:rPr>
          <w:rFonts w:hint="eastAsia" w:ascii="仿宋" w:eastAsia="仿宋"/>
          <w:bCs/>
          <w:highlight w:val="none"/>
        </w:rPr>
        <w:t>部电梯均应安装五方对讲系统、</w:t>
      </w:r>
    </w:p>
    <w:p w14:paraId="6C0538E1">
      <w:pPr>
        <w:adjustRightInd w:val="0"/>
        <w:snapToGrid w:val="0"/>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二、电梯加装施工及技术要求</w:t>
      </w:r>
    </w:p>
    <w:p w14:paraId="6AFFA67D">
      <w:pPr>
        <w:adjustRightInd w:val="0"/>
        <w:snapToGrid w:val="0"/>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（一）</w:t>
      </w:r>
      <w:r>
        <w:rPr>
          <w:rFonts w:hint="eastAsia" w:ascii="仿宋" w:hAnsi="Times New Roman" w:eastAsia="仿宋"/>
          <w:b/>
          <w:kern w:val="0"/>
          <w:sz w:val="24"/>
          <w:highlight w:val="none"/>
        </w:rPr>
        <w:t>电梯主要参数及技术指标</w:t>
      </w:r>
    </w:p>
    <w:tbl>
      <w:tblPr>
        <w:tblStyle w:val="3"/>
        <w:tblW w:w="10632"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476"/>
        <w:gridCol w:w="512"/>
        <w:gridCol w:w="532"/>
        <w:gridCol w:w="443"/>
        <w:gridCol w:w="846"/>
        <w:gridCol w:w="756"/>
        <w:gridCol w:w="637"/>
        <w:gridCol w:w="992"/>
        <w:gridCol w:w="851"/>
        <w:gridCol w:w="992"/>
        <w:gridCol w:w="1134"/>
        <w:gridCol w:w="1134"/>
        <w:gridCol w:w="709"/>
      </w:tblGrid>
      <w:tr w14:paraId="1DB5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shd w:val="clear" w:color="auto" w:fill="auto"/>
          </w:tcPr>
          <w:p w14:paraId="595671BB">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楼号</w:t>
            </w:r>
          </w:p>
        </w:tc>
        <w:tc>
          <w:tcPr>
            <w:tcW w:w="476" w:type="dxa"/>
            <w:shd w:val="clear" w:color="auto" w:fill="auto"/>
          </w:tcPr>
          <w:p w14:paraId="500E2FC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电梯种类</w:t>
            </w:r>
          </w:p>
        </w:tc>
        <w:tc>
          <w:tcPr>
            <w:tcW w:w="512" w:type="dxa"/>
            <w:shd w:val="clear" w:color="auto" w:fill="auto"/>
          </w:tcPr>
          <w:p w14:paraId="29DEB772">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建筑层数</w:t>
            </w:r>
          </w:p>
        </w:tc>
        <w:tc>
          <w:tcPr>
            <w:tcW w:w="532" w:type="dxa"/>
            <w:shd w:val="clear" w:color="auto" w:fill="auto"/>
          </w:tcPr>
          <w:p w14:paraId="049A0603">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停靠层数</w:t>
            </w:r>
          </w:p>
        </w:tc>
        <w:tc>
          <w:tcPr>
            <w:tcW w:w="443" w:type="dxa"/>
            <w:shd w:val="clear" w:color="auto" w:fill="auto"/>
          </w:tcPr>
          <w:p w14:paraId="0CE4D3AF">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台数</w:t>
            </w:r>
          </w:p>
        </w:tc>
        <w:tc>
          <w:tcPr>
            <w:tcW w:w="846" w:type="dxa"/>
            <w:shd w:val="clear" w:color="auto" w:fill="auto"/>
          </w:tcPr>
          <w:p w14:paraId="644FDBB4">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速度（</w:t>
            </w:r>
            <w:r>
              <w:rPr>
                <w:rFonts w:ascii="仿宋" w:hAnsi="Times New Roman" w:eastAsia="仿宋"/>
                <w:kern w:val="0"/>
                <w:sz w:val="18"/>
                <w:szCs w:val="18"/>
                <w:highlight w:val="none"/>
              </w:rPr>
              <w:t>m/s</w:t>
            </w:r>
            <w:r>
              <w:rPr>
                <w:rFonts w:hint="eastAsia" w:ascii="仿宋" w:hAnsi="Times New Roman" w:eastAsia="仿宋"/>
                <w:kern w:val="0"/>
                <w:sz w:val="18"/>
                <w:szCs w:val="18"/>
                <w:highlight w:val="none"/>
              </w:rPr>
              <w:t>）</w:t>
            </w:r>
          </w:p>
        </w:tc>
        <w:tc>
          <w:tcPr>
            <w:tcW w:w="756" w:type="dxa"/>
            <w:shd w:val="clear" w:color="auto" w:fill="auto"/>
          </w:tcPr>
          <w:p w14:paraId="1A8C8197">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重量（㎏）</w:t>
            </w:r>
          </w:p>
        </w:tc>
        <w:tc>
          <w:tcPr>
            <w:tcW w:w="637" w:type="dxa"/>
            <w:shd w:val="clear" w:color="auto" w:fill="auto"/>
          </w:tcPr>
          <w:p w14:paraId="548B07CD">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井道尺寸</w:t>
            </w:r>
          </w:p>
        </w:tc>
        <w:tc>
          <w:tcPr>
            <w:tcW w:w="992" w:type="dxa"/>
            <w:shd w:val="clear" w:color="auto" w:fill="auto"/>
          </w:tcPr>
          <w:p w14:paraId="3C9EAFE5">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轿厢尺寸</w:t>
            </w:r>
          </w:p>
        </w:tc>
        <w:tc>
          <w:tcPr>
            <w:tcW w:w="851" w:type="dxa"/>
            <w:shd w:val="clear" w:color="auto" w:fill="auto"/>
          </w:tcPr>
          <w:p w14:paraId="2008ACA5">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基坑深度</w:t>
            </w:r>
          </w:p>
        </w:tc>
        <w:tc>
          <w:tcPr>
            <w:tcW w:w="992" w:type="dxa"/>
            <w:shd w:val="clear" w:color="auto" w:fill="auto"/>
          </w:tcPr>
          <w:p w14:paraId="5F934890">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提升高度</w:t>
            </w:r>
          </w:p>
        </w:tc>
        <w:tc>
          <w:tcPr>
            <w:tcW w:w="1134" w:type="dxa"/>
            <w:shd w:val="clear" w:color="auto" w:fill="auto"/>
          </w:tcPr>
          <w:p w14:paraId="324A8D4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机房尺寸</w:t>
            </w:r>
          </w:p>
        </w:tc>
        <w:tc>
          <w:tcPr>
            <w:tcW w:w="1134" w:type="dxa"/>
            <w:shd w:val="clear" w:color="auto" w:fill="auto"/>
          </w:tcPr>
          <w:p w14:paraId="1EE54B66">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开门洞口</w:t>
            </w:r>
          </w:p>
        </w:tc>
        <w:tc>
          <w:tcPr>
            <w:tcW w:w="709" w:type="dxa"/>
            <w:shd w:val="clear" w:color="auto" w:fill="auto"/>
          </w:tcPr>
          <w:p w14:paraId="24FCC976">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开门方式</w:t>
            </w:r>
          </w:p>
        </w:tc>
      </w:tr>
      <w:tr w14:paraId="6CF32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shd w:val="clear" w:color="auto" w:fill="auto"/>
          </w:tcPr>
          <w:p w14:paraId="3518D578">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三号实验楼</w:t>
            </w:r>
          </w:p>
        </w:tc>
        <w:tc>
          <w:tcPr>
            <w:tcW w:w="476" w:type="dxa"/>
            <w:shd w:val="clear" w:color="auto" w:fill="auto"/>
          </w:tcPr>
          <w:p w14:paraId="23863D46">
            <w:pPr>
              <w:adjustRightInd w:val="0"/>
              <w:snapToGrid w:val="0"/>
              <w:spacing w:line="360" w:lineRule="auto"/>
              <w:rPr>
                <w:rFonts w:ascii="仿宋" w:hAnsi="Times New Roman" w:eastAsia="仿宋"/>
                <w:kern w:val="0"/>
                <w:sz w:val="18"/>
                <w:szCs w:val="18"/>
                <w:highlight w:val="none"/>
              </w:rPr>
            </w:pPr>
          </w:p>
          <w:p w14:paraId="74F7A55C">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客梯</w:t>
            </w:r>
          </w:p>
        </w:tc>
        <w:tc>
          <w:tcPr>
            <w:tcW w:w="512" w:type="dxa"/>
            <w:shd w:val="clear" w:color="auto" w:fill="auto"/>
          </w:tcPr>
          <w:p w14:paraId="1ADDA6F6">
            <w:pPr>
              <w:adjustRightInd w:val="0"/>
              <w:snapToGrid w:val="0"/>
              <w:spacing w:line="360" w:lineRule="auto"/>
              <w:rPr>
                <w:rFonts w:ascii="仿宋" w:hAnsi="Times New Roman" w:eastAsia="仿宋"/>
                <w:kern w:val="0"/>
                <w:sz w:val="18"/>
                <w:szCs w:val="18"/>
                <w:highlight w:val="none"/>
              </w:rPr>
            </w:pPr>
          </w:p>
          <w:p w14:paraId="34EB182B">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6</w:t>
            </w:r>
          </w:p>
        </w:tc>
        <w:tc>
          <w:tcPr>
            <w:tcW w:w="532" w:type="dxa"/>
            <w:shd w:val="clear" w:color="auto" w:fill="auto"/>
          </w:tcPr>
          <w:p w14:paraId="4B6B653A">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1至6</w:t>
            </w:r>
          </w:p>
        </w:tc>
        <w:tc>
          <w:tcPr>
            <w:tcW w:w="443" w:type="dxa"/>
            <w:shd w:val="clear" w:color="auto" w:fill="auto"/>
          </w:tcPr>
          <w:p w14:paraId="21C5FE1A">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p>
        </w:tc>
        <w:tc>
          <w:tcPr>
            <w:tcW w:w="846" w:type="dxa"/>
            <w:shd w:val="clear" w:color="auto" w:fill="auto"/>
          </w:tcPr>
          <w:p w14:paraId="33F8E480">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.5</w:t>
            </w:r>
          </w:p>
        </w:tc>
        <w:tc>
          <w:tcPr>
            <w:tcW w:w="756" w:type="dxa"/>
            <w:shd w:val="clear" w:color="auto" w:fill="auto"/>
          </w:tcPr>
          <w:p w14:paraId="3CAD14F1">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000</w:t>
            </w:r>
          </w:p>
        </w:tc>
        <w:tc>
          <w:tcPr>
            <w:tcW w:w="637" w:type="dxa"/>
            <w:shd w:val="clear" w:color="auto" w:fill="auto"/>
          </w:tcPr>
          <w:p w14:paraId="6285444D">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2</w:t>
            </w:r>
            <w:r>
              <w:rPr>
                <w:rFonts w:ascii="仿宋" w:hAnsi="Times New Roman" w:eastAsia="仿宋"/>
                <w:kern w:val="0"/>
                <w:sz w:val="15"/>
                <w:szCs w:val="15"/>
                <w:highlight w:val="none"/>
              </w:rPr>
              <w:t>100*2150</w:t>
            </w:r>
          </w:p>
        </w:tc>
        <w:tc>
          <w:tcPr>
            <w:tcW w:w="992" w:type="dxa"/>
            <w:shd w:val="clear" w:color="auto" w:fill="auto"/>
          </w:tcPr>
          <w:p w14:paraId="05F5CD3C">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1</w:t>
            </w:r>
            <w:r>
              <w:rPr>
                <w:rFonts w:ascii="仿宋" w:hAnsi="Times New Roman" w:eastAsia="仿宋"/>
                <w:kern w:val="0"/>
                <w:sz w:val="15"/>
                <w:szCs w:val="15"/>
                <w:highlight w:val="none"/>
              </w:rPr>
              <w:t>600*1500*2500</w:t>
            </w:r>
          </w:p>
        </w:tc>
        <w:tc>
          <w:tcPr>
            <w:tcW w:w="851" w:type="dxa"/>
            <w:shd w:val="clear" w:color="auto" w:fill="auto"/>
          </w:tcPr>
          <w:p w14:paraId="54D2F7E2">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现场实测</w:t>
            </w:r>
          </w:p>
        </w:tc>
        <w:tc>
          <w:tcPr>
            <w:tcW w:w="992" w:type="dxa"/>
            <w:shd w:val="clear" w:color="auto" w:fill="auto"/>
          </w:tcPr>
          <w:p w14:paraId="0DC7D2B8">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9.5</w:t>
            </w:r>
            <w:r>
              <w:rPr>
                <w:rFonts w:hint="eastAsia" w:ascii="仿宋" w:hAnsi="Times New Roman" w:eastAsia="仿宋"/>
                <w:kern w:val="0"/>
                <w:sz w:val="18"/>
                <w:szCs w:val="18"/>
                <w:highlight w:val="none"/>
              </w:rPr>
              <w:t>m</w:t>
            </w:r>
          </w:p>
        </w:tc>
        <w:tc>
          <w:tcPr>
            <w:tcW w:w="1134" w:type="dxa"/>
            <w:shd w:val="clear" w:color="auto" w:fill="auto"/>
          </w:tcPr>
          <w:p w14:paraId="24B16044">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5</w:t>
            </w:r>
            <w:r>
              <w:rPr>
                <w:rFonts w:ascii="仿宋" w:hAnsi="Times New Roman" w:eastAsia="仿宋"/>
                <w:kern w:val="0"/>
                <w:sz w:val="18"/>
                <w:szCs w:val="18"/>
                <w:highlight w:val="none"/>
              </w:rPr>
              <w:t>575*5540</w:t>
            </w:r>
          </w:p>
        </w:tc>
        <w:tc>
          <w:tcPr>
            <w:tcW w:w="1134" w:type="dxa"/>
            <w:shd w:val="clear" w:color="auto" w:fill="auto"/>
          </w:tcPr>
          <w:p w14:paraId="083ADD8A">
            <w:pPr>
              <w:adjustRightInd w:val="0"/>
              <w:snapToGrid w:val="0"/>
              <w:spacing w:line="360" w:lineRule="auto"/>
              <w:rPr>
                <w:rFonts w:ascii="仿宋" w:hAnsi="Times New Roman" w:eastAsia="仿宋"/>
                <w:kern w:val="0"/>
                <w:sz w:val="18"/>
                <w:szCs w:val="18"/>
                <w:highlight w:val="none"/>
              </w:rPr>
            </w:pPr>
            <w:r>
              <w:rPr>
                <w:rFonts w:ascii="仿宋" w:hAnsi="Times New Roman" w:eastAsia="仿宋"/>
                <w:kern w:val="0"/>
                <w:sz w:val="18"/>
                <w:szCs w:val="18"/>
                <w:highlight w:val="none"/>
              </w:rPr>
              <w:t>900*2200</w:t>
            </w:r>
          </w:p>
        </w:tc>
        <w:tc>
          <w:tcPr>
            <w:tcW w:w="709" w:type="dxa"/>
            <w:shd w:val="clear" w:color="auto" w:fill="auto"/>
          </w:tcPr>
          <w:p w14:paraId="48101C03">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中分</w:t>
            </w:r>
          </w:p>
        </w:tc>
      </w:tr>
      <w:tr w14:paraId="22AB8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shd w:val="clear" w:color="auto" w:fill="auto"/>
          </w:tcPr>
          <w:p w14:paraId="72817E7F">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C</w:t>
            </w:r>
            <w:r>
              <w:rPr>
                <w:rFonts w:ascii="仿宋" w:hAnsi="Times New Roman" w:eastAsia="仿宋"/>
                <w:kern w:val="0"/>
                <w:sz w:val="18"/>
                <w:szCs w:val="18"/>
                <w:highlight w:val="none"/>
              </w:rPr>
              <w:t>2</w:t>
            </w:r>
            <w:r>
              <w:rPr>
                <w:rFonts w:hint="eastAsia" w:ascii="仿宋" w:hAnsi="Times New Roman" w:eastAsia="仿宋"/>
                <w:kern w:val="0"/>
                <w:sz w:val="18"/>
                <w:szCs w:val="18"/>
                <w:highlight w:val="none"/>
              </w:rPr>
              <w:t>楼（志远楼）</w:t>
            </w:r>
          </w:p>
        </w:tc>
        <w:tc>
          <w:tcPr>
            <w:tcW w:w="476" w:type="dxa"/>
            <w:shd w:val="clear" w:color="auto" w:fill="auto"/>
          </w:tcPr>
          <w:p w14:paraId="49F9ACAB">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客梯</w:t>
            </w:r>
          </w:p>
        </w:tc>
        <w:tc>
          <w:tcPr>
            <w:tcW w:w="512" w:type="dxa"/>
            <w:shd w:val="clear" w:color="auto" w:fill="auto"/>
          </w:tcPr>
          <w:p w14:paraId="40A0B9B9">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5</w:t>
            </w:r>
          </w:p>
        </w:tc>
        <w:tc>
          <w:tcPr>
            <w:tcW w:w="532" w:type="dxa"/>
            <w:shd w:val="clear" w:color="auto" w:fill="auto"/>
          </w:tcPr>
          <w:p w14:paraId="2EE5A22A">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1至5</w:t>
            </w:r>
          </w:p>
        </w:tc>
        <w:tc>
          <w:tcPr>
            <w:tcW w:w="443" w:type="dxa"/>
            <w:shd w:val="clear" w:color="auto" w:fill="auto"/>
          </w:tcPr>
          <w:p w14:paraId="0611185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p>
        </w:tc>
        <w:tc>
          <w:tcPr>
            <w:tcW w:w="846" w:type="dxa"/>
            <w:shd w:val="clear" w:color="auto" w:fill="auto"/>
          </w:tcPr>
          <w:p w14:paraId="3EBFCD6D">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.5</w:t>
            </w:r>
          </w:p>
        </w:tc>
        <w:tc>
          <w:tcPr>
            <w:tcW w:w="756" w:type="dxa"/>
            <w:shd w:val="clear" w:color="auto" w:fill="auto"/>
          </w:tcPr>
          <w:p w14:paraId="2F2CAE2F">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000</w:t>
            </w:r>
          </w:p>
        </w:tc>
        <w:tc>
          <w:tcPr>
            <w:tcW w:w="637" w:type="dxa"/>
            <w:shd w:val="clear" w:color="auto" w:fill="auto"/>
          </w:tcPr>
          <w:p w14:paraId="573C865D">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2</w:t>
            </w:r>
            <w:r>
              <w:rPr>
                <w:rFonts w:ascii="仿宋" w:hAnsi="Times New Roman" w:eastAsia="仿宋"/>
                <w:kern w:val="0"/>
                <w:sz w:val="15"/>
                <w:szCs w:val="15"/>
                <w:highlight w:val="none"/>
              </w:rPr>
              <w:t>230*2260</w:t>
            </w:r>
          </w:p>
        </w:tc>
        <w:tc>
          <w:tcPr>
            <w:tcW w:w="992" w:type="dxa"/>
            <w:shd w:val="clear" w:color="auto" w:fill="auto"/>
          </w:tcPr>
          <w:p w14:paraId="0EA19F78">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1</w:t>
            </w:r>
            <w:r>
              <w:rPr>
                <w:rFonts w:ascii="仿宋" w:hAnsi="Times New Roman" w:eastAsia="仿宋"/>
                <w:kern w:val="0"/>
                <w:sz w:val="15"/>
                <w:szCs w:val="15"/>
                <w:highlight w:val="none"/>
              </w:rPr>
              <w:t>600*1500*2500</w:t>
            </w:r>
          </w:p>
        </w:tc>
        <w:tc>
          <w:tcPr>
            <w:tcW w:w="851" w:type="dxa"/>
            <w:shd w:val="clear" w:color="auto" w:fill="auto"/>
          </w:tcPr>
          <w:p w14:paraId="104ED265">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1</w:t>
            </w:r>
            <w:r>
              <w:rPr>
                <w:rFonts w:ascii="仿宋" w:hAnsi="Times New Roman" w:eastAsia="仿宋"/>
                <w:kern w:val="0"/>
                <w:sz w:val="15"/>
                <w:szCs w:val="15"/>
                <w:highlight w:val="none"/>
              </w:rPr>
              <w:t>600</w:t>
            </w:r>
          </w:p>
        </w:tc>
        <w:tc>
          <w:tcPr>
            <w:tcW w:w="992" w:type="dxa"/>
            <w:shd w:val="clear" w:color="auto" w:fill="auto"/>
          </w:tcPr>
          <w:p w14:paraId="584F3A4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6.8m</w:t>
            </w:r>
          </w:p>
        </w:tc>
        <w:tc>
          <w:tcPr>
            <w:tcW w:w="1134" w:type="dxa"/>
            <w:shd w:val="clear" w:color="auto" w:fill="auto"/>
          </w:tcPr>
          <w:p w14:paraId="34283966">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7</w:t>
            </w:r>
            <w:r>
              <w:rPr>
                <w:rFonts w:ascii="仿宋" w:hAnsi="Times New Roman" w:eastAsia="仿宋"/>
                <w:kern w:val="0"/>
                <w:sz w:val="18"/>
                <w:szCs w:val="18"/>
                <w:highlight w:val="none"/>
              </w:rPr>
              <w:t>500*5400</w:t>
            </w:r>
          </w:p>
        </w:tc>
        <w:tc>
          <w:tcPr>
            <w:tcW w:w="1134" w:type="dxa"/>
            <w:shd w:val="clear" w:color="auto" w:fill="auto"/>
          </w:tcPr>
          <w:p w14:paraId="5A828A82">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100*2200</w:t>
            </w:r>
          </w:p>
        </w:tc>
        <w:tc>
          <w:tcPr>
            <w:tcW w:w="709" w:type="dxa"/>
            <w:shd w:val="clear" w:color="auto" w:fill="auto"/>
          </w:tcPr>
          <w:p w14:paraId="595366DB">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中分</w:t>
            </w:r>
          </w:p>
        </w:tc>
      </w:tr>
      <w:tr w14:paraId="7955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shd w:val="clear" w:color="auto" w:fill="auto"/>
          </w:tcPr>
          <w:p w14:paraId="2F99221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工训中心</w:t>
            </w:r>
          </w:p>
        </w:tc>
        <w:tc>
          <w:tcPr>
            <w:tcW w:w="476" w:type="dxa"/>
            <w:shd w:val="clear" w:color="auto" w:fill="auto"/>
          </w:tcPr>
          <w:p w14:paraId="5287B8CD">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客梯</w:t>
            </w:r>
          </w:p>
        </w:tc>
        <w:tc>
          <w:tcPr>
            <w:tcW w:w="512" w:type="dxa"/>
            <w:shd w:val="clear" w:color="auto" w:fill="auto"/>
          </w:tcPr>
          <w:p w14:paraId="7938977B">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5</w:t>
            </w:r>
          </w:p>
        </w:tc>
        <w:tc>
          <w:tcPr>
            <w:tcW w:w="532" w:type="dxa"/>
            <w:shd w:val="clear" w:color="auto" w:fill="auto"/>
          </w:tcPr>
          <w:p w14:paraId="73D51291">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1至5</w:t>
            </w:r>
          </w:p>
        </w:tc>
        <w:tc>
          <w:tcPr>
            <w:tcW w:w="443" w:type="dxa"/>
            <w:shd w:val="clear" w:color="auto" w:fill="auto"/>
          </w:tcPr>
          <w:p w14:paraId="412CDCB4">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p>
        </w:tc>
        <w:tc>
          <w:tcPr>
            <w:tcW w:w="846" w:type="dxa"/>
            <w:shd w:val="clear" w:color="auto" w:fill="auto"/>
          </w:tcPr>
          <w:p w14:paraId="11AAF2A7">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.0</w:t>
            </w:r>
          </w:p>
        </w:tc>
        <w:tc>
          <w:tcPr>
            <w:tcW w:w="756" w:type="dxa"/>
            <w:shd w:val="clear" w:color="auto" w:fill="auto"/>
          </w:tcPr>
          <w:p w14:paraId="636660D5">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2</w:t>
            </w:r>
            <w:r>
              <w:rPr>
                <w:rFonts w:ascii="仿宋" w:hAnsi="Times New Roman" w:eastAsia="仿宋"/>
                <w:kern w:val="0"/>
                <w:sz w:val="18"/>
                <w:szCs w:val="18"/>
                <w:highlight w:val="none"/>
              </w:rPr>
              <w:t>000</w:t>
            </w:r>
          </w:p>
        </w:tc>
        <w:tc>
          <w:tcPr>
            <w:tcW w:w="637" w:type="dxa"/>
            <w:shd w:val="clear" w:color="auto" w:fill="auto"/>
          </w:tcPr>
          <w:p w14:paraId="5216B3A7">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3</w:t>
            </w:r>
            <w:r>
              <w:rPr>
                <w:rFonts w:ascii="仿宋" w:hAnsi="Times New Roman" w:eastAsia="仿宋"/>
                <w:kern w:val="0"/>
                <w:sz w:val="15"/>
                <w:szCs w:val="15"/>
                <w:highlight w:val="none"/>
              </w:rPr>
              <w:t>180*3280</w:t>
            </w:r>
          </w:p>
        </w:tc>
        <w:tc>
          <w:tcPr>
            <w:tcW w:w="992" w:type="dxa"/>
            <w:shd w:val="clear" w:color="auto" w:fill="auto"/>
          </w:tcPr>
          <w:p w14:paraId="132641DD">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1</w:t>
            </w:r>
            <w:r>
              <w:rPr>
                <w:rFonts w:ascii="仿宋" w:hAnsi="Times New Roman" w:eastAsia="仿宋"/>
                <w:kern w:val="0"/>
                <w:sz w:val="15"/>
                <w:szCs w:val="15"/>
                <w:highlight w:val="none"/>
              </w:rPr>
              <w:t>700*2500*2500</w:t>
            </w:r>
          </w:p>
        </w:tc>
        <w:tc>
          <w:tcPr>
            <w:tcW w:w="851" w:type="dxa"/>
            <w:shd w:val="clear" w:color="auto" w:fill="auto"/>
          </w:tcPr>
          <w:p w14:paraId="1970A7CF">
            <w:pPr>
              <w:adjustRightInd w:val="0"/>
              <w:snapToGrid w:val="0"/>
              <w:spacing w:line="360" w:lineRule="auto"/>
              <w:jc w:val="left"/>
              <w:rPr>
                <w:rFonts w:ascii="仿宋" w:hAnsi="Times New Roman" w:eastAsia="仿宋"/>
                <w:kern w:val="0"/>
                <w:sz w:val="15"/>
                <w:szCs w:val="15"/>
                <w:highlight w:val="none"/>
              </w:rPr>
            </w:pPr>
            <w:r>
              <w:rPr>
                <w:rFonts w:hint="eastAsia" w:ascii="仿宋" w:hAnsi="Times New Roman" w:eastAsia="仿宋"/>
                <w:kern w:val="0"/>
                <w:sz w:val="15"/>
                <w:szCs w:val="15"/>
                <w:highlight w:val="none"/>
              </w:rPr>
              <w:t>1</w:t>
            </w:r>
            <w:r>
              <w:rPr>
                <w:rFonts w:ascii="仿宋" w:hAnsi="Times New Roman" w:eastAsia="仿宋"/>
                <w:kern w:val="0"/>
                <w:sz w:val="15"/>
                <w:szCs w:val="15"/>
                <w:highlight w:val="none"/>
              </w:rPr>
              <w:t>500</w:t>
            </w:r>
          </w:p>
        </w:tc>
        <w:tc>
          <w:tcPr>
            <w:tcW w:w="992" w:type="dxa"/>
            <w:shd w:val="clear" w:color="auto" w:fill="auto"/>
          </w:tcPr>
          <w:p w14:paraId="121B18C6">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7.4m</w:t>
            </w:r>
          </w:p>
        </w:tc>
        <w:tc>
          <w:tcPr>
            <w:tcW w:w="1134" w:type="dxa"/>
            <w:shd w:val="clear" w:color="auto" w:fill="auto"/>
          </w:tcPr>
          <w:p w14:paraId="054E1B2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3</w:t>
            </w:r>
            <w:r>
              <w:rPr>
                <w:rFonts w:ascii="仿宋" w:hAnsi="Times New Roman" w:eastAsia="仿宋"/>
                <w:kern w:val="0"/>
                <w:sz w:val="18"/>
                <w:szCs w:val="18"/>
                <w:highlight w:val="none"/>
              </w:rPr>
              <w:t>180*7040</w:t>
            </w:r>
          </w:p>
        </w:tc>
        <w:tc>
          <w:tcPr>
            <w:tcW w:w="1134" w:type="dxa"/>
            <w:shd w:val="clear" w:color="auto" w:fill="auto"/>
          </w:tcPr>
          <w:p w14:paraId="5824BC7A">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1</w:t>
            </w:r>
            <w:r>
              <w:rPr>
                <w:rFonts w:ascii="仿宋" w:hAnsi="Times New Roman" w:eastAsia="仿宋"/>
                <w:kern w:val="0"/>
                <w:sz w:val="18"/>
                <w:szCs w:val="18"/>
                <w:highlight w:val="none"/>
              </w:rPr>
              <w:t>700*2200</w:t>
            </w:r>
          </w:p>
        </w:tc>
        <w:tc>
          <w:tcPr>
            <w:tcW w:w="709" w:type="dxa"/>
            <w:shd w:val="clear" w:color="auto" w:fill="auto"/>
          </w:tcPr>
          <w:p w14:paraId="2283349E">
            <w:pPr>
              <w:adjustRightInd w:val="0"/>
              <w:snapToGrid w:val="0"/>
              <w:spacing w:line="360" w:lineRule="auto"/>
              <w:rPr>
                <w:rFonts w:ascii="仿宋" w:hAnsi="Times New Roman" w:eastAsia="仿宋"/>
                <w:kern w:val="0"/>
                <w:sz w:val="18"/>
                <w:szCs w:val="18"/>
                <w:highlight w:val="none"/>
              </w:rPr>
            </w:pPr>
            <w:r>
              <w:rPr>
                <w:rFonts w:hint="eastAsia" w:ascii="仿宋" w:hAnsi="Times New Roman" w:eastAsia="仿宋"/>
                <w:kern w:val="0"/>
                <w:sz w:val="18"/>
                <w:szCs w:val="18"/>
                <w:highlight w:val="none"/>
              </w:rPr>
              <w:t>中分</w:t>
            </w:r>
          </w:p>
        </w:tc>
      </w:tr>
    </w:tbl>
    <w:p w14:paraId="0D4F4815">
      <w:pPr>
        <w:adjustRightInd w:val="0"/>
        <w:snapToGrid w:val="0"/>
        <w:spacing w:line="360" w:lineRule="auto"/>
        <w:rPr>
          <w:rFonts w:ascii="仿宋" w:hAnsi="Times New Roman" w:eastAsia="仿宋"/>
          <w:kern w:val="0"/>
          <w:sz w:val="24"/>
          <w:highlight w:val="none"/>
        </w:rPr>
      </w:pPr>
    </w:p>
    <w:p w14:paraId="06363066">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 xml:space="preserve">1、雁塔校区三号实验楼原电梯载重量为1600kg的货梯，需保护性拆除后新装客梯，原井道尺寸、机房情况等需投标单位现场仔细勘察。                                                                              </w:t>
      </w:r>
    </w:p>
    <w:p w14:paraId="39EF6AEC">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2、若电梯制造商为合资企业，其所投品牌的商标必须与海外母厂注册商标一致，所投标的电梯设备的生产地址必须为国内生产厂家的注册地一致的生产厂家出品，不允许贴牌生产。</w:t>
      </w:r>
    </w:p>
    <w:p w14:paraId="44906487">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3、所投品牌梯型必须为上市销售2年以上产品（以型式检验报告为准）。</w:t>
      </w:r>
      <w:commentRangeStart w:id="0"/>
      <w:commentRangeStart w:id="1"/>
      <w:r>
        <w:rPr>
          <w:rFonts w:hint="eastAsia" w:ascii="仿宋" w:hAnsi="Times New Roman" w:eastAsia="仿宋" w:cstheme="minorBidi"/>
          <w:kern w:val="0"/>
          <w:sz w:val="24"/>
          <w:highlight w:val="none"/>
        </w:rPr>
        <w:t>并为一流品牌</w:t>
      </w:r>
      <w:r>
        <w:rPr>
          <w:rFonts w:hint="eastAsia" w:ascii="仿宋" w:hAnsi="Times New Roman" w:eastAsia="仿宋" w:cstheme="minorBidi"/>
          <w:kern w:val="0"/>
          <w:sz w:val="24"/>
          <w:highlight w:val="none"/>
          <w:lang w:eastAsia="zh-CN"/>
        </w:rPr>
        <w:t>（</w:t>
      </w:r>
      <w:r>
        <w:rPr>
          <w:rFonts w:hint="eastAsia" w:ascii="仿宋" w:hAnsi="Times New Roman" w:eastAsia="仿宋" w:cstheme="minorBidi"/>
          <w:kern w:val="0"/>
          <w:sz w:val="24"/>
          <w:highlight w:val="none"/>
          <w:lang w:val="en-US" w:eastAsia="zh-CN"/>
        </w:rPr>
        <w:t>相当于或优于</w:t>
      </w:r>
      <w:r>
        <w:rPr>
          <w:rFonts w:hint="eastAsia" w:ascii="仿宋" w:hAnsi="Times New Roman" w:eastAsia="仿宋" w:cstheme="minorBidi"/>
          <w:kern w:val="0"/>
          <w:sz w:val="24"/>
          <w:highlight w:val="none"/>
          <w:lang w:eastAsia="zh-CN"/>
        </w:rPr>
        <w:t>通力、迅达、奥的斯</w:t>
      </w:r>
      <w:r>
        <w:rPr>
          <w:rFonts w:hint="eastAsia" w:ascii="仿宋" w:hAnsi="Times New Roman" w:eastAsia="仿宋" w:cstheme="minorBidi"/>
          <w:kern w:val="0"/>
          <w:sz w:val="24"/>
          <w:highlight w:val="none"/>
          <w:lang w:val="en-US" w:eastAsia="zh-CN"/>
        </w:rPr>
        <w:t>品牌档次</w:t>
      </w:r>
      <w:r>
        <w:rPr>
          <w:rFonts w:hint="eastAsia" w:ascii="仿宋" w:hAnsi="Times New Roman" w:eastAsia="仿宋" w:cstheme="minorBidi"/>
          <w:kern w:val="0"/>
          <w:sz w:val="24"/>
          <w:highlight w:val="none"/>
          <w:lang w:eastAsia="zh-CN"/>
        </w:rPr>
        <w:t>）</w:t>
      </w:r>
      <w:r>
        <w:rPr>
          <w:rFonts w:hint="eastAsia" w:ascii="仿宋" w:hAnsi="Times New Roman" w:eastAsia="仿宋" w:cstheme="minorBidi"/>
          <w:kern w:val="0"/>
          <w:sz w:val="24"/>
          <w:highlight w:val="none"/>
        </w:rPr>
        <w:t>。</w:t>
      </w:r>
      <w:commentRangeEnd w:id="0"/>
      <w:r>
        <w:rPr>
          <w:rFonts w:hint="eastAsia" w:ascii="仿宋" w:hAnsi="Times New Roman" w:eastAsia="仿宋"/>
          <w:kern w:val="0"/>
          <w:sz w:val="24"/>
          <w:highlight w:val="none"/>
        </w:rPr>
        <w:commentReference w:id="0"/>
      </w:r>
      <w:commentRangeEnd w:id="1"/>
      <w:r>
        <w:rPr>
          <w:rStyle w:val="4"/>
          <w:rFonts w:hint="eastAsia" w:ascii="仿宋" w:hAnsi="Times New Roman" w:eastAsia="仿宋"/>
          <w:kern w:val="0"/>
          <w:sz w:val="24"/>
          <w:highlight w:val="none"/>
        </w:rPr>
        <w:commentReference w:id="1"/>
      </w:r>
    </w:p>
    <w:p w14:paraId="5F33FA1C">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4、本工程为交钥匙工程，请投标人自主踏勘现场，进行深化设计，并考虑安装电梯固定导轨支架的圈梁、门头横梁、导轨所用钢梁及深化设计、手续办理等费用含在投标报价中。</w:t>
      </w:r>
    </w:p>
    <w:p w14:paraId="1D418D75">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5、所有进口部件均应注明原产地的国名和生产厂商名称，并提供电梯进口部件的海关报关单或原产地证明。</w:t>
      </w:r>
    </w:p>
    <w:p w14:paraId="07799660">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6、土建施工前，必须由电梯厂家对相关土建及机电预留条件做出书面确认后方可施工。</w:t>
      </w:r>
    </w:p>
    <w:p w14:paraId="319CF9F6">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7、中标供应商应按甲方提供的电梯的数据资料进行深化设计，并由该电梯供应商提供电梯安装设计图，经设计单位审核认可后方可土建施工及安装，具体参数详电梯选型表。</w:t>
      </w:r>
    </w:p>
    <w:p w14:paraId="08C5CAA4">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8、 根据《建筑设计防火规范》（GB50016 - 2014(2018年版)）第6.2.9.5条规定，电梯层门的耐火极限不应低于1.00h，并应符合现行国家标准《电梯层门耐火试验完整性热性和热量测定法》GB/T27903规定。</w:t>
      </w:r>
    </w:p>
    <w:p w14:paraId="6869C813">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9、 电梯井道、井底、机房楼面与墙上的预埋件及预留孔，由电梯供应商负责及时提供资料和配合施工。</w:t>
      </w:r>
    </w:p>
    <w:p w14:paraId="655F2377">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10、电梯供应商在电梯安装时应安装电梯运行时有效的减振、防撞去声构造措施。</w:t>
      </w:r>
    </w:p>
    <w:p w14:paraId="2C47C12E">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11、当电梯井底道坑下方空间人员可到达时，应设置对重安全钳，并应得到厂家的书面文件确认其安全，电梯应具备无外部召唤且轿厢内一段时间无预置指令时，自动转为节能运行模式的功能。</w:t>
      </w:r>
    </w:p>
    <w:p w14:paraId="6A43A627">
      <w:pPr>
        <w:adjustRightInd w:val="0"/>
        <w:snapToGrid w:val="0"/>
        <w:spacing w:line="360" w:lineRule="auto"/>
        <w:rPr>
          <w:rFonts w:hint="eastAsia" w:ascii="仿宋" w:hAnsi="Times New Roman" w:eastAsia="仿宋" w:cstheme="minorBidi"/>
          <w:kern w:val="0"/>
          <w:sz w:val="24"/>
          <w:highlight w:val="none"/>
        </w:rPr>
      </w:pPr>
      <w:r>
        <w:rPr>
          <w:rFonts w:hint="eastAsia" w:ascii="仿宋" w:hAnsi="Times New Roman" w:eastAsia="仿宋" w:cstheme="minorBidi"/>
          <w:kern w:val="0"/>
          <w:sz w:val="24"/>
          <w:highlight w:val="none"/>
        </w:rPr>
        <w:t>12、电梯施工前必须经供货商核对设计图纸，对基坑深度、机房尺寸、土建留洞、井道预埋件等提出具体意见和要求，电梯井道基坑应光滑平整，并应设爬梯。</w:t>
      </w:r>
    </w:p>
    <w:p w14:paraId="0BC6437F">
      <w:pPr>
        <w:adjustRightInd w:val="0"/>
        <w:snapToGrid w:val="0"/>
        <w:spacing w:line="360" w:lineRule="auto"/>
        <w:rPr>
          <w:rFonts w:ascii="仿宋" w:hAnsi="Times New Roman" w:eastAsia="仿宋"/>
          <w:kern w:val="0"/>
          <w:sz w:val="24"/>
          <w:highlight w:val="none"/>
        </w:rPr>
      </w:pPr>
      <w:r>
        <w:rPr>
          <w:rFonts w:hint="eastAsia" w:ascii="仿宋" w:hAnsi="Times New Roman" w:eastAsia="仿宋" w:cstheme="minorBidi"/>
          <w:kern w:val="0"/>
          <w:sz w:val="24"/>
          <w:highlight w:val="none"/>
        </w:rPr>
        <w:t>13、电梯层门的耐火完整性不应低于2h，并应符合现行国家标准《电梯层门耐火试验完整性、隔热性和热通量测定法》GB/T27903规定的完整性和隔热性要求</w:t>
      </w:r>
      <w:r>
        <w:rPr>
          <w:rFonts w:hint="eastAsia" w:ascii="仿宋" w:hAnsi="Times New Roman" w:eastAsia="仿宋"/>
          <w:kern w:val="0"/>
          <w:sz w:val="24"/>
          <w:highlight w:val="none"/>
        </w:rPr>
        <w:t>。</w:t>
      </w:r>
    </w:p>
    <w:p w14:paraId="58093F07">
      <w:pPr>
        <w:adjustRightInd w:val="0"/>
        <w:snapToGrid w:val="0"/>
        <w:spacing w:line="360" w:lineRule="auto"/>
        <w:rPr>
          <w:rFonts w:ascii="仿宋" w:hAnsi="Times New Roman" w:eastAsia="仿宋"/>
          <w:b/>
          <w:kern w:val="0"/>
          <w:sz w:val="24"/>
          <w:highlight w:val="none"/>
        </w:rPr>
      </w:pPr>
      <w:r>
        <w:rPr>
          <w:rFonts w:hint="eastAsia" w:ascii="仿宋" w:hAnsi="Times New Roman" w:eastAsia="仿宋"/>
          <w:b/>
          <w:kern w:val="0"/>
          <w:sz w:val="24"/>
          <w:highlight w:val="none"/>
        </w:rPr>
        <w:t>（二）电梯的功能要求</w:t>
      </w:r>
    </w:p>
    <w:p w14:paraId="10839440">
      <w:pPr>
        <w:adjustRightInd w:val="0"/>
        <w:snapToGrid w:val="0"/>
        <w:spacing w:line="360" w:lineRule="auto"/>
        <w:ind w:firstLine="241" w:firstLineChars="100"/>
        <w:rPr>
          <w:rFonts w:ascii="仿宋" w:hAnsi="Times New Roman" w:eastAsia="仿宋"/>
          <w:b/>
          <w:kern w:val="0"/>
          <w:sz w:val="24"/>
          <w:highlight w:val="none"/>
        </w:rPr>
      </w:pPr>
      <w:r>
        <w:rPr>
          <w:rFonts w:hint="eastAsia" w:ascii="仿宋" w:hAnsi="Times New Roman" w:eastAsia="仿宋"/>
          <w:b/>
          <w:kern w:val="0"/>
          <w:sz w:val="24"/>
          <w:highlight w:val="none"/>
        </w:rPr>
        <w:t>1、电梯三大部件的整体功能</w:t>
      </w:r>
    </w:p>
    <w:p w14:paraId="4FABC74D">
      <w:pPr>
        <w:adjustRightInd w:val="0"/>
        <w:snapToGrid w:val="0"/>
        <w:spacing w:line="360" w:lineRule="auto"/>
        <w:rPr>
          <w:rFonts w:hint="eastAsia" w:ascii="仿宋" w:hAnsi="Times New Roman" w:eastAsia="仿宋"/>
          <w:kern w:val="0"/>
          <w:sz w:val="24"/>
          <w:highlight w:val="none"/>
        </w:rPr>
      </w:pPr>
      <w:r>
        <w:rPr>
          <w:rFonts w:hint="eastAsia" w:ascii="仿宋" w:hAnsi="Times New Roman" w:eastAsia="仿宋"/>
          <w:kern w:val="0"/>
          <w:sz w:val="24"/>
          <w:highlight w:val="none"/>
        </w:rPr>
        <w:t>1）曳引机系统：稀土永磁同步无齿曳引传动；矢量变换；脉宽调制；交流变频变压调速VVVF系统。</w:t>
      </w:r>
    </w:p>
    <w:p w14:paraId="67114AD3">
      <w:pPr>
        <w:adjustRightInd w:val="0"/>
        <w:snapToGrid w:val="0"/>
        <w:spacing w:line="360" w:lineRule="auto"/>
        <w:rPr>
          <w:rFonts w:hint="eastAsia" w:ascii="仿宋" w:hAnsi="Times New Roman" w:eastAsia="仿宋"/>
          <w:kern w:val="0"/>
          <w:sz w:val="24"/>
          <w:highlight w:val="none"/>
        </w:rPr>
      </w:pPr>
      <w:r>
        <w:rPr>
          <w:rFonts w:hint="eastAsia" w:ascii="仿宋" w:hAnsi="Times New Roman" w:eastAsia="仿宋"/>
          <w:kern w:val="0"/>
          <w:sz w:val="24"/>
          <w:highlight w:val="none"/>
        </w:rPr>
        <w:t>2）门机系统：无连杆；无触点；交流变频变压调速VVVF系统；光幕系统。</w:t>
      </w:r>
    </w:p>
    <w:p w14:paraId="192B15BB">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3）控制系统：采用32位微机集选控制方式，全数字化复数电脑分散控制技术；系统传输方式为串行数据通讯方式；整机具有“零故障” 监控系统，故障记录和故障历史记录存储功能；控制系统轿厢及外召的所有屏显部分均为中文显示。</w:t>
      </w:r>
    </w:p>
    <w:p w14:paraId="276482F8">
      <w:pPr>
        <w:adjustRightInd w:val="0"/>
        <w:snapToGrid w:val="0"/>
        <w:spacing w:line="360" w:lineRule="auto"/>
        <w:ind w:firstLine="241" w:firstLineChars="100"/>
        <w:rPr>
          <w:rFonts w:ascii="仿宋" w:hAnsi="Times New Roman" w:eastAsia="仿宋"/>
          <w:b/>
          <w:bCs/>
          <w:kern w:val="0"/>
          <w:sz w:val="24"/>
          <w:highlight w:val="none"/>
        </w:rPr>
      </w:pPr>
      <w:r>
        <w:rPr>
          <w:rFonts w:hint="eastAsia" w:ascii="仿宋" w:hAnsi="Times New Roman" w:eastAsia="仿宋"/>
          <w:b/>
          <w:bCs/>
          <w:kern w:val="0"/>
          <w:sz w:val="24"/>
          <w:highlight w:val="none"/>
        </w:rPr>
        <w:t>2、基本操作功能：</w:t>
      </w:r>
    </w:p>
    <w:p w14:paraId="050CB944">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1）报警按钮：</w:t>
      </w:r>
    </w:p>
    <w:p w14:paraId="051E274E">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2）满载直驶功能</w:t>
      </w:r>
    </w:p>
    <w:p w14:paraId="43459CB0">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3）轿内到站钟功能</w:t>
      </w:r>
    </w:p>
    <w:p w14:paraId="2F30BC1A">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4）全集选控制运行功能</w:t>
      </w:r>
    </w:p>
    <w:p w14:paraId="1623E942">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5）带召唤按钮、层站运行方向指示及层位显示</w:t>
      </w:r>
    </w:p>
    <w:p w14:paraId="773CF737">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6）超载报警</w:t>
      </w:r>
    </w:p>
    <w:p w14:paraId="1958D7A4">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7）断电再平层（蓄电池驱动）</w:t>
      </w:r>
    </w:p>
    <w:p w14:paraId="4FB5B57B">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8）司机功能</w:t>
      </w:r>
    </w:p>
    <w:p w14:paraId="2502FD61">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9)自动再平层</w:t>
      </w:r>
    </w:p>
    <w:p w14:paraId="43C16B57">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10）故障自动检测</w:t>
      </w:r>
    </w:p>
    <w:p w14:paraId="355B1446">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11）轿厢通风照明自动控制(一个抽风口以上)</w:t>
      </w:r>
    </w:p>
    <w:p w14:paraId="34A126D4">
      <w:pPr>
        <w:adjustRightInd w:val="0"/>
        <w:snapToGrid w:val="0"/>
        <w:spacing w:line="360" w:lineRule="auto"/>
        <w:ind w:firstLine="120" w:firstLineChars="50"/>
        <w:rPr>
          <w:rFonts w:hint="eastAsia" w:ascii="仿宋" w:hAnsi="Times New Roman" w:eastAsia="仿宋"/>
          <w:kern w:val="0"/>
          <w:sz w:val="24"/>
          <w:highlight w:val="none"/>
        </w:rPr>
      </w:pPr>
      <w:r>
        <w:rPr>
          <w:rFonts w:hint="eastAsia" w:ascii="仿宋" w:hAnsi="Times New Roman" w:eastAsia="仿宋"/>
          <w:kern w:val="0"/>
          <w:sz w:val="24"/>
          <w:highlight w:val="none"/>
        </w:rPr>
        <w:t>12）禁止反向运行登陆功能</w:t>
      </w:r>
    </w:p>
    <w:p w14:paraId="0B9ADEA4">
      <w:pPr>
        <w:adjustRightInd w:val="0"/>
        <w:snapToGrid w:val="0"/>
        <w:spacing w:line="360" w:lineRule="auto"/>
        <w:ind w:firstLine="120" w:firstLineChars="50"/>
        <w:rPr>
          <w:rFonts w:ascii="仿宋" w:hAnsi="Times New Roman" w:eastAsia="仿宋"/>
          <w:kern w:val="0"/>
          <w:sz w:val="24"/>
          <w:highlight w:val="none"/>
        </w:rPr>
      </w:pPr>
      <w:r>
        <w:rPr>
          <w:rFonts w:hint="eastAsia" w:ascii="仿宋" w:hAnsi="Times New Roman" w:eastAsia="仿宋"/>
          <w:b/>
          <w:bCs/>
          <w:kern w:val="0"/>
          <w:sz w:val="24"/>
          <w:highlight w:val="none"/>
        </w:rPr>
        <w:t>3、安全保护功能</w:t>
      </w:r>
    </w:p>
    <w:p w14:paraId="0B16578E">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带光幕系统</w:t>
      </w:r>
    </w:p>
    <w:p w14:paraId="39C7E743">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轿厢应急照明</w:t>
      </w:r>
    </w:p>
    <w:p w14:paraId="733F60F6">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撞底缓冲</w:t>
      </w:r>
    </w:p>
    <w:p w14:paraId="2F6E9328">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警铃</w:t>
      </w:r>
    </w:p>
    <w:p w14:paraId="04D7F770">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火灾应急返回基站</w:t>
      </w:r>
    </w:p>
    <w:p w14:paraId="52EF81A5">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曳引电机过热保护</w:t>
      </w:r>
    </w:p>
    <w:p w14:paraId="6AFE103C">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断相、错相保护、欠压保护</w:t>
      </w:r>
    </w:p>
    <w:p w14:paraId="604AD14A">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4部电梯加装五方对讲装置、行政楼电梯还需加装视频监控系统</w:t>
      </w:r>
    </w:p>
    <w:p w14:paraId="003275F0">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火警紧急回车功能</w:t>
      </w:r>
    </w:p>
    <w:p w14:paraId="3C01327A">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轿厢侧滑动导靴</w:t>
      </w:r>
    </w:p>
    <w:p w14:paraId="3536F30C">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对重侧滑动导靴</w:t>
      </w:r>
    </w:p>
    <w:p w14:paraId="2957B141">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空闲时照明及风扇自动断电</w:t>
      </w:r>
    </w:p>
    <w:p w14:paraId="2DE3A7D9">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超载保护、超速保护</w:t>
      </w:r>
    </w:p>
    <w:p w14:paraId="364EF593">
      <w:pPr>
        <w:numPr>
          <w:ilvl w:val="1"/>
          <w:numId w:val="1"/>
        </w:numPr>
        <w:adjustRightInd w:val="0"/>
        <w:snapToGrid w:val="0"/>
        <w:spacing w:line="360" w:lineRule="auto"/>
        <w:rPr>
          <w:rFonts w:hint="eastAsia" w:ascii="仿宋" w:hAnsi="Times New Roman" w:eastAsia="仿宋"/>
          <w:bCs/>
          <w:kern w:val="0"/>
          <w:sz w:val="24"/>
          <w:highlight w:val="none"/>
        </w:rPr>
      </w:pPr>
      <w:r>
        <w:rPr>
          <w:rFonts w:hint="eastAsia" w:ascii="仿宋" w:hAnsi="Times New Roman" w:eastAsia="仿宋"/>
          <w:bCs/>
          <w:kern w:val="0"/>
          <w:sz w:val="24"/>
          <w:highlight w:val="none"/>
        </w:rPr>
        <w:t xml:space="preserve">具备检修运行方式 </w:t>
      </w:r>
    </w:p>
    <w:p w14:paraId="42EEF852">
      <w:pPr>
        <w:numPr>
          <w:ilvl w:val="1"/>
          <w:numId w:val="1"/>
        </w:numPr>
        <w:adjustRightInd w:val="0"/>
        <w:snapToGrid w:val="0"/>
        <w:spacing w:line="360" w:lineRule="auto"/>
        <w:rPr>
          <w:rFonts w:ascii="仿宋" w:hAnsi="Times New Roman" w:eastAsia="仿宋"/>
          <w:bCs/>
          <w:kern w:val="0"/>
          <w:sz w:val="24"/>
          <w:highlight w:val="none"/>
        </w:rPr>
      </w:pPr>
      <w:r>
        <w:rPr>
          <w:rFonts w:hint="eastAsia" w:ascii="仿宋" w:hAnsi="Times New Roman" w:eastAsia="仿宋"/>
          <w:bCs/>
          <w:kern w:val="0"/>
          <w:sz w:val="24"/>
          <w:highlight w:val="none"/>
        </w:rPr>
        <w:t xml:space="preserve">曳引机（整机）、门机（整机）、控制主板及变频器四大部件应为原厂原品牌（以上需提供部件型式试验报告原件，且与整机型式试验报告中生产单位一致）。电梯安全部件中的限速器、缓冲器、安全钳、光幕、安全回路、上行超速保护、轿厢意外移动等为原厂原品牌（以上需提供整梯型式试验报告原件），原产国母厂的进口部件，或同等技术发达国家海外生产厂生产的进口部件，其它部件若有进口部件，均应为原品牌、原产国母厂或同等技术发达国家海外生产厂生产的进口部件，否则评标时该部件将视为国产。  </w:t>
      </w:r>
    </w:p>
    <w:p w14:paraId="1C1EC4D0">
      <w:pPr>
        <w:adjustRightInd w:val="0"/>
        <w:snapToGrid w:val="0"/>
        <w:spacing w:line="360" w:lineRule="auto"/>
        <w:rPr>
          <w:rFonts w:ascii="仿宋" w:hAnsi="Times New Roman" w:eastAsia="仿宋"/>
          <w:kern w:val="0"/>
          <w:sz w:val="24"/>
          <w:highlight w:val="none"/>
        </w:rPr>
      </w:pPr>
      <w:r>
        <w:rPr>
          <w:rFonts w:hint="eastAsia" w:ascii="仿宋" w:hAnsi="Times New Roman" w:eastAsia="仿宋"/>
          <w:b/>
          <w:bCs/>
          <w:kern w:val="0"/>
          <w:sz w:val="24"/>
          <w:highlight w:val="none"/>
        </w:rPr>
        <w:t>此项为不可偏离项，如果偏离较大，则为不响应招标文件要求，视为废标。</w:t>
      </w:r>
    </w:p>
    <w:p w14:paraId="656EB87F">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（三）电梯的装饰要求：</w:t>
      </w:r>
    </w:p>
    <w:p w14:paraId="75E1DBA8">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1）轿厢前、侧、后壁均为发纹不锈钢；</w:t>
      </w:r>
    </w:p>
    <w:p w14:paraId="7DBF7864">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2）轿厢门为发纹不锈钢；</w:t>
      </w:r>
    </w:p>
    <w:p w14:paraId="4054E462">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3）所有停站层层门均为发纹不锈钢；</w:t>
      </w:r>
    </w:p>
    <w:p w14:paraId="171A247A">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4）层门套均为发纹不锈钢门套；</w:t>
      </w:r>
    </w:p>
    <w:p w14:paraId="364236B1">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5）操纵厢门板材料为发纹不锈钢，轿厢内要求有楼层显示；</w:t>
      </w:r>
    </w:p>
    <w:p w14:paraId="0B62FEEB">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6）厅外召唤面板材料为发纹不锈钢，厅外召唤板上要求有楼层显示；</w:t>
      </w:r>
    </w:p>
    <w:p w14:paraId="4A62FAB4">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7）发纹不锈钢轿厢厚度要求≥1.2mm；材质：ST304不锈钢；</w:t>
      </w:r>
    </w:p>
    <w:p w14:paraId="73B278C3">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8）轿厢地板：塑胶地板；</w:t>
      </w:r>
    </w:p>
    <w:p w14:paraId="2C3D2A34">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9）地坎：模压硬质铝；</w:t>
      </w:r>
    </w:p>
    <w:p w14:paraId="2501EF93">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10）电梯门开启方式：中开式；</w:t>
      </w:r>
    </w:p>
    <w:p w14:paraId="4A29B46F">
      <w:pPr>
        <w:adjustRightInd w:val="0"/>
        <w:snapToGrid w:val="0"/>
        <w:spacing w:line="360" w:lineRule="auto"/>
        <w:ind w:firstLine="240" w:firstLineChars="100"/>
        <w:rPr>
          <w:rFonts w:hint="eastAsia" w:ascii="仿宋" w:hAnsi="Times New Roman" w:eastAsia="仿宋"/>
          <w:kern w:val="0"/>
          <w:sz w:val="24"/>
          <w:highlight w:val="none"/>
        </w:rPr>
      </w:pPr>
      <w:r>
        <w:rPr>
          <w:rFonts w:hint="eastAsia" w:ascii="仿宋" w:hAnsi="Times New Roman" w:eastAsia="仿宋"/>
          <w:kern w:val="0"/>
          <w:sz w:val="24"/>
          <w:highlight w:val="none"/>
        </w:rPr>
        <w:t>11）轿厢照明：LED照明；</w:t>
      </w:r>
    </w:p>
    <w:p w14:paraId="5AADE02C">
      <w:pPr>
        <w:adjustRightInd w:val="0"/>
        <w:snapToGrid w:val="0"/>
        <w:spacing w:line="360" w:lineRule="auto"/>
        <w:ind w:firstLine="240" w:firstLineChars="100"/>
        <w:rPr>
          <w:rFonts w:ascii="仿宋" w:hAnsi="Times New Roman" w:eastAsia="仿宋"/>
          <w:kern w:val="0"/>
          <w:sz w:val="24"/>
          <w:highlight w:val="none"/>
        </w:rPr>
      </w:pPr>
      <w:r>
        <w:rPr>
          <w:rFonts w:hint="eastAsia" w:ascii="仿宋" w:hAnsi="Times New Roman" w:eastAsia="仿宋"/>
          <w:kern w:val="0"/>
          <w:sz w:val="24"/>
          <w:highlight w:val="none"/>
        </w:rPr>
        <w:t>12）电梯设计要求：电梯按钮高1米，每层电梯口应安装楼层标志，上下运行方向及到达应有清晰显示和报层音响。</w:t>
      </w:r>
    </w:p>
    <w:p w14:paraId="6CDE7BA7">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（四）电梯的安装和调试：</w:t>
      </w:r>
    </w:p>
    <w:p w14:paraId="45735D62">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1）施工方案（含旧电梯的拆除）；</w:t>
      </w:r>
    </w:p>
    <w:p w14:paraId="33853210">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2）质量管理体系及保证措施；</w:t>
      </w:r>
    </w:p>
    <w:p w14:paraId="7EC1DAA9">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3）安全管理体系及保证措施；</w:t>
      </w:r>
    </w:p>
    <w:p w14:paraId="014B12A8">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4）施工进度计划及保证措施；</w:t>
      </w:r>
    </w:p>
    <w:p w14:paraId="2A8975C2">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5）项目组织管理机构；</w:t>
      </w:r>
    </w:p>
    <w:p w14:paraId="3B2A38E6">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6）文明施工及环境保护措施；</w:t>
      </w:r>
    </w:p>
    <w:p w14:paraId="766681AC">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7）施工资源投入措施；</w:t>
      </w:r>
    </w:p>
    <w:p w14:paraId="047C8A2F">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（五）技术服务及现场配合</w:t>
      </w:r>
    </w:p>
    <w:p w14:paraId="3D17312F">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电梯安装及装饰均由制造厂家授权代理商负责施工，电梯井道及机房的预埋件、预埋件位置图（如无预埋件，应在投标书中说明）留洞资料均由厂家提供，厂家必须对电梯进行减振处理及在电梯轨道和井壁之间设置减震垫。厂家必须按工程进度及时进场配合安装相关部件，直至电梯安装调试完毕。施工现场用水、用电由中标人与采购人协商处理。</w:t>
      </w:r>
    </w:p>
    <w:p w14:paraId="0EBBB0EF">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（六）安装及验收资料提交</w:t>
      </w:r>
    </w:p>
    <w:p w14:paraId="37123BB9">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（1）中标后分阶段应向招标方提供如下资料及文件一式三套，并装订成册：</w:t>
      </w:r>
    </w:p>
    <w:p w14:paraId="4AEAEF55">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1）机房、井道图纸；</w:t>
      </w:r>
    </w:p>
    <w:p w14:paraId="6143915A">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2)电梯结构及安装图纸；</w:t>
      </w:r>
    </w:p>
    <w:p w14:paraId="49C3B4FB">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3)电梯控制原理图、装配图和电气接线图；</w:t>
      </w:r>
    </w:p>
    <w:p w14:paraId="2CC73C65">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4）安装使用说明书及维修说明书；</w:t>
      </w:r>
    </w:p>
    <w:p w14:paraId="5446DC37">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5）产品合格证、装箱单（主要部件控制柜、主机、安全部件、有效期内型式试验报告合格证复印件）；</w:t>
      </w:r>
    </w:p>
    <w:p w14:paraId="3B02DC8F">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6）电梯安装图、土建图；</w:t>
      </w:r>
    </w:p>
    <w:p w14:paraId="0D65F075">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7）其它必配的图册及备品备件清单；</w:t>
      </w:r>
    </w:p>
    <w:p w14:paraId="2EE40A98">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8）电梯安装调试记录（调试后提供）；</w:t>
      </w:r>
    </w:p>
    <w:p w14:paraId="2304DA4C">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9）交工验收证明书（调试后提供）；</w:t>
      </w:r>
    </w:p>
    <w:p w14:paraId="23F5AEDB">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10）设备配件清单；</w:t>
      </w:r>
    </w:p>
    <w:p w14:paraId="58B17B20">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11）其它必备资料；</w:t>
      </w:r>
    </w:p>
    <w:p w14:paraId="2C15CEC0">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12）中标合同技术文件。</w:t>
      </w:r>
    </w:p>
    <w:p w14:paraId="417434B5">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（2）电梯的安装调试必须由中标人自行施工至正常运行。安装调试人员必须是获得地市级以上质监部门颁发的中华人民共和国特种设备《作业人员证》，获准进行电梯安装、调试的技术人员。</w:t>
      </w:r>
    </w:p>
    <w:p w14:paraId="53E044D3">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所有的试验内容均应满足生产厂及国家相关标准的要求，经采购人初步验收后报请当地质监部门验收合格，出具《电梯验收检验报告》，并颁发《安全检验合格证》后，方可正式办理移交手续，验收费用由投标人计入投标报价中。</w:t>
      </w:r>
    </w:p>
    <w:p w14:paraId="3B3F6175">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（七）电梯安装工程应达到国家有关标准与验收规范及供电电源标准及工程质量</w:t>
      </w:r>
    </w:p>
    <w:p w14:paraId="75205054">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《电梯制造与安装安全规范》       GB7588-2015</w:t>
      </w:r>
    </w:p>
    <w:p w14:paraId="25BA47C7">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《电梯安装验收规范》             GB10060-93</w:t>
      </w:r>
    </w:p>
    <w:p w14:paraId="17A629C8">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《电梯技术条件》                 GB10058-2009</w:t>
      </w:r>
    </w:p>
    <w:p w14:paraId="3AEC47B1">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《电梯试验方法》                 GB10059-2009</w:t>
      </w:r>
    </w:p>
    <w:p w14:paraId="3E8FDB1F">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《电梯工程施工质量验收规范》     GB 50310-2002</w:t>
      </w:r>
    </w:p>
    <w:p w14:paraId="630C9E62">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工程质量：合格</w:t>
      </w:r>
    </w:p>
    <w:p w14:paraId="79C74535">
      <w:pPr>
        <w:numPr>
          <w:ilvl w:val="0"/>
          <w:numId w:val="2"/>
        </w:num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工程质保期限：在电梯设备安装调试完成后，自经国家有关政府部门检验合格、出具证明检验合格的报告及相关许可证之日起开始计算质量保修期，质量保修期的期限为</w:t>
      </w:r>
      <w:r>
        <w:rPr>
          <w:rFonts w:hint="eastAsia" w:ascii="仿宋" w:hAnsi="Times New Roman" w:eastAsia="仿宋"/>
          <w:b/>
          <w:bCs/>
          <w:kern w:val="0"/>
          <w:sz w:val="24"/>
          <w:highlight w:val="none"/>
        </w:rPr>
        <w:t>24个月。</w:t>
      </w:r>
    </w:p>
    <w:p w14:paraId="639DD2FE">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（八）对采购方人员培训计划：</w:t>
      </w:r>
    </w:p>
    <w:p w14:paraId="1ED8208F">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1、设备安装、调试开始前，中标人负责安排提供的2人/每台操作、维修技术人员进行技术培训；</w:t>
      </w:r>
    </w:p>
    <w:p w14:paraId="6EC909AC">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2、在设备安装调试期间或以后，中标人负责安排采购人操作、维护技术人员进行现场更深入的培训（不少于三人），使他们具备操作和必要的调整、维护技能。</w:t>
      </w:r>
    </w:p>
    <w:p w14:paraId="2B3EAD79">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3、备品、备件和易损件应具有完善的供应保障措施及清单（投标人自行填报）</w:t>
      </w:r>
    </w:p>
    <w:p w14:paraId="1A9907B2">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b/>
          <w:bCs/>
          <w:kern w:val="0"/>
          <w:sz w:val="24"/>
          <w:highlight w:val="none"/>
        </w:rPr>
        <w:t>（九）售后技术服务：</w:t>
      </w:r>
    </w:p>
    <w:p w14:paraId="50A0A99C">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1、提供电梯设备的详细操作手册和维修手册；</w:t>
      </w:r>
    </w:p>
    <w:p w14:paraId="53413E56">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2、中标人在西安当地有完整的备品备件库。采购人向中标人选购零部件时，中标人应保证及时提供；</w:t>
      </w:r>
    </w:p>
    <w:p w14:paraId="6F6B62B1">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3、设备生产厂商在零部件停产前，中标人应事先通知采购人，以便有足够的时间购买所需的零部件；</w:t>
      </w:r>
    </w:p>
    <w:p w14:paraId="4369E2F8">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4、中标人在西安当地有常设的维修保养网点，并且配备有固定的、有维修资质的专业技术人员；</w:t>
      </w:r>
    </w:p>
    <w:p w14:paraId="41CED4B5">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5、提供有设计效果的技术培训，受训人员不少于三人；</w:t>
      </w:r>
    </w:p>
    <w:p w14:paraId="51422C26">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6、质保期内，每月对电梯设备和井道至少做两次全面检查和保养，要有完整的维修保养记录备查；</w:t>
      </w:r>
    </w:p>
    <w:p w14:paraId="5124C438">
      <w:pPr>
        <w:adjustRightInd w:val="0"/>
        <w:snapToGrid w:val="0"/>
        <w:spacing w:line="360" w:lineRule="auto"/>
        <w:rPr>
          <w:rFonts w:ascii="仿宋" w:hAnsi="Times New Roman" w:eastAsia="仿宋"/>
          <w:kern w:val="0"/>
          <w:sz w:val="24"/>
          <w:highlight w:val="none"/>
        </w:rPr>
      </w:pPr>
      <w:r>
        <w:rPr>
          <w:rFonts w:hint="eastAsia" w:ascii="仿宋" w:hAnsi="Times New Roman" w:eastAsia="仿宋"/>
          <w:kern w:val="0"/>
          <w:sz w:val="24"/>
          <w:highlight w:val="none"/>
        </w:rPr>
        <w:t>7、如发生故障，应在收到通知后2小时内派人员到达现场，并解决问题。如发生严重事故，中标人应有及时的应急措施，在最短的时间内处理事故；</w:t>
      </w:r>
    </w:p>
    <w:p w14:paraId="07529A36">
      <w:pPr>
        <w:adjustRightInd w:val="0"/>
        <w:snapToGrid w:val="0"/>
        <w:spacing w:line="360" w:lineRule="auto"/>
        <w:rPr>
          <w:rFonts w:ascii="仿宋" w:hAnsi="Times New Roman" w:eastAsia="仿宋"/>
          <w:b/>
          <w:bCs/>
          <w:kern w:val="0"/>
          <w:sz w:val="24"/>
          <w:highlight w:val="none"/>
        </w:rPr>
      </w:pPr>
      <w:r>
        <w:rPr>
          <w:rFonts w:hint="eastAsia" w:ascii="仿宋" w:hAnsi="Times New Roman" w:eastAsia="仿宋"/>
          <w:kern w:val="0"/>
          <w:sz w:val="24"/>
          <w:highlight w:val="none"/>
        </w:rPr>
        <w:t>8、免费保修期：在电梯设备安装调试完成后，自经国家有关政府部门检验合格、出具证明检验合格的报告及相关许可证之日起开始计算质量保修期，质量保修期的期限为24个月。</w:t>
      </w:r>
    </w:p>
    <w:p w14:paraId="44A3A208">
      <w:pPr>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（十）以下内容为对本工程的最基本要求，包括但不限于：</w:t>
      </w:r>
    </w:p>
    <w:p w14:paraId="7F48F46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14:paraId="5310D7A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2.施工单位应根据工程特点和周边各种管线管网、相邻建筑物以及绿化等其他设施等编制工程安全防护措施方案。该方案经施工单位技术负责人签字批准送建设单位审核后方可施工。</w:t>
      </w:r>
    </w:p>
    <w:p w14:paraId="4E0B83E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3.施工单位在施工现场应建立项目部，并按规定配备专职安全员。现场专职安全员必须持有安全生产考核合格证。</w:t>
      </w:r>
    </w:p>
    <w:p w14:paraId="436B798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14:paraId="7D0BB7D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5.拆除时不得野蛮施工、不得对附近建筑物、路灯、规划外的树木等造成损害。</w:t>
      </w:r>
    </w:p>
    <w:p w14:paraId="4E3B1ED4">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6.施工单位对工程的周边环境和施工区域内的环境卫生负责。</w:t>
      </w:r>
    </w:p>
    <w:p w14:paraId="6D09CDB4">
      <w:pPr>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三、项目管理要求</w:t>
      </w:r>
    </w:p>
    <w:p w14:paraId="4F1D5D4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1.本项目不得</w:t>
      </w:r>
      <w:bookmarkStart w:id="50" w:name="_GoBack"/>
      <w:r>
        <w:rPr>
          <w:rFonts w:hint="eastAsia" w:ascii="仿宋" w:hAnsi="仿宋" w:eastAsia="仿宋" w:cs="仿宋"/>
          <w:sz w:val="24"/>
          <w:highlight w:val="none"/>
        </w:rPr>
        <w:t>转包</w:t>
      </w:r>
      <w:bookmarkEnd w:id="50"/>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不得</w:t>
      </w:r>
      <w:r>
        <w:rPr>
          <w:rFonts w:hint="eastAsia" w:ascii="仿宋" w:hAnsi="仿宋" w:eastAsia="仿宋" w:cs="仿宋"/>
          <w:sz w:val="24"/>
          <w:highlight w:val="none"/>
        </w:rPr>
        <w:t>分包。</w:t>
      </w:r>
    </w:p>
    <w:p w14:paraId="2C36BB77">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w:t>
      </w:r>
    </w:p>
    <w:p w14:paraId="0652D29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3.成交供应商须无条件接受甲方代表的现场检查和管理。</w:t>
      </w:r>
    </w:p>
    <w:p w14:paraId="0EC5660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14:paraId="48A2F064">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5.施工的建筑垃圾应清运至有关部门指定的地点，做到工完场清，不留死角。</w:t>
      </w:r>
    </w:p>
    <w:p w14:paraId="3FFCA09C">
      <w:pPr>
        <w:adjustRightInd w:val="0"/>
        <w:snapToGrid w:val="0"/>
        <w:spacing w:line="360" w:lineRule="auto"/>
        <w:ind w:firstLine="482" w:firstLineChars="200"/>
        <w:rPr>
          <w:rFonts w:ascii="仿宋" w:hAnsi="Times New Roman" w:eastAsia="仿宋"/>
          <w:b/>
          <w:bCs/>
          <w:kern w:val="0"/>
          <w:sz w:val="24"/>
          <w:highlight w:val="none"/>
        </w:rPr>
      </w:pPr>
      <w:r>
        <w:rPr>
          <w:rFonts w:hint="eastAsia" w:ascii="仿宋" w:hAnsi="Times New Roman" w:eastAsia="仿宋"/>
          <w:b/>
          <w:bCs/>
          <w:kern w:val="0"/>
          <w:sz w:val="24"/>
          <w:highlight w:val="none"/>
        </w:rPr>
        <w:t>四、合同工期</w:t>
      </w:r>
    </w:p>
    <w:p w14:paraId="47700E34">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 xml:space="preserve">开工日期：　　月　日   完工日期：　月  日       </w:t>
      </w:r>
    </w:p>
    <w:p w14:paraId="78949204">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总日历天数：</w:t>
      </w:r>
      <w:r>
        <w:rPr>
          <w:rFonts w:hint="eastAsia" w:ascii="仿宋" w:hAnsi="Times New Roman" w:eastAsia="仿宋"/>
          <w:kern w:val="0"/>
          <w:sz w:val="24"/>
          <w:highlight w:val="none"/>
          <w:u w:val="single"/>
          <w:lang w:val="en-US" w:eastAsia="zh-CN"/>
        </w:rPr>
        <w:t xml:space="preserve">     </w:t>
      </w:r>
      <w:r>
        <w:rPr>
          <w:rFonts w:hint="eastAsia" w:ascii="仿宋" w:hAnsi="Times New Roman" w:eastAsia="仿宋"/>
          <w:kern w:val="0"/>
          <w:sz w:val="24"/>
          <w:highlight w:val="none"/>
        </w:rPr>
        <w:t>日历天。</w:t>
      </w:r>
    </w:p>
    <w:p w14:paraId="6FF9950F">
      <w:pPr>
        <w:adjustRightInd w:val="0"/>
        <w:snapToGrid w:val="0"/>
        <w:spacing w:line="360" w:lineRule="auto"/>
        <w:ind w:firstLine="482" w:firstLineChars="200"/>
        <w:rPr>
          <w:rFonts w:ascii="仿宋" w:hAnsi="Times New Roman" w:eastAsia="仿宋"/>
          <w:b/>
          <w:bCs/>
          <w:kern w:val="0"/>
          <w:sz w:val="24"/>
          <w:highlight w:val="none"/>
        </w:rPr>
      </w:pPr>
      <w:bookmarkStart w:id="3" w:name="_Toc424720409"/>
      <w:bookmarkStart w:id="4" w:name="_Toc423528752"/>
      <w:bookmarkStart w:id="5" w:name="_Toc423529088"/>
      <w:r>
        <w:rPr>
          <w:rFonts w:hint="eastAsia" w:ascii="仿宋" w:hAnsi="Times New Roman" w:eastAsia="仿宋"/>
          <w:b/>
          <w:bCs/>
          <w:kern w:val="0"/>
          <w:sz w:val="24"/>
          <w:highlight w:val="none"/>
        </w:rPr>
        <w:t>五、质保期</w:t>
      </w:r>
      <w:bookmarkEnd w:id="3"/>
    </w:p>
    <w:bookmarkEnd w:id="4"/>
    <w:bookmarkEnd w:id="5"/>
    <w:p w14:paraId="6BAFC78B">
      <w:pPr>
        <w:adjustRightInd w:val="0"/>
        <w:snapToGrid w:val="0"/>
        <w:spacing w:line="360" w:lineRule="auto"/>
        <w:ind w:firstLine="960" w:firstLineChars="400"/>
        <w:rPr>
          <w:rFonts w:ascii="仿宋" w:hAnsi="Times New Roman" w:eastAsia="仿宋"/>
          <w:kern w:val="0"/>
          <w:sz w:val="24"/>
          <w:highlight w:val="none"/>
        </w:rPr>
      </w:pPr>
      <w:r>
        <w:rPr>
          <w:rFonts w:hint="eastAsia" w:ascii="仿宋" w:hAnsi="Times New Roman" w:eastAsia="仿宋"/>
          <w:kern w:val="0"/>
          <w:sz w:val="24"/>
          <w:highlight w:val="none"/>
        </w:rPr>
        <w:t>2</w:t>
      </w:r>
      <w:r>
        <w:rPr>
          <w:rFonts w:ascii="仿宋" w:hAnsi="Times New Roman" w:eastAsia="仿宋"/>
          <w:kern w:val="0"/>
          <w:sz w:val="24"/>
          <w:highlight w:val="none"/>
        </w:rPr>
        <w:t>4</w:t>
      </w:r>
      <w:r>
        <w:rPr>
          <w:rFonts w:hint="eastAsia" w:ascii="仿宋" w:hAnsi="Times New Roman" w:eastAsia="仿宋"/>
          <w:kern w:val="0"/>
          <w:sz w:val="24"/>
          <w:highlight w:val="none"/>
        </w:rPr>
        <w:t>个月</w:t>
      </w:r>
    </w:p>
    <w:p w14:paraId="3A535252">
      <w:pPr>
        <w:adjustRightInd w:val="0"/>
        <w:snapToGrid w:val="0"/>
        <w:spacing w:line="360" w:lineRule="auto"/>
        <w:ind w:firstLine="482" w:firstLineChars="200"/>
        <w:rPr>
          <w:rFonts w:ascii="仿宋" w:hAnsi="Times New Roman" w:eastAsia="仿宋"/>
          <w:b/>
          <w:bCs/>
          <w:kern w:val="0"/>
          <w:sz w:val="24"/>
          <w:highlight w:val="none"/>
        </w:rPr>
      </w:pPr>
      <w:bookmarkStart w:id="6" w:name="_Toc423529089"/>
      <w:bookmarkStart w:id="7" w:name="_Toc424720410"/>
      <w:bookmarkStart w:id="8" w:name="_Toc423528753"/>
      <w:r>
        <w:rPr>
          <w:rFonts w:hint="eastAsia" w:ascii="仿宋" w:hAnsi="Times New Roman" w:eastAsia="仿宋"/>
          <w:b/>
          <w:bCs/>
          <w:kern w:val="0"/>
          <w:sz w:val="24"/>
          <w:highlight w:val="none"/>
        </w:rPr>
        <w:t>六、安全文明施工</w:t>
      </w:r>
      <w:bookmarkEnd w:id="6"/>
      <w:bookmarkEnd w:id="7"/>
      <w:bookmarkEnd w:id="8"/>
    </w:p>
    <w:p w14:paraId="462BFC40">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1. 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14:paraId="49AAD558">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2.符合《安全生产管理条例》的标准、道路、场地、绿化工程现行规范、西安市建筑工地环卫部门等要求；施工场地内无施工遗留物，垃圾清运干净。</w:t>
      </w:r>
    </w:p>
    <w:p w14:paraId="1017ACBC">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3.乙方应遵守政府有关部门对施工场地交通、噪音以及环境保护和文明施工等地管理规定，按有关规定办理有关手续，上述费用由乙方承担。</w:t>
      </w:r>
    </w:p>
    <w:p w14:paraId="7DA4264F">
      <w:pPr>
        <w:adjustRightInd w:val="0"/>
        <w:snapToGrid w:val="0"/>
        <w:spacing w:line="360" w:lineRule="auto"/>
        <w:ind w:firstLine="482" w:firstLineChars="200"/>
        <w:rPr>
          <w:rFonts w:ascii="仿宋" w:hAnsi="Times New Roman" w:eastAsia="仿宋"/>
          <w:b/>
          <w:bCs/>
          <w:kern w:val="0"/>
          <w:sz w:val="24"/>
          <w:highlight w:val="none"/>
        </w:rPr>
      </w:pPr>
      <w:bookmarkStart w:id="9" w:name="_Toc423529090"/>
      <w:bookmarkStart w:id="10" w:name="_Toc423528754"/>
      <w:bookmarkStart w:id="11" w:name="_Toc424720411"/>
      <w:r>
        <w:rPr>
          <w:rFonts w:hint="eastAsia" w:ascii="仿宋" w:hAnsi="Times New Roman" w:eastAsia="仿宋"/>
          <w:b/>
          <w:bCs/>
          <w:kern w:val="0"/>
          <w:sz w:val="24"/>
          <w:highlight w:val="none"/>
        </w:rPr>
        <w:t>七、合同价款</w:t>
      </w:r>
      <w:bookmarkEnd w:id="9"/>
      <w:bookmarkEnd w:id="10"/>
      <w:bookmarkEnd w:id="11"/>
    </w:p>
    <w:p w14:paraId="01FA14BE">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合同总价（大写）：  　　 元整</w:t>
      </w:r>
    </w:p>
    <w:p w14:paraId="372F4D7F">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（小写）：￥ 　　　　    元整</w:t>
      </w:r>
    </w:p>
    <w:p w14:paraId="0D4D6444">
      <w:pPr>
        <w:adjustRightInd w:val="0"/>
        <w:snapToGrid w:val="0"/>
        <w:spacing w:line="360" w:lineRule="auto"/>
        <w:ind w:firstLine="482" w:firstLineChars="200"/>
        <w:rPr>
          <w:rFonts w:ascii="仿宋" w:hAnsi="Times New Roman" w:eastAsia="仿宋"/>
          <w:b/>
          <w:bCs/>
          <w:kern w:val="0"/>
          <w:sz w:val="24"/>
          <w:highlight w:val="none"/>
        </w:rPr>
      </w:pPr>
      <w:bookmarkStart w:id="12" w:name="_Toc424720412"/>
      <w:bookmarkStart w:id="13" w:name="_Toc423528755"/>
      <w:bookmarkStart w:id="14" w:name="_Toc423529091"/>
      <w:r>
        <w:rPr>
          <w:rFonts w:hint="eastAsia" w:ascii="仿宋" w:hAnsi="Times New Roman" w:eastAsia="仿宋"/>
          <w:b/>
          <w:bCs/>
          <w:kern w:val="0"/>
          <w:sz w:val="24"/>
          <w:highlight w:val="none"/>
        </w:rPr>
        <w:t>八、组成合同的文件</w:t>
      </w:r>
      <w:bookmarkEnd w:id="12"/>
      <w:bookmarkEnd w:id="13"/>
      <w:bookmarkEnd w:id="14"/>
    </w:p>
    <w:p w14:paraId="71CFCE23">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组成本合同的文件包括：</w:t>
      </w:r>
    </w:p>
    <w:p w14:paraId="1B45CD7C">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1.本合同协议书</w:t>
      </w:r>
    </w:p>
    <w:p w14:paraId="7B7C4B42">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2.本合同通用条款</w:t>
      </w:r>
    </w:p>
    <w:p w14:paraId="5060CCED">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3.本合同专用条款</w:t>
      </w:r>
    </w:p>
    <w:p w14:paraId="44C847EC">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4.中标通知书</w:t>
      </w:r>
    </w:p>
    <w:p w14:paraId="1A2A4039">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5.竞争性磋商响应文件及承诺</w:t>
      </w:r>
    </w:p>
    <w:p w14:paraId="42AF969E">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6.竞争性磋商文件</w:t>
      </w:r>
    </w:p>
    <w:p w14:paraId="7C9B6228">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7.标准、规范及有关技术文件</w:t>
      </w:r>
    </w:p>
    <w:p w14:paraId="778832BD">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双方为履行本合同的有关洽商、变更等书面协议、文件，视为本合同的组成部分。</w:t>
      </w:r>
    </w:p>
    <w:p w14:paraId="7F65A511">
      <w:pPr>
        <w:adjustRightInd w:val="0"/>
        <w:snapToGrid w:val="0"/>
        <w:spacing w:line="360" w:lineRule="auto"/>
        <w:ind w:firstLine="482" w:firstLineChars="200"/>
        <w:rPr>
          <w:rFonts w:ascii="仿宋" w:hAnsi="Times New Roman" w:eastAsia="仿宋"/>
          <w:b/>
          <w:bCs/>
          <w:kern w:val="0"/>
          <w:sz w:val="24"/>
          <w:highlight w:val="none"/>
        </w:rPr>
      </w:pPr>
      <w:bookmarkStart w:id="15" w:name="_Toc424720413"/>
      <w:bookmarkStart w:id="16" w:name="_Toc423528756"/>
      <w:bookmarkStart w:id="17" w:name="_Toc423529092"/>
      <w:r>
        <w:rPr>
          <w:rFonts w:hint="eastAsia" w:ascii="仿宋" w:hAnsi="Times New Roman" w:eastAsia="仿宋"/>
          <w:b/>
          <w:bCs/>
          <w:kern w:val="0"/>
          <w:sz w:val="24"/>
          <w:highlight w:val="none"/>
        </w:rPr>
        <w:t>九、支付方式</w:t>
      </w:r>
      <w:bookmarkEnd w:id="15"/>
      <w:bookmarkEnd w:id="16"/>
      <w:bookmarkEnd w:id="17"/>
    </w:p>
    <w:p w14:paraId="0B2B31C1">
      <w:pPr>
        <w:adjustRightInd w:val="0"/>
        <w:snapToGrid w:val="0"/>
        <w:spacing w:line="360" w:lineRule="auto"/>
        <w:ind w:firstLine="480" w:firstLineChars="200"/>
        <w:rPr>
          <w:rFonts w:ascii="仿宋" w:hAnsi="Times New Roman" w:eastAsia="仿宋"/>
          <w:kern w:val="0"/>
          <w:sz w:val="24"/>
          <w:highlight w:val="none"/>
        </w:rPr>
      </w:pPr>
      <w:bookmarkStart w:id="18" w:name="_Hlk214868949"/>
      <w:bookmarkStart w:id="19" w:name="_Toc424720414"/>
      <w:bookmarkStart w:id="20" w:name="_Toc423528757"/>
      <w:bookmarkStart w:id="21" w:name="_Toc423529093"/>
      <w:r>
        <w:rPr>
          <w:rFonts w:hint="eastAsia" w:ascii="仿宋" w:hAnsi="Times New Roman" w:eastAsia="仿宋"/>
          <w:kern w:val="0"/>
          <w:sz w:val="24"/>
          <w:highlight w:val="none"/>
        </w:rPr>
        <w:t>此工程无预付款，工程施工完毕，经甲方验收合格后，10日内支付合同总价款的80%；经工程审计结算审核后10日内，扣除核定总造价1%的水电费，余款10日内一次结清（不计利息）。办理付款时，乙方应提供增值税专用发票。</w:t>
      </w:r>
    </w:p>
    <w:p w14:paraId="540F026C">
      <w:pPr>
        <w:adjustRightInd w:val="0"/>
        <w:snapToGrid w:val="0"/>
        <w:spacing w:line="360" w:lineRule="auto"/>
        <w:ind w:firstLine="480" w:firstLineChars="200"/>
        <w:rPr>
          <w:rFonts w:ascii="仿宋" w:hAnsi="Times New Roman" w:eastAsia="仿宋"/>
          <w:color w:val="FF0000"/>
          <w:kern w:val="0"/>
          <w:sz w:val="24"/>
          <w:highlight w:val="none"/>
        </w:rPr>
      </w:pPr>
      <w:r>
        <w:rPr>
          <w:rFonts w:hint="eastAsia" w:ascii="仿宋" w:hAnsi="Times New Roman" w:eastAsia="仿宋"/>
          <w:kern w:val="0"/>
          <w:sz w:val="24"/>
          <w:highlight w:val="none"/>
        </w:rPr>
        <w:t>承包人应按要求向发包人递交竣工结算报告及完整的结算资料，并对递交的报告及资料的完整性负全责。若出现漏报，损失由承包人承担。工程竣工验收合格，发包人在收到竣工结算报告及完整的结算资料后，按相关要求对承包人提供的竣工结算资料进行审计。发包人委托有资质的造价咨询机构进行审计，基本审计费由发包人承担，审减额在5%以内（含5%），发生的审核成果费由发包人承担；审减额5%以上的审核成果费由承包人承担。</w:t>
      </w:r>
    </w:p>
    <w:bookmarkEnd w:id="18"/>
    <w:p w14:paraId="529A64EC">
      <w:pPr>
        <w:adjustRightInd w:val="0"/>
        <w:snapToGrid w:val="0"/>
        <w:spacing w:line="360" w:lineRule="auto"/>
        <w:ind w:firstLine="482" w:firstLineChars="200"/>
        <w:rPr>
          <w:rFonts w:ascii="仿宋" w:hAnsi="Times New Roman" w:eastAsia="仿宋"/>
          <w:b/>
          <w:bCs/>
          <w:kern w:val="0"/>
          <w:sz w:val="24"/>
          <w:highlight w:val="none"/>
        </w:rPr>
      </w:pPr>
      <w:r>
        <w:rPr>
          <w:rFonts w:hint="eastAsia" w:ascii="仿宋" w:hAnsi="Times New Roman" w:eastAsia="仿宋"/>
          <w:b/>
          <w:bCs/>
          <w:kern w:val="0"/>
          <w:sz w:val="24"/>
          <w:highlight w:val="none"/>
        </w:rPr>
        <w:t>十、合同生效</w:t>
      </w:r>
      <w:bookmarkEnd w:id="19"/>
      <w:bookmarkEnd w:id="20"/>
      <w:bookmarkEnd w:id="21"/>
    </w:p>
    <w:p w14:paraId="1A72F159">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合同订立时间：       　年　    月      日</w:t>
      </w:r>
    </w:p>
    <w:p w14:paraId="05546CD7">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合同订立地点：　　   西安                          　</w:t>
      </w:r>
    </w:p>
    <w:p w14:paraId="2F067C3C">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本合同双方约定         签字盖章        后生效。</w:t>
      </w:r>
    </w:p>
    <w:p w14:paraId="49CBFFA8">
      <w:pPr>
        <w:adjustRightInd w:val="0"/>
        <w:snapToGrid w:val="0"/>
        <w:spacing w:line="360" w:lineRule="auto"/>
        <w:ind w:firstLine="562" w:firstLineChars="200"/>
        <w:jc w:val="center"/>
        <w:rPr>
          <w:rFonts w:ascii="仿宋" w:hAnsi="Times New Roman" w:eastAsia="仿宋"/>
          <w:b/>
          <w:bCs/>
          <w:kern w:val="0"/>
          <w:sz w:val="28"/>
          <w:szCs w:val="28"/>
          <w:highlight w:val="none"/>
        </w:rPr>
      </w:pPr>
      <w:bookmarkStart w:id="22" w:name="_Toc423528758"/>
      <w:bookmarkStart w:id="23" w:name="_Toc424720415"/>
      <w:bookmarkStart w:id="24" w:name="_Toc423529094"/>
    </w:p>
    <w:p w14:paraId="28A795C2">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2E793ED1">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1E0ECB03">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3A7174B4">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29D0DC74">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0D4D2D9F">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5291092D">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7284B375">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22303058">
      <w:pPr>
        <w:adjustRightInd w:val="0"/>
        <w:snapToGrid w:val="0"/>
        <w:spacing w:line="360" w:lineRule="auto"/>
        <w:ind w:firstLine="562" w:firstLineChars="200"/>
        <w:jc w:val="center"/>
        <w:rPr>
          <w:rFonts w:ascii="仿宋" w:hAnsi="Times New Roman" w:eastAsia="仿宋"/>
          <w:b/>
          <w:bCs/>
          <w:kern w:val="0"/>
          <w:sz w:val="28"/>
          <w:szCs w:val="28"/>
          <w:highlight w:val="none"/>
        </w:rPr>
      </w:pPr>
    </w:p>
    <w:p w14:paraId="17A56647">
      <w:pPr>
        <w:adjustRightInd w:val="0"/>
        <w:snapToGrid w:val="0"/>
        <w:spacing w:line="360" w:lineRule="auto"/>
        <w:ind w:firstLine="562" w:firstLineChars="200"/>
        <w:jc w:val="center"/>
        <w:rPr>
          <w:rFonts w:ascii="仿宋" w:hAnsi="Times New Roman" w:eastAsia="仿宋"/>
          <w:b/>
          <w:bCs/>
          <w:kern w:val="0"/>
          <w:sz w:val="28"/>
          <w:szCs w:val="28"/>
          <w:highlight w:val="none"/>
        </w:rPr>
      </w:pPr>
      <w:r>
        <w:rPr>
          <w:rFonts w:hint="eastAsia" w:ascii="仿宋" w:hAnsi="Times New Roman" w:eastAsia="仿宋"/>
          <w:b/>
          <w:bCs/>
          <w:kern w:val="0"/>
          <w:sz w:val="28"/>
          <w:szCs w:val="28"/>
          <w:highlight w:val="none"/>
        </w:rPr>
        <w:t>第二部分  通用条款</w:t>
      </w:r>
      <w:bookmarkEnd w:id="22"/>
      <w:bookmarkEnd w:id="23"/>
      <w:bookmarkEnd w:id="24"/>
    </w:p>
    <w:p w14:paraId="23C21B17">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详见陕西省建设工程示范文本通用条款。</w:t>
      </w:r>
    </w:p>
    <w:p w14:paraId="6343948E">
      <w:pPr>
        <w:adjustRightInd w:val="0"/>
        <w:snapToGrid w:val="0"/>
        <w:spacing w:line="360" w:lineRule="auto"/>
        <w:ind w:firstLine="480" w:firstLineChars="200"/>
        <w:jc w:val="center"/>
        <w:rPr>
          <w:rFonts w:ascii="仿宋" w:hAnsi="仿宋" w:eastAsia="仿宋" w:cs="仿宋"/>
          <w:b/>
          <w:bCs/>
          <w:sz w:val="28"/>
          <w:szCs w:val="28"/>
          <w:highlight w:val="none"/>
        </w:rPr>
      </w:pPr>
      <w:r>
        <w:rPr>
          <w:rFonts w:hint="eastAsia" w:ascii="仿宋" w:hAnsi="Times New Roman" w:eastAsia="仿宋"/>
          <w:kern w:val="0"/>
          <w:sz w:val="24"/>
          <w:highlight w:val="none"/>
        </w:rPr>
        <w:br w:type="page"/>
      </w:r>
      <w:bookmarkStart w:id="25" w:name="_Toc424720416"/>
      <w:r>
        <w:rPr>
          <w:rFonts w:hint="eastAsia" w:ascii="仿宋" w:hAnsi="仿宋" w:eastAsia="仿宋" w:cs="仿宋"/>
          <w:b/>
          <w:bCs/>
          <w:sz w:val="28"/>
          <w:szCs w:val="28"/>
          <w:highlight w:val="none"/>
        </w:rPr>
        <w:t>第三部分  专用条款</w:t>
      </w:r>
      <w:bookmarkEnd w:id="25"/>
    </w:p>
    <w:p w14:paraId="24CD5778">
      <w:pPr>
        <w:adjustRightInd w:val="0"/>
        <w:snapToGrid w:val="0"/>
        <w:spacing w:line="360" w:lineRule="auto"/>
        <w:ind w:firstLine="480" w:firstLineChars="200"/>
        <w:rPr>
          <w:rFonts w:ascii="仿宋" w:hAnsi="仿宋" w:eastAsia="仿宋" w:cs="仿宋"/>
          <w:sz w:val="24"/>
          <w:highlight w:val="none"/>
        </w:rPr>
      </w:pPr>
      <w:bookmarkStart w:id="26" w:name="_Toc423528760"/>
      <w:bookmarkStart w:id="27" w:name="_Toc424720417"/>
      <w:bookmarkStart w:id="28" w:name="_Toc423529096"/>
      <w:r>
        <w:rPr>
          <w:rFonts w:hint="eastAsia" w:ascii="仿宋" w:hAnsi="仿宋" w:eastAsia="仿宋" w:cs="仿宋"/>
          <w:sz w:val="24"/>
          <w:highlight w:val="none"/>
        </w:rPr>
        <w:t>一、工程要求</w:t>
      </w:r>
      <w:bookmarkEnd w:id="26"/>
      <w:bookmarkEnd w:id="27"/>
      <w:bookmarkEnd w:id="28"/>
    </w:p>
    <w:p w14:paraId="2401AE9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1.工程施工前承包人应熟悉现场，以避免在施工过程中造成不必要的麻烦及安全隐患、损坏周边设施，由此造成的一切后果由施工单位负责。</w:t>
      </w:r>
    </w:p>
    <w:p w14:paraId="2302F4E5">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2.按发包方要求施工。</w:t>
      </w:r>
    </w:p>
    <w:p w14:paraId="7DC581F5">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3.施工时必须格外留意暗埋的电气线管、弱电线管。要爱护房间内的设施，不得随意挪动、损坏。如有损坏必定要及时维修，并承担所有费用。</w:t>
      </w:r>
    </w:p>
    <w:p w14:paraId="3596E5F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4.及时清理当天的建筑垃圾，建筑材料应整齐堆放在指定地点，不得影响校园环境整洁。</w:t>
      </w:r>
    </w:p>
    <w:p w14:paraId="2208947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5.本工程项目负责人和安全员必须常驻工地，施工期间安全员不得离开现场。</w:t>
      </w:r>
    </w:p>
    <w:p w14:paraId="7C889E64">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6.发包人有权对不合格的项目经理﹑项目部成员进行更换，有权将不具备资格的施工人员清理出场。</w:t>
      </w:r>
    </w:p>
    <w:p w14:paraId="34E327F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7.承包人应遵守学校校园管理规定，文明施工，做好施工现场保卫，保证校园干净，服从校内道路交通、门卫管理。</w:t>
      </w:r>
    </w:p>
    <w:p w14:paraId="720A643E">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8.承包人现场用电必须按照发包人要求，三相五线制，一机一闸必须带漏电保护，不许私用电炉。 </w:t>
      </w:r>
    </w:p>
    <w:p w14:paraId="17082285">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9.承包人因外部原因停工超过36小时，应向发包人以书面形式提出要求顺延工期报告。 </w:t>
      </w:r>
    </w:p>
    <w:p w14:paraId="649FA10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10.本工程应在完工验收之前，承包人应将施工现场周围清除干净；无建筑材料、无临时垃圾、无坑池渠沟和垃圾，场地整洁。 </w:t>
      </w:r>
    </w:p>
    <w:p w14:paraId="3269B62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11.承包人应当确保农民工工资的按时、足额发放，不得因此而影响工程的正常进行。</w:t>
      </w:r>
    </w:p>
    <w:p w14:paraId="36BCF59D">
      <w:pPr>
        <w:adjustRightInd w:val="0"/>
        <w:snapToGrid w:val="0"/>
        <w:spacing w:line="360" w:lineRule="auto"/>
        <w:ind w:firstLine="480" w:firstLineChars="200"/>
        <w:rPr>
          <w:rFonts w:ascii="仿宋" w:hAnsi="仿宋" w:eastAsia="仿宋" w:cs="仿宋"/>
          <w:sz w:val="24"/>
          <w:highlight w:val="none"/>
        </w:rPr>
      </w:pPr>
      <w:bookmarkStart w:id="29" w:name="_Toc423528761"/>
      <w:bookmarkStart w:id="30" w:name="_Toc423529097"/>
      <w:bookmarkStart w:id="31" w:name="_Toc424720418"/>
      <w:r>
        <w:rPr>
          <w:rFonts w:hint="eastAsia" w:ascii="仿宋" w:hAnsi="仿宋" w:eastAsia="仿宋" w:cs="仿宋"/>
          <w:sz w:val="24"/>
          <w:highlight w:val="none"/>
        </w:rPr>
        <w:t>二、履约保证金</w:t>
      </w:r>
      <w:bookmarkEnd w:id="29"/>
      <w:bookmarkEnd w:id="30"/>
      <w:bookmarkEnd w:id="31"/>
    </w:p>
    <w:p w14:paraId="1282AA33">
      <w:pPr>
        <w:adjustRightInd w:val="0"/>
        <w:snapToGrid w:val="0"/>
        <w:spacing w:line="360" w:lineRule="auto"/>
        <w:ind w:firstLine="480" w:firstLineChars="200"/>
        <w:rPr>
          <w:rFonts w:ascii="仿宋" w:hAnsi="仿宋" w:eastAsia="仿宋" w:cs="仿宋"/>
          <w:sz w:val="24"/>
          <w:highlight w:val="none"/>
        </w:rPr>
      </w:pPr>
      <w:commentRangeStart w:id="2"/>
      <w:r>
        <w:rPr>
          <w:rFonts w:hint="eastAsia" w:ascii="仿宋" w:hAnsi="仿宋" w:eastAsia="仿宋" w:cs="仿宋"/>
          <w:sz w:val="24"/>
          <w:highlight w:val="none"/>
        </w:rPr>
        <w:t>为保证合同的正常履行，确保工程能按期保质完成，避免施工安全事故，达到环保要求，承包方向发包方交纳合同签订金额的5%作为履约及安全保证金，履约保证金在工程正常验收合格后，两周内无息退还给承包人。</w:t>
      </w:r>
      <w:commentRangeEnd w:id="2"/>
      <w:r>
        <w:rPr>
          <w:rStyle w:val="5"/>
          <w:highlight w:val="none"/>
        </w:rPr>
        <w:commentReference w:id="2"/>
      </w:r>
    </w:p>
    <w:p w14:paraId="26AEED2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如遇以下情况之一，发包方有权没收承包方所提交的履约保证金：</w:t>
      </w:r>
    </w:p>
    <w:p w14:paraId="1773D45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（1）未按发包人要求的工期、施工安装要求完成施工任务的；</w:t>
      </w:r>
    </w:p>
    <w:p w14:paraId="6FADBB0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（2）施工过程中出现安全事故的；</w:t>
      </w:r>
    </w:p>
    <w:p w14:paraId="184E8D4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（3）施工过程中出现污染环境的；</w:t>
      </w:r>
    </w:p>
    <w:p w14:paraId="0BBFE85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（4）违反管理部门命令、规定和要求的；</w:t>
      </w:r>
    </w:p>
    <w:p w14:paraId="1AA2723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（5）施工中如果对各类地下天然气、水、电、暖等管、沟和架空缆线等管线，以及绿化等其他设施有损坏，且没维修合格到位的；</w:t>
      </w:r>
    </w:p>
    <w:p w14:paraId="4BBC1F4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（6）未能完全履行合同义务的；</w:t>
      </w:r>
    </w:p>
    <w:p w14:paraId="6656AC2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（7）情况严重的，乙方承担违约责任，甲方有权解除合同，并不退还履约及安全保证金。</w:t>
      </w:r>
    </w:p>
    <w:p w14:paraId="452B5E15">
      <w:pPr>
        <w:adjustRightInd w:val="0"/>
        <w:snapToGrid w:val="0"/>
        <w:spacing w:line="360" w:lineRule="auto"/>
        <w:ind w:firstLine="480" w:firstLineChars="200"/>
        <w:rPr>
          <w:rFonts w:ascii="仿宋" w:hAnsi="仿宋" w:eastAsia="仿宋" w:cs="仿宋"/>
          <w:sz w:val="24"/>
          <w:highlight w:val="none"/>
        </w:rPr>
      </w:pPr>
      <w:bookmarkStart w:id="32" w:name="_Toc423529098"/>
      <w:bookmarkStart w:id="33" w:name="_Toc424720419"/>
      <w:bookmarkStart w:id="34" w:name="_Toc423528762"/>
      <w:r>
        <w:rPr>
          <w:rFonts w:hint="eastAsia" w:ascii="仿宋" w:hAnsi="仿宋" w:eastAsia="仿宋" w:cs="仿宋"/>
          <w:sz w:val="24"/>
          <w:highlight w:val="none"/>
        </w:rPr>
        <w:t>三、双方一般权利和义务</w:t>
      </w:r>
      <w:bookmarkEnd w:id="32"/>
      <w:bookmarkEnd w:id="33"/>
      <w:bookmarkEnd w:id="34"/>
    </w:p>
    <w:p w14:paraId="69DBE6E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1、发包人派出的：</w:t>
      </w:r>
    </w:p>
    <w:p w14:paraId="5C72ACB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现场联络人</w:t>
      </w:r>
    </w:p>
    <w:p w14:paraId="401E591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姓名：                 职务：          </w:t>
      </w:r>
    </w:p>
    <w:p w14:paraId="4EFF6EF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项目负责人</w:t>
      </w:r>
    </w:p>
    <w:p w14:paraId="00F9099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姓名：               职务：            </w:t>
      </w:r>
    </w:p>
    <w:p w14:paraId="1501EF0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职权：负责施工全过程与学校有关部门的协调，处理往来事项，对工程进度、安全、文明施工和造价进行管理。</w:t>
      </w:r>
    </w:p>
    <w:p w14:paraId="6ACF8B9F">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2、发包人的权利和义务</w:t>
      </w:r>
    </w:p>
    <w:p w14:paraId="6453DE5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（1）施工场地具备施工条件的要求及完成的时间：工程开工前3日内。</w:t>
      </w:r>
    </w:p>
    <w:p w14:paraId="5B8B8DC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（2）安排施工所需的水、电源送至施工场地的接入口，保证将水、电源引至施工现场。供水、供电线路由承包人负责安装。</w:t>
      </w:r>
    </w:p>
    <w:p w14:paraId="205BD94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（3）有权随时检查、监督现场施工质量、进度和进场建材质量；有权叫停不符合质量要求的施工，强制承包人返工重做。</w:t>
      </w:r>
    </w:p>
    <w:p w14:paraId="1E4BDD2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（4）有对现场需拆除的认定权。</w:t>
      </w:r>
    </w:p>
    <w:p w14:paraId="4DC3AEB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（5）及时组织好施工现场内物体、设施搬移工作。</w:t>
      </w:r>
    </w:p>
    <w:p w14:paraId="536A933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（6）及时按合同办理支付工程款事项。</w:t>
      </w:r>
    </w:p>
    <w:p w14:paraId="58A7690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3、承包人派驻的：</w:t>
      </w:r>
    </w:p>
    <w:p w14:paraId="789A217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现场联络人</w:t>
      </w:r>
    </w:p>
    <w:p w14:paraId="413D15A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姓名：                 职务：           </w:t>
      </w:r>
    </w:p>
    <w:p w14:paraId="71F7FC9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项目负责人</w:t>
      </w:r>
    </w:p>
    <w:p w14:paraId="1DF2929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姓名：               职务：            </w:t>
      </w:r>
    </w:p>
    <w:p w14:paraId="5C60A1A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职权：负责施工全过程中保证质量、按期完成全部工程量，以及应发包方要求的变更签证工程量，与学校协调关系，处理往来事项，对工程进度、安全、文明施工和造价进行管理、并承担责任。</w:t>
      </w:r>
    </w:p>
    <w:p w14:paraId="586EE6D4">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4．承包人的权利和义务</w:t>
      </w:r>
    </w:p>
    <w:p w14:paraId="2F33799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（1）有权按合同书中的约定获得工程进度施工费。</w:t>
      </w:r>
    </w:p>
    <w:p w14:paraId="680FA2F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（2）接受发包人和各级建设主管部门的监督和管理。</w:t>
      </w:r>
    </w:p>
    <w:p w14:paraId="03848B9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（3）按照合同的规定承担认定范围内的施工及清运任务；现场实际情况有变时，及时与发包人联系、协商，达成一致应积极落实施工，并办理签证。</w:t>
      </w:r>
    </w:p>
    <w:p w14:paraId="70474595">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（4）要按合同约定制定施工方案，确保按合同规定施工。</w:t>
      </w:r>
    </w:p>
    <w:p w14:paraId="572A000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（5）必须将施工材料整齐放置到现场指定位置，不得在现场随意堆放。</w:t>
      </w:r>
    </w:p>
    <w:p w14:paraId="44D8A74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（6）加强易燃物品、水、电、车辆等的管理；在施工中发生的各种事故与学校无关。</w:t>
      </w:r>
    </w:p>
    <w:p w14:paraId="06BE8240">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（7）工程完成后，须及时向有关部门提出工程验收申请，如验收不合格，则必须在限期内整改完毕并达到合同规定的标准。</w:t>
      </w:r>
    </w:p>
    <w:p w14:paraId="54FDCDE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（8）要切实做好安全与文明施工，制定安全生产责任制，责任落实到人，与有关部门签订安全责任书，发生安全问题完全由承包方负责。</w:t>
      </w:r>
    </w:p>
    <w:p w14:paraId="2947B99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（9）乙方应在现场设置项目部，项目部常驻人员名单应在开工前向甲方提交。</w:t>
      </w:r>
    </w:p>
    <w:p w14:paraId="492407F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（10）乙方未经采购人同意，不得擅自更换采购人认定的本工程施工负责人及管理人员。</w:t>
      </w:r>
    </w:p>
    <w:p w14:paraId="212B684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（11）乙方必须自行施工，不得转包，需分包个别子项时，须征得采购人同意。</w:t>
      </w:r>
    </w:p>
    <w:p w14:paraId="02D667C8">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（12）乙方在施工过程中所发生的由自身原因造成的损失和后果自负。</w:t>
      </w:r>
    </w:p>
    <w:p w14:paraId="7EEB4E46">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（13）乙方需提供详实准确的竣工图。</w:t>
      </w:r>
    </w:p>
    <w:p w14:paraId="3B2EBDB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sz w:val="24"/>
          <w:highlight w:val="none"/>
        </w:rPr>
        <w:t>（1</w:t>
      </w:r>
      <w:r>
        <w:rPr>
          <w:rFonts w:ascii="仿宋" w:hAnsi="仿宋" w:eastAsia="仿宋" w:cs="仿宋"/>
          <w:sz w:val="24"/>
          <w:highlight w:val="none"/>
        </w:rPr>
        <w:t>4</w:t>
      </w:r>
      <w:r>
        <w:rPr>
          <w:rFonts w:hint="eastAsia" w:ascii="仿宋" w:hAnsi="仿宋" w:eastAsia="仿宋" w:cs="仿宋"/>
          <w:sz w:val="24"/>
          <w:highlight w:val="none"/>
        </w:rPr>
        <w:t>）</w:t>
      </w:r>
      <w:r>
        <w:rPr>
          <w:rFonts w:hint="eastAsia" w:ascii="仿宋" w:hAnsi="仿宋" w:eastAsia="仿宋" w:cs="仿宋"/>
          <w:bCs/>
          <w:sz w:val="24"/>
          <w:highlight w:val="none"/>
        </w:rPr>
        <w:t>乙方提供给甲方的产品必须是设计科学、技术成熟、工艺精良，是用优质材料制造的、先进的、原厂生产的未曾使用过的、全新的合格产品。</w:t>
      </w:r>
    </w:p>
    <w:p w14:paraId="788E364F">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w:t>
      </w:r>
      <w:r>
        <w:rPr>
          <w:rFonts w:ascii="仿宋" w:hAnsi="仿宋" w:eastAsia="仿宋" w:cs="仿宋"/>
          <w:bCs/>
          <w:sz w:val="24"/>
          <w:highlight w:val="none"/>
        </w:rPr>
        <w:t>5</w:t>
      </w:r>
      <w:r>
        <w:rPr>
          <w:rFonts w:hint="eastAsia" w:ascii="仿宋" w:hAnsi="仿宋" w:eastAsia="仿宋" w:cs="仿宋"/>
          <w:bCs/>
          <w:sz w:val="24"/>
          <w:highlight w:val="none"/>
        </w:rPr>
        <w:t>）有强制性安全标准的产品，乙方应提供该产品的制造许可证证明，在正常使用下不应对他人及环境造成伤害，如因产品质量或标示不明确造成损失的，由乙方完全负责，甲方保留依法索赔的权利。</w:t>
      </w:r>
    </w:p>
    <w:p w14:paraId="7437E2F1">
      <w:pPr>
        <w:adjustRightInd w:val="0"/>
        <w:snapToGrid w:val="0"/>
        <w:spacing w:line="360" w:lineRule="auto"/>
        <w:ind w:firstLine="360" w:firstLineChars="150"/>
        <w:rPr>
          <w:rFonts w:ascii="仿宋" w:hAnsi="仿宋" w:eastAsia="仿宋" w:cs="仿宋"/>
          <w:b/>
          <w:bCs/>
          <w:sz w:val="24"/>
          <w:highlight w:val="none"/>
        </w:rPr>
      </w:pPr>
      <w:r>
        <w:rPr>
          <w:rFonts w:hint="eastAsia" w:ascii="仿宋" w:hAnsi="仿宋" w:eastAsia="仿宋" w:cs="仿宋"/>
          <w:bCs/>
          <w:sz w:val="24"/>
          <w:highlight w:val="none"/>
        </w:rPr>
        <w:t>（1</w:t>
      </w:r>
      <w:r>
        <w:rPr>
          <w:rFonts w:ascii="仿宋" w:hAnsi="仿宋" w:eastAsia="仿宋" w:cs="仿宋"/>
          <w:bCs/>
          <w:sz w:val="24"/>
          <w:highlight w:val="none"/>
        </w:rPr>
        <w:t>6</w:t>
      </w:r>
      <w:r>
        <w:rPr>
          <w:rFonts w:hint="eastAsia" w:ascii="仿宋" w:hAnsi="仿宋" w:eastAsia="仿宋" w:cs="仿宋"/>
          <w:bCs/>
          <w:sz w:val="24"/>
          <w:highlight w:val="none"/>
        </w:rPr>
        <w:t>）设计技术专利、外型专利、应用软件专利等均应符合我国的有关法律及行业标准，凡因以上问题与第三方发生的任何纠纷均与甲方无关。</w:t>
      </w:r>
    </w:p>
    <w:p w14:paraId="1AD5515B">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sz w:val="24"/>
          <w:highlight w:val="none"/>
        </w:rPr>
        <w:t>（1</w:t>
      </w:r>
      <w:r>
        <w:rPr>
          <w:rFonts w:ascii="仿宋" w:hAnsi="仿宋" w:eastAsia="仿宋" w:cs="仿宋"/>
          <w:sz w:val="24"/>
          <w:highlight w:val="none"/>
        </w:rPr>
        <w:t>7</w:t>
      </w:r>
      <w:r>
        <w:rPr>
          <w:rFonts w:hint="eastAsia" w:ascii="仿宋" w:hAnsi="仿宋" w:eastAsia="仿宋" w:cs="仿宋"/>
          <w:sz w:val="24"/>
          <w:highlight w:val="none"/>
        </w:rPr>
        <w:t>）</w:t>
      </w:r>
      <w:r>
        <w:rPr>
          <w:rFonts w:hint="eastAsia" w:ascii="仿宋" w:hAnsi="仿宋" w:eastAsia="仿宋" w:cs="仿宋"/>
          <w:bCs/>
          <w:sz w:val="24"/>
          <w:highlight w:val="none"/>
        </w:rPr>
        <w:t>设备包装形式及运输方式由乙方自行选择，所发生的一切费用由乙方承担，但设备包装必须符合国际标准或行业标准，满足航空、铁路或公路运输以及货物装卸要求，保证甲方收到的是无任何损伤的货物。否则，因此造成的损失由乙方自行承担。</w:t>
      </w:r>
    </w:p>
    <w:p w14:paraId="5AD3C483">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w:t>
      </w:r>
      <w:r>
        <w:rPr>
          <w:rFonts w:ascii="仿宋" w:hAnsi="仿宋" w:eastAsia="仿宋" w:cs="仿宋"/>
          <w:bCs/>
          <w:sz w:val="24"/>
          <w:highlight w:val="none"/>
        </w:rPr>
        <w:t>8</w:t>
      </w:r>
      <w:r>
        <w:rPr>
          <w:rFonts w:hint="eastAsia" w:ascii="仿宋" w:hAnsi="仿宋" w:eastAsia="仿宋" w:cs="仿宋"/>
          <w:bCs/>
          <w:sz w:val="24"/>
          <w:highlight w:val="none"/>
        </w:rPr>
        <w:t>）甲方对乙方所交设备依照国家有关技术标准和双方确认的技术标准进行现场验收。验收依据为：（1）本合同和相关技术合同（2）国家有关的标准或产品说明书。在交割以前仪器设备所发生的一切损失及费用由乙方承担。性能达到技术要求的，验收通过；验收不合格的，限期整改；整改仍达不到要求的，甲方有权终止合同，乙方须无条件全额退回甲方已付给乙方的货款，并向甲方支付合同总价款百分之五的违约金。</w:t>
      </w:r>
    </w:p>
    <w:p w14:paraId="3FFBA042">
      <w:pPr>
        <w:adjustRightInd w:val="0"/>
        <w:snapToGrid w:val="0"/>
        <w:spacing w:line="360" w:lineRule="auto"/>
        <w:ind w:firstLine="240" w:firstLineChars="100"/>
        <w:rPr>
          <w:rFonts w:ascii="仿宋" w:hAnsi="仿宋" w:eastAsia="仿宋" w:cs="仿宋"/>
          <w:bCs/>
          <w:sz w:val="24"/>
          <w:highlight w:val="none"/>
        </w:rPr>
      </w:pPr>
      <w:r>
        <w:rPr>
          <w:rFonts w:hint="eastAsia" w:ascii="仿宋" w:hAnsi="仿宋" w:eastAsia="仿宋" w:cs="仿宋"/>
          <w:bCs/>
          <w:sz w:val="24"/>
          <w:highlight w:val="none"/>
        </w:rPr>
        <w:t>（1</w:t>
      </w:r>
      <w:r>
        <w:rPr>
          <w:rFonts w:ascii="仿宋" w:hAnsi="仿宋" w:eastAsia="仿宋" w:cs="仿宋"/>
          <w:bCs/>
          <w:sz w:val="24"/>
          <w:highlight w:val="none"/>
        </w:rPr>
        <w:t>9</w:t>
      </w:r>
      <w:r>
        <w:rPr>
          <w:rFonts w:hint="eastAsia" w:ascii="仿宋" w:hAnsi="仿宋" w:eastAsia="仿宋" w:cs="仿宋"/>
          <w:bCs/>
          <w:sz w:val="24"/>
          <w:highlight w:val="none"/>
        </w:rPr>
        <w:t>）如因货物的质量问题发生争议，由甲方属地技术质量监督部门进行质量鉴定；货物符合质量标准的，鉴定费由甲方承担；货物不符合质量标准的，鉴定费由乙方承担。</w:t>
      </w:r>
    </w:p>
    <w:p w14:paraId="0961F60E">
      <w:pPr>
        <w:adjustRightInd w:val="0"/>
        <w:snapToGrid w:val="0"/>
        <w:spacing w:line="360" w:lineRule="auto"/>
        <w:ind w:firstLine="240" w:firstLineChars="100"/>
        <w:rPr>
          <w:rFonts w:ascii="仿宋" w:hAnsi="仿宋" w:eastAsia="仿宋" w:cs="仿宋"/>
          <w:bCs/>
          <w:sz w:val="24"/>
          <w:highlight w:val="none"/>
        </w:rPr>
      </w:pPr>
      <w:commentRangeStart w:id="3"/>
      <w:r>
        <w:rPr>
          <w:rFonts w:hint="eastAsia" w:ascii="仿宋" w:hAnsi="仿宋" w:eastAsia="仿宋" w:cs="仿宋"/>
          <w:bCs/>
          <w:sz w:val="24"/>
          <w:highlight w:val="none"/>
        </w:rPr>
        <w:t>（2</w:t>
      </w:r>
      <w:r>
        <w:rPr>
          <w:rFonts w:ascii="仿宋" w:hAnsi="仿宋" w:eastAsia="仿宋" w:cs="仿宋"/>
          <w:bCs/>
          <w:sz w:val="24"/>
          <w:highlight w:val="none"/>
        </w:rPr>
        <w:t>0</w:t>
      </w:r>
      <w:r>
        <w:rPr>
          <w:rFonts w:hint="eastAsia" w:ascii="仿宋" w:hAnsi="仿宋" w:eastAsia="仿宋" w:cs="仿宋"/>
          <w:bCs/>
          <w:sz w:val="24"/>
          <w:highlight w:val="none"/>
        </w:rPr>
        <w:t>）乙方提供的设备质保期限为</w:t>
      </w:r>
      <w:r>
        <w:rPr>
          <w:rFonts w:hint="eastAsia" w:ascii="仿宋" w:hAnsi="仿宋" w:eastAsia="仿宋" w:cs="仿宋"/>
          <w:b/>
          <w:bCs/>
          <w:sz w:val="24"/>
          <w:highlight w:val="none"/>
        </w:rPr>
        <w:t>2</w:t>
      </w:r>
      <w:r>
        <w:rPr>
          <w:rFonts w:ascii="仿宋" w:hAnsi="仿宋" w:eastAsia="仿宋" w:cs="仿宋"/>
          <w:b/>
          <w:bCs/>
          <w:sz w:val="24"/>
          <w:highlight w:val="none"/>
        </w:rPr>
        <w:t>4</w:t>
      </w:r>
      <w:r>
        <w:rPr>
          <w:rFonts w:hint="eastAsia" w:ascii="仿宋" w:hAnsi="仿宋" w:eastAsia="仿宋" w:cs="仿宋"/>
          <w:b/>
          <w:bCs/>
          <w:sz w:val="24"/>
          <w:highlight w:val="none"/>
        </w:rPr>
        <w:t>个月</w:t>
      </w:r>
      <w:r>
        <w:rPr>
          <w:rFonts w:hint="eastAsia" w:ascii="仿宋" w:hAnsi="仿宋" w:eastAsia="仿宋" w:cs="仿宋"/>
          <w:bCs/>
          <w:sz w:val="24"/>
          <w:highlight w:val="none"/>
        </w:rPr>
        <w:t>（从安装完成经甲方验收合格之日算起）。在质保期内，乙方免费实行保修、包换、包退服务，定期对所供货物做全面的检查和保养，质保期内乙方接到甲方反映电话后，2小时内响应，</w:t>
      </w:r>
      <w:r>
        <w:rPr>
          <w:rFonts w:hint="eastAsia" w:ascii="仿宋" w:hAnsi="仿宋" w:eastAsia="仿宋" w:cs="仿宋"/>
          <w:b/>
          <w:bCs/>
          <w:sz w:val="24"/>
          <w:highlight w:val="none"/>
        </w:rPr>
        <w:t>4</w:t>
      </w:r>
      <w:r>
        <w:rPr>
          <w:rFonts w:hint="eastAsia" w:ascii="仿宋" w:hAnsi="仿宋" w:eastAsia="仿宋" w:cs="仿宋"/>
          <w:bCs/>
          <w:sz w:val="24"/>
          <w:highlight w:val="none"/>
        </w:rPr>
        <w:t>小时内派技术人员到现场，</w:t>
      </w:r>
      <w:r>
        <w:rPr>
          <w:rFonts w:hint="eastAsia" w:ascii="仿宋" w:hAnsi="仿宋" w:eastAsia="仿宋" w:cs="仿宋"/>
          <w:b/>
          <w:bCs/>
          <w:sz w:val="24"/>
          <w:highlight w:val="none"/>
        </w:rPr>
        <w:t>8</w:t>
      </w:r>
      <w:r>
        <w:rPr>
          <w:rFonts w:hint="eastAsia" w:ascii="仿宋" w:hAnsi="仿宋" w:eastAsia="仿宋" w:cs="仿宋"/>
          <w:bCs/>
          <w:sz w:val="24"/>
          <w:highlight w:val="none"/>
        </w:rPr>
        <w:t>小时解决问题，如出现超过</w:t>
      </w:r>
      <w:r>
        <w:rPr>
          <w:rFonts w:hint="eastAsia" w:ascii="仿宋" w:hAnsi="仿宋" w:eastAsia="仿宋" w:cs="仿宋"/>
          <w:b/>
          <w:bCs/>
          <w:sz w:val="24"/>
          <w:highlight w:val="none"/>
        </w:rPr>
        <w:t>1</w:t>
      </w:r>
      <w:r>
        <w:rPr>
          <w:rFonts w:ascii="仿宋" w:hAnsi="仿宋" w:eastAsia="仿宋" w:cs="仿宋"/>
          <w:b/>
          <w:bCs/>
          <w:sz w:val="24"/>
          <w:highlight w:val="none"/>
        </w:rPr>
        <w:t>2</w:t>
      </w:r>
      <w:r>
        <w:rPr>
          <w:rFonts w:hint="eastAsia" w:ascii="仿宋" w:hAnsi="仿宋" w:eastAsia="仿宋" w:cs="仿宋"/>
          <w:bCs/>
          <w:sz w:val="24"/>
          <w:highlight w:val="none"/>
        </w:rPr>
        <w:t>小时未维修好，乙方应应提供同型号或同档次新产品替代或使用单位有权指定第三方维修，维修费用由供货方承担，以保证甲方的正常使用。</w:t>
      </w:r>
      <w:r>
        <w:rPr>
          <w:rFonts w:hint="eastAsia" w:ascii="仿宋" w:hAnsi="仿宋" w:eastAsia="仿宋" w:cs="仿宋"/>
          <w:bCs/>
          <w:color w:val="FF0000"/>
          <w:sz w:val="24"/>
          <w:highlight w:val="none"/>
        </w:rPr>
        <w:t>质保期外，乙方只收取材料费。</w:t>
      </w:r>
      <w:commentRangeEnd w:id="3"/>
      <w:r>
        <w:rPr>
          <w:rStyle w:val="5"/>
          <w:highlight w:val="none"/>
        </w:rPr>
        <w:commentReference w:id="3"/>
      </w:r>
    </w:p>
    <w:p w14:paraId="1D4B3830">
      <w:pPr>
        <w:adjustRightInd w:val="0"/>
        <w:snapToGrid w:val="0"/>
        <w:spacing w:line="360" w:lineRule="auto"/>
        <w:ind w:firstLine="240" w:firstLineChars="100"/>
        <w:rPr>
          <w:rFonts w:ascii="仿宋" w:hAnsi="仿宋" w:eastAsia="仿宋" w:cs="仿宋"/>
          <w:bCs/>
          <w:sz w:val="24"/>
          <w:highlight w:val="none"/>
        </w:rPr>
      </w:pPr>
      <w:r>
        <w:rPr>
          <w:rFonts w:hint="eastAsia" w:ascii="仿宋" w:hAnsi="仿宋" w:eastAsia="仿宋" w:cs="仿宋"/>
          <w:bCs/>
          <w:sz w:val="24"/>
          <w:highlight w:val="none"/>
        </w:rPr>
        <w:t>（2</w:t>
      </w:r>
      <w:r>
        <w:rPr>
          <w:rFonts w:ascii="仿宋" w:hAnsi="仿宋" w:eastAsia="仿宋" w:cs="仿宋"/>
          <w:bCs/>
          <w:sz w:val="24"/>
          <w:highlight w:val="none"/>
        </w:rPr>
        <w:t>1</w:t>
      </w:r>
      <w:r>
        <w:rPr>
          <w:rFonts w:hint="eastAsia" w:ascii="仿宋" w:hAnsi="仿宋" w:eastAsia="仿宋" w:cs="仿宋"/>
          <w:bCs/>
          <w:sz w:val="24"/>
          <w:highlight w:val="none"/>
        </w:rPr>
        <w:t>）安装调试后，乙方免费为甲方提供现场操作培训，通过培训使用户人员了解设备工作原理，熟悉设备的安装及使用、维护方法，掌握各种设备的初始化及故障诊断、定位和排除技能。</w:t>
      </w:r>
    </w:p>
    <w:p w14:paraId="4063FB1B">
      <w:pPr>
        <w:adjustRightInd w:val="0"/>
        <w:snapToGrid w:val="0"/>
        <w:spacing w:line="360" w:lineRule="auto"/>
        <w:ind w:firstLine="480" w:firstLineChars="200"/>
        <w:rPr>
          <w:rFonts w:ascii="仿宋" w:hAnsi="仿宋" w:eastAsia="仿宋" w:cs="仿宋"/>
          <w:sz w:val="24"/>
          <w:highlight w:val="none"/>
        </w:rPr>
      </w:pPr>
      <w:bookmarkStart w:id="35" w:name="_Toc423528763"/>
      <w:bookmarkStart w:id="36" w:name="_Toc423529099"/>
      <w:bookmarkStart w:id="37" w:name="_Toc424720420"/>
      <w:r>
        <w:rPr>
          <w:rFonts w:hint="eastAsia" w:ascii="仿宋" w:hAnsi="仿宋" w:eastAsia="仿宋" w:cs="仿宋"/>
          <w:sz w:val="24"/>
          <w:highlight w:val="none"/>
        </w:rPr>
        <w:t>四、施工组织设计和工期</w:t>
      </w:r>
      <w:bookmarkEnd w:id="35"/>
      <w:bookmarkEnd w:id="36"/>
      <w:bookmarkEnd w:id="37"/>
    </w:p>
    <w:p w14:paraId="1A8AA6D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1、进度计划</w:t>
      </w:r>
    </w:p>
    <w:p w14:paraId="07AD67A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承包人提供施工组织设计（施工方案）和进度计划的时间：  投标时提交的施工组织设计如需修改时，在开工日期3日前内。  </w:t>
      </w:r>
    </w:p>
    <w:p w14:paraId="2047A29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2、工程师确认的时间：  收到承包人报告后当日内。   </w:t>
      </w:r>
    </w:p>
    <w:p w14:paraId="1FB111BF">
      <w:pPr>
        <w:adjustRightInd w:val="0"/>
        <w:snapToGrid w:val="0"/>
        <w:spacing w:line="360" w:lineRule="auto"/>
        <w:ind w:firstLine="480" w:firstLineChars="200"/>
        <w:rPr>
          <w:rFonts w:ascii="仿宋" w:hAnsi="仿宋" w:eastAsia="仿宋" w:cs="仿宋"/>
          <w:sz w:val="24"/>
          <w:highlight w:val="none"/>
        </w:rPr>
      </w:pPr>
      <w:bookmarkStart w:id="38" w:name="_Toc423529100"/>
      <w:bookmarkStart w:id="39" w:name="_Toc423528764"/>
      <w:bookmarkStart w:id="40" w:name="_Toc424720421"/>
      <w:r>
        <w:rPr>
          <w:rFonts w:hint="eastAsia" w:ascii="仿宋" w:hAnsi="仿宋" w:eastAsia="仿宋" w:cs="仿宋"/>
          <w:sz w:val="24"/>
          <w:highlight w:val="none"/>
        </w:rPr>
        <w:t>五、合同价款</w:t>
      </w:r>
      <w:bookmarkEnd w:id="38"/>
      <w:bookmarkEnd w:id="39"/>
      <w:bookmarkEnd w:id="40"/>
    </w:p>
    <w:p w14:paraId="2D92637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1.合同价款约定为：  　　　　　　　　。</w:t>
      </w:r>
    </w:p>
    <w:p w14:paraId="27BF804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2.本合同价款采用综合单价计价。</w:t>
      </w:r>
    </w:p>
    <w:p w14:paraId="3937E4D7">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3.工程预付款：本工程无预付款。</w:t>
      </w:r>
    </w:p>
    <w:p w14:paraId="085E2D82">
      <w:pPr>
        <w:adjustRightInd w:val="0"/>
        <w:snapToGrid w:val="0"/>
        <w:spacing w:line="360" w:lineRule="auto"/>
        <w:ind w:firstLine="480" w:firstLineChars="200"/>
        <w:rPr>
          <w:rFonts w:ascii="仿宋" w:hAnsi="仿宋" w:eastAsia="仿宋" w:cs="仿宋"/>
          <w:sz w:val="24"/>
          <w:highlight w:val="none"/>
        </w:rPr>
      </w:pPr>
      <w:bookmarkStart w:id="41" w:name="_Toc423529101"/>
      <w:bookmarkStart w:id="42" w:name="_Toc423528765"/>
      <w:bookmarkStart w:id="43" w:name="_Toc424720422"/>
      <w:r>
        <w:rPr>
          <w:rFonts w:hint="eastAsia" w:ascii="仿宋" w:hAnsi="仿宋" w:eastAsia="仿宋" w:cs="仿宋"/>
          <w:sz w:val="24"/>
          <w:highlight w:val="none"/>
        </w:rPr>
        <w:t>六、竣工验收与结算</w:t>
      </w:r>
      <w:bookmarkEnd w:id="41"/>
      <w:bookmarkEnd w:id="42"/>
      <w:bookmarkEnd w:id="43"/>
    </w:p>
    <w:p w14:paraId="2F73B95F">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1.竣工验收</w:t>
      </w:r>
    </w:p>
    <w:p w14:paraId="71FC38AF">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全部工程完工，承包人将施工垃圾、障碍物全部平整清除后，经发包方组织相关人员验收合格后，该项目方可交工验收。</w:t>
      </w:r>
    </w:p>
    <w:p w14:paraId="041BF9E9">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2.结算</w:t>
      </w:r>
    </w:p>
    <w:p w14:paraId="43F9C867">
      <w:pPr>
        <w:adjustRightInd w:val="0"/>
        <w:snapToGrid w:val="0"/>
        <w:spacing w:line="360" w:lineRule="auto"/>
        <w:ind w:firstLine="480" w:firstLineChars="200"/>
        <w:rPr>
          <w:rFonts w:ascii="仿宋" w:hAnsi="Times New Roman" w:eastAsia="仿宋"/>
          <w:kern w:val="0"/>
          <w:sz w:val="24"/>
          <w:highlight w:val="none"/>
        </w:rPr>
      </w:pPr>
      <w:bookmarkStart w:id="44" w:name="_Toc424720423"/>
      <w:bookmarkStart w:id="45" w:name="_Toc423529102"/>
      <w:bookmarkStart w:id="46" w:name="_Toc423528766"/>
      <w:r>
        <w:rPr>
          <w:rFonts w:hint="eastAsia" w:ascii="仿宋" w:hAnsi="Times New Roman" w:eastAsia="仿宋"/>
          <w:kern w:val="0"/>
          <w:sz w:val="24"/>
          <w:highlight w:val="none"/>
        </w:rPr>
        <w:t>此工程无预付款，工程施工完毕，经甲方验收合格后，10日内支付合同总价款的80%；经工程审计结算审核后10日内，扣除核定总造价1%的水电费，余款10日内一次结清（不计利息）。办理付款时，乙方应提供增值税专用发票。</w:t>
      </w:r>
    </w:p>
    <w:p w14:paraId="4ACBE0ED">
      <w:pPr>
        <w:adjustRightInd w:val="0"/>
        <w:snapToGrid w:val="0"/>
        <w:spacing w:line="360" w:lineRule="auto"/>
        <w:ind w:firstLine="480" w:firstLineChars="200"/>
        <w:rPr>
          <w:rFonts w:ascii="仿宋" w:hAnsi="Times New Roman" w:eastAsia="仿宋"/>
          <w:kern w:val="0"/>
          <w:sz w:val="24"/>
          <w:highlight w:val="none"/>
        </w:rPr>
      </w:pPr>
      <w:r>
        <w:rPr>
          <w:rFonts w:hint="eastAsia" w:ascii="仿宋" w:hAnsi="Times New Roman" w:eastAsia="仿宋"/>
          <w:kern w:val="0"/>
          <w:sz w:val="24"/>
          <w:highlight w:val="none"/>
        </w:rPr>
        <w:t>承包人应按要求向发包人递交竣工结算报告及完整的结算资料，并对递交的报告及资料的完整性负全责。若出现漏报，损失由承包人承担。工程竣工验收合格，发包人在收到竣工结算报告及完整的结算资料后，按相关要求对承包人提供的竣工结算资料进行审计。发包人委托有资质的造价咨询机构进行审计，基本审计费由发包人承担，审减额在5%以内（含5%），发生的审核成果费由发包人承担；审减额5%以上的审核成果费由承包人承担。</w:t>
      </w:r>
    </w:p>
    <w:p w14:paraId="46F37F8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七、违约和争议</w:t>
      </w:r>
      <w:bookmarkEnd w:id="44"/>
      <w:bookmarkEnd w:id="45"/>
      <w:bookmarkEnd w:id="46"/>
    </w:p>
    <w:p w14:paraId="0EB344D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1.违约</w:t>
      </w:r>
    </w:p>
    <w:p w14:paraId="1A7FBC5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（1）因承包人原因拖延工期，每拖后一天按1000元/天处罚，累计拖延3天，合同自动解除，施工队伍自行离场，由此引起的一切后果，由承包人承担。</w:t>
      </w:r>
    </w:p>
    <w:p w14:paraId="01A544AF">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（2）本合同规定工程项目负责人在工地不得少于2个日历日，施工期间，安全员不得离开现场。</w:t>
      </w:r>
    </w:p>
    <w:p w14:paraId="2EF17AD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（3）本合同规定，施工期间施工方应规范用电，如施工现场出现漏电或短路跳闸，造成停电、影响发包人用电的，每次罚款1000元。</w:t>
      </w:r>
    </w:p>
    <w:p w14:paraId="73F5182B">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（4）本合同规定承包人因外部原因停工超过36小时，未向发包人以书面形式提出要求顺延工期报告的，发包人不考虑顺延工期。</w:t>
      </w:r>
    </w:p>
    <w:p w14:paraId="612BA19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（5）本合同规定本工程应在完工验收之前，承包人应及时清理施工现场周围建筑材料和垃圾，场地整洁，否则发包人不予支付工程款。</w:t>
      </w:r>
    </w:p>
    <w:p w14:paraId="69CD943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（6）本合同规定承包人应当确保农民工工资的按时、足额发放，否则由此引起的一切后果由承包人负责。</w:t>
      </w:r>
    </w:p>
    <w:p w14:paraId="59A7CC28">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2、争议</w:t>
      </w:r>
    </w:p>
    <w:p w14:paraId="2C83795F">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双方当事人约定，在履行合同过程中产生争议时，双方协商解决；协商未果的，按下列第（1）种方式解决：</w:t>
      </w:r>
    </w:p>
    <w:p w14:paraId="75FD10B4">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（1）提交       西安市      仲裁委员会申请仲裁；</w:t>
      </w:r>
    </w:p>
    <w:p w14:paraId="7384B06C">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（2）依法向            当地           人民法院提起诉讼。</w:t>
      </w:r>
    </w:p>
    <w:p w14:paraId="04EB2E58">
      <w:pPr>
        <w:adjustRightInd w:val="0"/>
        <w:snapToGrid w:val="0"/>
        <w:spacing w:line="360" w:lineRule="auto"/>
        <w:ind w:firstLine="480" w:firstLineChars="200"/>
        <w:rPr>
          <w:rFonts w:ascii="仿宋" w:hAnsi="仿宋" w:eastAsia="仿宋" w:cs="仿宋"/>
          <w:sz w:val="24"/>
          <w:highlight w:val="none"/>
        </w:rPr>
      </w:pPr>
      <w:bookmarkStart w:id="47" w:name="_Toc423528767"/>
      <w:bookmarkStart w:id="48" w:name="_Toc423529103"/>
      <w:bookmarkStart w:id="49" w:name="_Toc424720424"/>
      <w:r>
        <w:rPr>
          <w:rFonts w:hint="eastAsia" w:ascii="仿宋" w:hAnsi="仿宋" w:eastAsia="仿宋" w:cs="仿宋"/>
          <w:sz w:val="24"/>
          <w:highlight w:val="none"/>
        </w:rPr>
        <w:t>八、双方约定合同份数</w:t>
      </w:r>
      <w:bookmarkEnd w:id="47"/>
      <w:bookmarkEnd w:id="48"/>
      <w:bookmarkEnd w:id="49"/>
    </w:p>
    <w:p w14:paraId="65D8302A">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   本合同一式八份，发包人持六份，承包人持两份。   </w:t>
      </w:r>
    </w:p>
    <w:p w14:paraId="7CF8292C">
      <w:pPr>
        <w:adjustRightInd w:val="0"/>
        <w:snapToGrid w:val="0"/>
        <w:spacing w:line="360" w:lineRule="auto"/>
        <w:ind w:firstLine="480" w:firstLineChars="200"/>
        <w:rPr>
          <w:rFonts w:ascii="仿宋" w:hAnsi="仿宋" w:eastAsia="仿宋" w:cs="仿宋"/>
          <w:sz w:val="24"/>
          <w:highlight w:val="none"/>
        </w:rPr>
      </w:pPr>
    </w:p>
    <w:p w14:paraId="589DCDC2">
      <w:pPr>
        <w:adjustRightInd w:val="0"/>
        <w:snapToGrid w:val="0"/>
        <w:spacing w:line="360" w:lineRule="auto"/>
        <w:ind w:firstLine="480" w:firstLineChars="200"/>
        <w:rPr>
          <w:rFonts w:ascii="仿宋" w:hAnsi="仿宋" w:eastAsia="仿宋" w:cs="仿宋"/>
          <w:sz w:val="24"/>
          <w:highlight w:val="none"/>
        </w:rPr>
      </w:pPr>
    </w:p>
    <w:p w14:paraId="42E405A5">
      <w:pPr>
        <w:adjustRightInd w:val="0"/>
        <w:snapToGrid w:val="0"/>
        <w:spacing w:line="360" w:lineRule="auto"/>
        <w:ind w:firstLine="480" w:firstLineChars="200"/>
        <w:rPr>
          <w:rFonts w:ascii="仿宋" w:hAnsi="仿宋" w:eastAsia="仿宋" w:cs="仿宋"/>
          <w:sz w:val="24"/>
          <w:highlight w:val="none"/>
        </w:rPr>
      </w:pPr>
    </w:p>
    <w:p w14:paraId="5F1A3EF8">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发包人：（公章）西安石油大学     承包人：（公章）            </w:t>
      </w:r>
    </w:p>
    <w:p w14:paraId="2F016EA3">
      <w:pPr>
        <w:adjustRightInd w:val="0"/>
        <w:snapToGrid w:val="0"/>
        <w:spacing w:line="360" w:lineRule="auto"/>
        <w:ind w:firstLine="480" w:firstLineChars="200"/>
        <w:rPr>
          <w:rFonts w:ascii="仿宋" w:hAnsi="仿宋" w:eastAsia="仿宋" w:cs="仿宋"/>
          <w:sz w:val="24"/>
          <w:highlight w:val="none"/>
        </w:rPr>
      </w:pPr>
    </w:p>
    <w:p w14:paraId="3FADF81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地址：　　　　　　　　　　　　    地址：                     </w:t>
      </w:r>
    </w:p>
    <w:p w14:paraId="20EFD566">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邮政编码：  　　　　              邮政编码：               </w:t>
      </w:r>
    </w:p>
    <w:p w14:paraId="50CADB76">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法定代表人：                     法定代表人：              </w:t>
      </w:r>
    </w:p>
    <w:p w14:paraId="08AF645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委托代理人：                     委托代理人：                </w:t>
      </w:r>
    </w:p>
    <w:p w14:paraId="50515CD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电话：                           电话：                    </w:t>
      </w:r>
    </w:p>
    <w:p w14:paraId="779F75C1">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传真：                           传真：                  </w:t>
      </w:r>
    </w:p>
    <w:p w14:paraId="75117658">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开户银行：　　　　　　　　　     开户银行：               </w:t>
      </w:r>
    </w:p>
    <w:p w14:paraId="3C45D013">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帐号： 　　　　　　　　　　       帐号：                    </w:t>
      </w:r>
    </w:p>
    <w:p w14:paraId="66D8DDA8">
      <w:pPr>
        <w:adjustRightInd w:val="0"/>
        <w:snapToGrid w:val="0"/>
        <w:spacing w:line="360" w:lineRule="auto"/>
        <w:ind w:firstLine="480" w:firstLineChars="200"/>
        <w:rPr>
          <w:rFonts w:ascii="仿宋" w:hAnsi="仿宋" w:eastAsia="仿宋" w:cs="仿宋"/>
          <w:sz w:val="24"/>
          <w:highlight w:val="none"/>
        </w:rPr>
      </w:pPr>
    </w:p>
    <w:p w14:paraId="4D37A802">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合同签订时间：      年     月     日</w:t>
      </w:r>
    </w:p>
    <w:p w14:paraId="260E1195">
      <w:pPr>
        <w:adjustRightInd w:val="0"/>
        <w:snapToGrid w:val="0"/>
        <w:spacing w:line="360" w:lineRule="auto"/>
        <w:ind w:firstLine="480" w:firstLineChars="200"/>
        <w:rPr>
          <w:rFonts w:ascii="仿宋" w:hAnsi="仿宋" w:eastAsia="仿宋" w:cs="仿宋"/>
          <w:sz w:val="24"/>
          <w:highlight w:val="none"/>
        </w:rPr>
      </w:pPr>
    </w:p>
    <w:p w14:paraId="76E7D851">
      <w:pPr>
        <w:pStyle w:val="6"/>
        <w:rPr>
          <w:rFonts w:hint="default"/>
          <w:highlight w:val="none"/>
        </w:rPr>
      </w:pPr>
    </w:p>
    <w:p w14:paraId="722D7F4E">
      <w:pPr>
        <w:pStyle w:val="6"/>
        <w:rPr>
          <w:rFonts w:hint="default"/>
          <w:highlight w:val="none"/>
        </w:rPr>
      </w:pPr>
    </w:p>
    <w:p w14:paraId="1B0DA407"/>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马宁馨" w:date="2025-11-29T20:58:00Z" w:initials="">
    <w:p w14:paraId="3F4276FC">
      <w:pPr>
        <w:pStyle w:val="2"/>
      </w:pPr>
      <w:r>
        <w:rPr>
          <w:rFonts w:hint="eastAsia"/>
        </w:rPr>
        <w:t>不建议这样描述，建议删除</w:t>
      </w:r>
    </w:p>
  </w:comment>
  <w:comment w:id="1" w:author="Administrator" w:date="2025-11-30T11:28:00Z" w:initials="A">
    <w:p w14:paraId="376EBDC9">
      <w:pPr>
        <w:pStyle w:val="2"/>
        <w:rPr>
          <w:rFonts w:hint="eastAsia"/>
        </w:rPr>
      </w:pPr>
      <w:r>
        <w:rPr>
          <w:rFonts w:hint="eastAsia"/>
        </w:rPr>
        <w:t>建议保留，如不然可能会招到国产品牌。比如：现雁塔校区行政楼电梯广日电梯。</w:t>
      </w:r>
    </w:p>
  </w:comment>
  <w:comment w:id="2" w:author="Administrator" w:date="2025-11-30T11:49:00Z" w:initials="A">
    <w:p w14:paraId="1978DCB3">
      <w:pPr>
        <w:pStyle w:val="2"/>
      </w:pPr>
      <w:r>
        <w:rPr>
          <w:rFonts w:hint="eastAsia"/>
        </w:rPr>
        <w:t>修改为：</w:t>
      </w:r>
      <w:r>
        <w:rPr>
          <w:rFonts w:hint="eastAsia" w:ascii="仿宋" w:hAnsi="仿宋" w:eastAsia="仿宋" w:cs="仿宋"/>
          <w:sz w:val="24"/>
        </w:rPr>
        <w:t>为保证合同的正常履行，确保工程能按期保质完成，避免施工安全事故，达到环保要求，承包方向发包方交纳合同价的5</w:t>
      </w:r>
      <w:r>
        <w:rPr>
          <w:rFonts w:ascii="仿宋" w:hAnsi="仿宋" w:eastAsia="仿宋" w:cs="仿宋"/>
          <w:sz w:val="24"/>
        </w:rPr>
        <w:t>%</w:t>
      </w:r>
      <w:r>
        <w:rPr>
          <w:rFonts w:hint="eastAsia" w:ascii="仿宋" w:hAnsi="仿宋" w:eastAsia="仿宋" w:cs="仿宋"/>
          <w:sz w:val="24"/>
        </w:rPr>
        <w:t>作为履约保证金，履约保证金在工程正常验收合格后，两周内无息退还给承包人。</w:t>
      </w:r>
    </w:p>
  </w:comment>
  <w:comment w:id="3" w:author="Administrator" w:date="2025-11-30T11:51:00Z" w:initials="A">
    <w:p w14:paraId="3643D1AC">
      <w:pPr>
        <w:pStyle w:val="2"/>
        <w:rPr>
          <w:rFonts w:hint="eastAsia"/>
        </w:rPr>
      </w:pPr>
      <w:r>
        <w:rPr>
          <w:rFonts w:hint="eastAsia"/>
        </w:rPr>
        <w:t>修改为：</w:t>
      </w:r>
      <w:r>
        <w:rPr>
          <w:rFonts w:hint="eastAsia" w:ascii="仿宋" w:hAnsi="仿宋" w:eastAsia="仿宋" w:cs="仿宋"/>
          <w:bCs/>
          <w:sz w:val="24"/>
        </w:rPr>
        <w:t>乙方提供的设备质保期限为</w:t>
      </w:r>
      <w:r>
        <w:rPr>
          <w:rFonts w:hint="eastAsia" w:ascii="仿宋" w:hAnsi="仿宋" w:eastAsia="仿宋" w:cs="仿宋"/>
          <w:b/>
          <w:bCs/>
          <w:sz w:val="24"/>
        </w:rPr>
        <w:t>2</w:t>
      </w:r>
      <w:r>
        <w:rPr>
          <w:rFonts w:ascii="仿宋" w:hAnsi="仿宋" w:eastAsia="仿宋" w:cs="仿宋"/>
          <w:b/>
          <w:bCs/>
          <w:sz w:val="24"/>
        </w:rPr>
        <w:t>4</w:t>
      </w:r>
      <w:r>
        <w:rPr>
          <w:rFonts w:hint="eastAsia" w:ascii="仿宋" w:hAnsi="仿宋" w:eastAsia="仿宋" w:cs="仿宋"/>
          <w:b/>
          <w:bCs/>
          <w:sz w:val="24"/>
        </w:rPr>
        <w:t>个月</w:t>
      </w:r>
      <w:r>
        <w:rPr>
          <w:rFonts w:hint="eastAsia" w:ascii="仿宋" w:hAnsi="仿宋" w:eastAsia="仿宋" w:cs="仿宋"/>
          <w:bCs/>
          <w:sz w:val="24"/>
        </w:rPr>
        <w:t>（从安装完成经甲方验收合格之日算起）。在质保期内，乙方免费实行保修、包换、包退服务，定期对所供货物做全面的检查和保养，质保期内乙方接到甲方反映电话后，2小时内响应，</w:t>
      </w:r>
      <w:r>
        <w:rPr>
          <w:rFonts w:hint="eastAsia" w:ascii="仿宋" w:hAnsi="仿宋" w:eastAsia="仿宋" w:cs="仿宋"/>
          <w:b/>
          <w:bCs/>
          <w:sz w:val="24"/>
        </w:rPr>
        <w:t>4</w:t>
      </w:r>
      <w:r>
        <w:rPr>
          <w:rFonts w:hint="eastAsia" w:ascii="仿宋" w:hAnsi="仿宋" w:eastAsia="仿宋" w:cs="仿宋"/>
          <w:bCs/>
          <w:sz w:val="24"/>
        </w:rPr>
        <w:t>小时内派技术人员到现场，</w:t>
      </w:r>
      <w:r>
        <w:rPr>
          <w:rFonts w:hint="eastAsia" w:ascii="仿宋" w:hAnsi="仿宋" w:eastAsia="仿宋" w:cs="仿宋"/>
          <w:b/>
          <w:bCs/>
          <w:sz w:val="24"/>
        </w:rPr>
        <w:t>8</w:t>
      </w:r>
      <w:r>
        <w:rPr>
          <w:rFonts w:hint="eastAsia" w:ascii="仿宋" w:hAnsi="仿宋" w:eastAsia="仿宋" w:cs="仿宋"/>
          <w:bCs/>
          <w:sz w:val="24"/>
        </w:rPr>
        <w:t>小时解决问题，如出现超过</w:t>
      </w:r>
      <w:r>
        <w:rPr>
          <w:rFonts w:hint="eastAsia" w:ascii="仿宋" w:hAnsi="仿宋" w:eastAsia="仿宋" w:cs="仿宋"/>
          <w:b/>
          <w:bCs/>
          <w:sz w:val="24"/>
        </w:rPr>
        <w:t>1</w:t>
      </w:r>
      <w:r>
        <w:rPr>
          <w:rFonts w:ascii="仿宋" w:hAnsi="仿宋" w:eastAsia="仿宋" w:cs="仿宋"/>
          <w:b/>
          <w:bCs/>
          <w:sz w:val="24"/>
        </w:rPr>
        <w:t>2</w:t>
      </w:r>
      <w:r>
        <w:rPr>
          <w:rFonts w:hint="eastAsia" w:ascii="仿宋" w:hAnsi="仿宋" w:eastAsia="仿宋" w:cs="仿宋"/>
          <w:bCs/>
          <w:sz w:val="24"/>
        </w:rPr>
        <w:t>小时未维修好，乙方应应提供同型号或同档次新产品替代或使用单位有权指定第三方维修，维修费用由供货方承担，以保证甲方的正常使用。</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F4276FC" w15:done="0"/>
  <w15:commentEx w15:paraId="376EBDC9" w15:done="0" w15:paraIdParent="3F4276FC"/>
  <w15:commentEx w15:paraId="1978DCB3" w15:done="1"/>
  <w15:commentEx w15:paraId="3643D1A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63F4"/>
    <w:multiLevelType w:val="multilevel"/>
    <w:tmpl w:val="053F63F4"/>
    <w:lvl w:ilvl="0" w:tentative="0">
      <w:start w:val="1"/>
      <w:numFmt w:val="decimal"/>
      <w:lvlText w:val="%1)"/>
      <w:lvlJc w:val="left"/>
      <w:pPr>
        <w:tabs>
          <w:tab w:val="left" w:pos="960"/>
        </w:tabs>
        <w:ind w:left="960" w:hanging="420"/>
      </w:pPr>
      <w:rPr>
        <w:rFonts w:hint="default" w:ascii="Times New Roman" w:hAnsi="Times New Roman" w:cs="Times New Roman"/>
      </w:rPr>
    </w:lvl>
    <w:lvl w:ilvl="1" w:tentative="0">
      <w:start w:val="1"/>
      <w:numFmt w:val="decimal"/>
      <w:lvlText w:val="（%2）"/>
      <w:lvlJc w:val="right"/>
      <w:pPr>
        <w:tabs>
          <w:tab w:val="left" w:pos="1380"/>
        </w:tabs>
        <w:ind w:left="1380" w:hanging="420"/>
      </w:pPr>
      <w:rPr>
        <w:rFonts w:hint="eastAsia" w:ascii="宋体" w:hAnsi="宋体" w:eastAsia="宋体"/>
      </w:rPr>
    </w:lvl>
    <w:lvl w:ilvl="2" w:tentative="0">
      <w:start w:val="1"/>
      <w:numFmt w:val="lowerRoman"/>
      <w:lvlText w:val="%3."/>
      <w:lvlJc w:val="right"/>
      <w:pPr>
        <w:tabs>
          <w:tab w:val="left" w:pos="1800"/>
        </w:tabs>
        <w:ind w:left="1800" w:hanging="420"/>
      </w:pPr>
      <w:rPr>
        <w:rFonts w:hint="default" w:ascii="Times New Roman" w:hAnsi="Times New Roman" w:cs="Times New Roman"/>
      </w:rPr>
    </w:lvl>
    <w:lvl w:ilvl="3" w:tentative="0">
      <w:start w:val="1"/>
      <w:numFmt w:val="decimal"/>
      <w:lvlText w:val="%4."/>
      <w:lvlJc w:val="left"/>
      <w:pPr>
        <w:tabs>
          <w:tab w:val="left" w:pos="2220"/>
        </w:tabs>
        <w:ind w:left="2220" w:hanging="420"/>
      </w:pPr>
      <w:rPr>
        <w:rFonts w:hint="default" w:ascii="Times New Roman" w:hAnsi="Times New Roman" w:cs="Times New Roman"/>
      </w:rPr>
    </w:lvl>
    <w:lvl w:ilvl="4" w:tentative="0">
      <w:start w:val="1"/>
      <w:numFmt w:val="lowerLetter"/>
      <w:lvlText w:val="%5)"/>
      <w:lvlJc w:val="left"/>
      <w:pPr>
        <w:tabs>
          <w:tab w:val="left" w:pos="2640"/>
        </w:tabs>
        <w:ind w:left="2640" w:hanging="420"/>
      </w:pPr>
      <w:rPr>
        <w:rFonts w:hint="default" w:ascii="Times New Roman" w:hAnsi="Times New Roman" w:cs="Times New Roman"/>
      </w:rPr>
    </w:lvl>
    <w:lvl w:ilvl="5" w:tentative="0">
      <w:start w:val="1"/>
      <w:numFmt w:val="lowerRoman"/>
      <w:lvlText w:val="%6."/>
      <w:lvlJc w:val="right"/>
      <w:pPr>
        <w:tabs>
          <w:tab w:val="left" w:pos="3060"/>
        </w:tabs>
        <w:ind w:left="3060" w:hanging="420"/>
      </w:pPr>
      <w:rPr>
        <w:rFonts w:hint="default" w:ascii="Times New Roman" w:hAnsi="Times New Roman" w:cs="Times New Roman"/>
      </w:rPr>
    </w:lvl>
    <w:lvl w:ilvl="6" w:tentative="0">
      <w:start w:val="1"/>
      <w:numFmt w:val="decimal"/>
      <w:lvlText w:val="%7."/>
      <w:lvlJc w:val="left"/>
      <w:pPr>
        <w:tabs>
          <w:tab w:val="left" w:pos="3480"/>
        </w:tabs>
        <w:ind w:left="3480" w:hanging="420"/>
      </w:pPr>
      <w:rPr>
        <w:rFonts w:hint="default" w:ascii="Times New Roman" w:hAnsi="Times New Roman" w:cs="Times New Roman"/>
      </w:rPr>
    </w:lvl>
    <w:lvl w:ilvl="7" w:tentative="0">
      <w:start w:val="1"/>
      <w:numFmt w:val="lowerLetter"/>
      <w:lvlText w:val="%8)"/>
      <w:lvlJc w:val="left"/>
      <w:pPr>
        <w:tabs>
          <w:tab w:val="left" w:pos="3900"/>
        </w:tabs>
        <w:ind w:left="3900" w:hanging="420"/>
      </w:pPr>
      <w:rPr>
        <w:rFonts w:hint="default" w:ascii="Times New Roman" w:hAnsi="Times New Roman" w:cs="Times New Roman"/>
      </w:rPr>
    </w:lvl>
    <w:lvl w:ilvl="8" w:tentative="0">
      <w:start w:val="1"/>
      <w:numFmt w:val="lowerRoman"/>
      <w:lvlText w:val="%9."/>
      <w:lvlJc w:val="right"/>
      <w:pPr>
        <w:tabs>
          <w:tab w:val="left" w:pos="4320"/>
        </w:tabs>
        <w:ind w:left="4320" w:hanging="420"/>
      </w:pPr>
      <w:rPr>
        <w:rFonts w:hint="default" w:ascii="Times New Roman" w:hAnsi="Times New Roman" w:cs="Times New Roman"/>
      </w:rPr>
    </w:lvl>
  </w:abstractNum>
  <w:abstractNum w:abstractNumId="1">
    <w:nsid w:val="6B097F45"/>
    <w:multiLevelType w:val="multilevel"/>
    <w:tmpl w:val="6B097F45"/>
    <w:lvl w:ilvl="0" w:tentative="0">
      <w:start w:val="1"/>
      <w:numFmt w:val="upperLetter"/>
      <w:lvlText w:val="%1."/>
      <w:lvlJc w:val="left"/>
      <w:pPr>
        <w:tabs>
          <w:tab w:val="left" w:pos="420"/>
        </w:tabs>
        <w:ind w:left="420" w:hanging="420"/>
      </w:pPr>
      <w:rPr>
        <w:rFonts w:hint="default" w:ascii="Times New Roman" w:hAnsi="Times New Roman" w:cs="Times New Roman"/>
      </w:rPr>
    </w:lvl>
    <w:lvl w:ilvl="1" w:tentative="0">
      <w:start w:val="1"/>
      <w:numFmt w:val="decimal"/>
      <w:lvlText w:val="%2)"/>
      <w:lvlJc w:val="left"/>
      <w:pPr>
        <w:tabs>
          <w:tab w:val="left" w:pos="840"/>
        </w:tabs>
        <w:ind w:left="840" w:hanging="420"/>
      </w:pPr>
      <w:rPr>
        <w:rFonts w:hint="default" w:ascii="Times New Roman" w:hAnsi="Times New Roman" w:cs="Times New Roman"/>
      </w:rPr>
    </w:lvl>
    <w:lvl w:ilvl="2" w:tentative="0">
      <w:start w:val="1"/>
      <w:numFmt w:val="lowerLetter"/>
      <w:lvlText w:val="%3)"/>
      <w:lvlJc w:val="left"/>
      <w:pPr>
        <w:tabs>
          <w:tab w:val="left" w:pos="960"/>
        </w:tabs>
        <w:ind w:left="960" w:hanging="420"/>
      </w:pPr>
      <w:rPr>
        <w:rFonts w:hint="default" w:ascii="Times New Roman" w:hAnsi="Times New Roman" w:cs="Times New Roman"/>
      </w:rPr>
    </w:lvl>
    <w:lvl w:ilvl="3" w:tentative="0">
      <w:start w:val="5"/>
      <w:numFmt w:val="japaneseCounting"/>
      <w:lvlText w:val="第%4部"/>
      <w:lvlJc w:val="left"/>
      <w:pPr>
        <w:tabs>
          <w:tab w:val="left" w:pos="3915"/>
        </w:tabs>
        <w:ind w:left="3915" w:hanging="2655"/>
      </w:pPr>
      <w:rPr>
        <w:rFonts w:hint="default" w:ascii="Times New Roman" w:hAnsi="Times New Roman" w:cs="Times New Roman"/>
      </w:rPr>
    </w:lvl>
    <w:lvl w:ilvl="4" w:tentative="0">
      <w:start w:val="1"/>
      <w:numFmt w:val="decimal"/>
      <w:lvlText w:val="%5、"/>
      <w:lvlJc w:val="left"/>
      <w:pPr>
        <w:tabs>
          <w:tab w:val="left" w:pos="2400"/>
        </w:tabs>
        <w:ind w:left="2400" w:hanging="7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马宁馨">
    <w15:presenceInfo w15:providerId="None" w15:userId="马宁馨"/>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A6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annotation reference"/>
    <w:basedOn w:val="4"/>
    <w:qFormat/>
    <w:uiPriority w:val="0"/>
    <w:rPr>
      <w:sz w:val="21"/>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2025-12-04T12:51:38Z</dcterms:created>
  <dc:creator>Administrator</dc:creator>
  <cp:lastModifiedBy>飞翔</cp:lastModifiedBy>
  <dcterms:modified xsi:type="dcterms:W3CDTF">2025-12-04T12:52:27Z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eyJoZGlkIjoiY2ZiNzNmYzgyZWUyYzhlNzUxNzUzNzIwMzUyNWQyODEiLCJ1c2VySWQiOiI0MjA3MDUxNzEifQ==</vt:lpwstr>
  </property>
  <property fmtid="{D5CDD505-2E9C-101B-9397-08002B2CF9AE}" pid="4" name="ICV">
    <vt:lpwstr>2CF1C2002E9845EFB57181571CBFFEE0_12</vt:lpwstr>
  </property>
</Properties>
</file>