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版本号：KY2025-1-113220251218001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主院区医疗废物处置项目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KY2025-1-1132</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主院区医疗废物处置项目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KY2025-1-1132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主院区医疗废物处置项目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陕西省人民医院主院区医疗废物处置项目，具体内容详见单一来源采购文件第三部分。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采购包1（主院区医疗废物处置项目）：属于专门面向中小企业采购。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4、社会保障资金缴存证明：提供2025年1月至今已缴存的至少一个月的社会保障资金缴存单据或社保机构开具的社会保险参保缴费情况证明，依法不需要缴存社会保障资金的单位应提供相关证明材料。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7、法定代表人授权书及被授权人身份证。（法定代表人直接谈判只须提供其身份证明）：法定代表人授权书及被授权人身份证。（法定代表人直接谈判只须提供其身份证明）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029-85253261-3458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陕西省人民医院主院区医疗废物处置项目，具体内容详见单一来源采购文件第三部分。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主院区医疗废物处置项目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标的名称：主院区医疗废物处置项目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1、要求：每天清运一次，垃圾袋、利器盒由医疗废物处置公司免费提供。</w:t>
            </w:r>
          </w:p>
          <w:p>
            <w:pPr>
              <w:pStyle w:val="null3"/>
            </w:pPr>
            <w:r>
              <w:rPr>
                <w:rFonts w:ascii="仿宋_GB2312" w:hAnsi="仿宋_GB2312" w:cs="仿宋_GB2312" w:eastAsia="仿宋_GB2312"/>
                <w:sz w:val="21"/>
              </w:rPr>
              <w:t>2、按季度以甲方实际使用床位数据实结算，每个季度付款一次。</w:t>
            </w:r>
          </w:p>
          <w:p>
            <w:pPr>
              <w:pStyle w:val="null3"/>
            </w:pPr>
            <w:r>
              <w:rPr>
                <w:rFonts w:ascii="仿宋_GB2312" w:hAnsi="仿宋_GB2312" w:cs="仿宋_GB2312" w:eastAsia="仿宋_GB2312"/>
                <w:sz w:val="21"/>
              </w:rPr>
              <w:t>3、合同有效期3年，一年一续签</w:t>
            </w:r>
          </w:p>
          <w:p>
            <w:pPr>
              <w:pStyle w:val="null3"/>
            </w:pPr>
            <w:r>
              <w:rPr>
                <w:rFonts w:ascii="仿宋_GB2312" w:hAnsi="仿宋_GB2312" w:cs="仿宋_GB2312" w:eastAsia="仿宋_GB2312"/>
                <w:sz w:val="21"/>
              </w:rPr>
              <w:t>4、清运处置医疗废物时，不影响科室正常运行。</w:t>
            </w:r>
          </w:p>
          <w:p>
            <w:pPr>
              <w:pStyle w:val="null3"/>
            </w:pPr>
            <w:r>
              <w:rPr>
                <w:rFonts w:ascii="仿宋_GB2312" w:hAnsi="仿宋_GB2312" w:cs="仿宋_GB2312" w:eastAsia="仿宋_GB2312"/>
                <w:sz w:val="21"/>
              </w:rPr>
              <w:t>5、本次主要清运、处置感染性、病理性、损伤性、药物性医废垃圾。</w:t>
            </w:r>
          </w:p>
          <w:p>
            <w:pPr>
              <w:pStyle w:val="null3"/>
            </w:pPr>
            <w:r>
              <w:rPr>
                <w:rFonts w:ascii="仿宋_GB2312" w:hAnsi="仿宋_GB2312" w:cs="仿宋_GB2312" w:eastAsia="仿宋_GB2312"/>
                <w:sz w:val="21"/>
              </w:rPr>
              <w:t>6、本项目最高单价限价：2元/床/日。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本项目服务期为三年，每年一续签。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根据实际使用床位数，据实结算，每个季度付款一次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1、成交供应商领取成交通知书时，提交纸质响应文件正本壹份、副本贰份、电子版壹份（U盘壹份注明单位名称）编辑目录和页码，内容和通过电子化交易平台实施的政府采购项目提交的响应文件一致。 2、纸质响应文件正副本分别胶装。 3、保证金的退还：自中标（成交）通知书发出之日起5个工作日内退还未成交供应商的投标保证金,自采购合同签订之日起5个工作日内退还成交供应商的投标保证金。” 4、本项目招标文件第三章 3.3商务要求中的"3.3.3&amp;3.3.4"为系统固定格式，具体付款方式以下列内容为准:根据实际使用床位数，按季度据实结算，甲方于每季度首月10个工作日内，向乙方支付上一季度的服务费用。 5、本项目最高单价限价：2元/床/日。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法定代表人授权书及被授权人身份证。（法定代表人直接谈判只须提供其身份证明）</w:t>
            </w:r>
          </w:p>
        </w:tc>
        <w:tc>
          <w:tcPr>
            <w:tcW w:type="dxa" w:w="3322"/>
          </w:tcPr>
          <w:p>
            <w:pPr>
              <w:pStyle w:val="null3"/>
            </w:pPr>
            <w:r>
              <w:rPr>
                <w:rFonts w:ascii="仿宋_GB2312" w:hAnsi="仿宋_GB2312" w:cs="仿宋_GB2312" w:eastAsia="仿宋_GB2312"/>
              </w:rPr>
              <w:t>法定代表人授权书及被授权人身份证。（法定代表人直接谈判只须提供其身份证明）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 供应商承诺书.docx 技术指标偏差表.docx 商务条款响应说明.docx 响应文件封面 分项报价表.docx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技术指标偏差表.docx 商务条款响应说明.docx 响应文件封面 分项报价表.docx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响应函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 报价表 供应商承诺书.docx 技术指标偏差表.docx 商务条款响应说明.docx 响应文件封面 分项报价表.docx 残疾人福利性单位声明函 标的清单 供应商资格证明文件.docx 响应函 报价表.docx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