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版本号：【KRDL】K4-251122420251218001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星地融合系统高性能软件无线电平台采购项目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【KRDL】K4-2511224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星地融合系统高性能软件无线电平台采购项目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【KRDL】K4-2511224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星地融合系统高性能软件无线电平台采购项目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西安邮电大学星地融合系统高性能软件无线电平台采购项目，拟采购1套星地融合系统高性能软件无线电平台采购项目，具体采购内容及要求详见本项目竞争性谈判文件、答疑文件等全部内容。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采购包1（星地融合系统高性能软件无线电平台采购项目）：属于专门面向中小企业采购。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3、谈判授权代表：供应商应授权合法的人员参加本项目谈判活动全过程；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857号）的有关规定标准下浮20%计取，向采购代理机构一次付清代理服务费。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西安邮电大学星地融合系统高性能软件无线电平台采购项目，拟采购1套星地融合系统高性能软件无线电平台</w:t>
      </w:r>
      <w:r>
        <w:rPr>
          <w:rFonts w:ascii="仿宋_GB2312" w:hAnsi="仿宋_GB2312" w:cs="仿宋_GB2312" w:eastAsia="仿宋_GB2312"/>
          <w:sz w:val="21"/>
          <w:color w:val="0000FF"/>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星地融合系统高性能软件无线电平台采购项目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标的名称：星地融合系统高性能软件无线电平台采购项目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4"/>
              <w:gridCol w:w="271"/>
              <w:gridCol w:w="1201"/>
              <w:gridCol w:w="587"/>
              <w:gridCol w:w="301"/>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品目</w:t>
                  </w:r>
                </w:p>
                <w:p>
                  <w:pPr>
                    <w:pStyle w:val="null3"/>
                    <w:jc w:val="center"/>
                  </w:pPr>
                  <w:r>
                    <w:rPr>
                      <w:rFonts w:ascii="仿宋_GB2312" w:hAnsi="仿宋_GB2312" w:cs="仿宋_GB2312" w:eastAsia="仿宋_GB2312"/>
                      <w:sz w:val="24"/>
                      <w:b/>
                      <w:color w:val="000000"/>
                    </w:rPr>
                    <w:t>名称</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技术标准</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配置要求</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w:t>
                  </w:r>
                </w:p>
                <w:p>
                  <w:pPr>
                    <w:pStyle w:val="null3"/>
                    <w:jc w:val="center"/>
                  </w:pPr>
                  <w:r>
                    <w:rPr>
                      <w:rFonts w:ascii="仿宋_GB2312" w:hAnsi="仿宋_GB2312" w:cs="仿宋_GB2312" w:eastAsia="仿宋_GB2312"/>
                      <w:sz w:val="24"/>
                      <w:b/>
                      <w:color w:val="000000"/>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星地融合系统</w:t>
                  </w:r>
                  <w:r>
                    <w:rPr>
                      <w:rFonts w:ascii="仿宋_GB2312" w:hAnsi="仿宋_GB2312" w:cs="仿宋_GB2312" w:eastAsia="仿宋_GB2312"/>
                      <w:sz w:val="24"/>
                      <w:color w:val="000000"/>
                    </w:rPr>
                    <w:t>高性能软件无线电平台</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仿宋_GB2312" w:hAnsi="仿宋_GB2312" w:cs="仿宋_GB2312" w:eastAsia="仿宋_GB2312"/>
                      <w:sz w:val="24"/>
                      <w:b/>
                      <w:color w:val="000000"/>
                    </w:rPr>
                    <w:t>星地融合系统高性能软件无线电平台支持</w:t>
                  </w:r>
                  <w:r>
                    <w:rPr>
                      <w:rFonts w:ascii="仿宋_GB2312" w:hAnsi="仿宋_GB2312" w:cs="仿宋_GB2312" w:eastAsia="仿宋_GB2312"/>
                      <w:sz w:val="24"/>
                      <w:b/>
                      <w:color w:val="000000"/>
                    </w:rPr>
                    <w:t>B5G、低轨卫星通信、动态频谱共享、大规模MIMO系统实验，支撑卫星互联网通信端到端演示系统，满足大规模通信实验中的高带宽需求，要求如下：</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前端频率覆盖范围：不低于</w:t>
                  </w:r>
                  <w:r>
                    <w:rPr>
                      <w:rFonts w:ascii="仿宋_GB2312" w:hAnsi="仿宋_GB2312" w:cs="仿宋_GB2312" w:eastAsia="仿宋_GB2312"/>
                      <w:sz w:val="24"/>
                      <w:color w:val="000000"/>
                    </w:rPr>
                    <w:t>10MHz～7GHz；</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前端每通道支持的带宽</w:t>
                  </w:r>
                  <w:r>
                    <w:rPr>
                      <w:rFonts w:ascii="仿宋_GB2312" w:hAnsi="仿宋_GB2312" w:cs="仿宋_GB2312" w:eastAsia="仿宋_GB2312"/>
                      <w:sz w:val="24"/>
                      <w:color w:val="000000"/>
                    </w:rPr>
                    <w:t>≥400MHz；</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射频调控单元</w:t>
                  </w:r>
                  <w:r>
                    <w:rPr>
                      <w:rFonts w:ascii="仿宋_GB2312" w:hAnsi="仿宋_GB2312" w:cs="仿宋_GB2312" w:eastAsia="仿宋_GB2312"/>
                      <w:sz w:val="24"/>
                      <w:color w:val="000000"/>
                    </w:rPr>
                    <w:t>≥4路接收通道和≥4路发射通道；</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硬件内部</w:t>
                  </w:r>
                  <w:r>
                    <w:rPr>
                      <w:rFonts w:ascii="仿宋_GB2312" w:hAnsi="仿宋_GB2312" w:cs="仿宋_GB2312" w:eastAsia="仿宋_GB2312"/>
                      <w:sz w:val="24"/>
                      <w:color w:val="000000"/>
                    </w:rPr>
                    <w:t xml:space="preserve">FPGA </w:t>
                  </w:r>
                  <w:r>
                    <w:rPr>
                      <w:rFonts w:ascii="仿宋_GB2312" w:hAnsi="仿宋_GB2312" w:cs="仿宋_GB2312" w:eastAsia="仿宋_GB2312"/>
                      <w:sz w:val="24"/>
                      <w:color w:val="000000"/>
                    </w:rPr>
                    <w:t>DSP Slices</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4272，系统逻辑单元不少于930k；</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硬件内部</w:t>
                  </w:r>
                  <w:r>
                    <w:rPr>
                      <w:rFonts w:ascii="仿宋_GB2312" w:hAnsi="仿宋_GB2312" w:cs="仿宋_GB2312" w:eastAsia="仿宋_GB2312"/>
                      <w:sz w:val="24"/>
                      <w:color w:val="000000"/>
                    </w:rPr>
                    <w:t>ARM处理器性能不低于4核；</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硬件接口提供千兆以太网、</w:t>
                  </w:r>
                  <w:r>
                    <w:rPr>
                      <w:rFonts w:ascii="仿宋_GB2312" w:hAnsi="仿宋_GB2312" w:cs="仿宋_GB2312" w:eastAsia="仿宋_GB2312"/>
                      <w:sz w:val="24"/>
                      <w:color w:val="000000"/>
                    </w:rPr>
                    <w:t>USB Type-C、QSFP28、</w:t>
                  </w:r>
                  <w:r>
                    <w:rPr>
                      <w:rFonts w:ascii="仿宋_GB2312" w:hAnsi="仿宋_GB2312" w:cs="仿宋_GB2312" w:eastAsia="仿宋_GB2312"/>
                      <w:sz w:val="24"/>
                      <w:color w:val="000000"/>
                    </w:rPr>
                    <w:t>iPass+ zHD (PCIe Gen3 x8)</w:t>
                  </w:r>
                  <w:r>
                    <w:rPr>
                      <w:rFonts w:ascii="仿宋_GB2312" w:hAnsi="仿宋_GB2312" w:cs="仿宋_GB2312" w:eastAsia="仿宋_GB2312"/>
                      <w:sz w:val="24"/>
                      <w:color w:val="000000"/>
                    </w:rPr>
                    <w:t>通信接口等，提供</w:t>
                  </w:r>
                  <w:r>
                    <w:rPr>
                      <w:rFonts w:ascii="仿宋_GB2312" w:hAnsi="仿宋_GB2312" w:cs="仿宋_GB2312" w:eastAsia="仿宋_GB2312"/>
                      <w:sz w:val="24"/>
                      <w:color w:val="000000"/>
                    </w:rPr>
                    <w:t>10MHz参考时钟输入输出和GPSDO同步接口，提供FPGA JTAG调试接口等；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基站和终端模拟</w:t>
                  </w:r>
                  <w:r>
                    <w:rPr>
                      <w:rFonts w:ascii="仿宋_GB2312" w:hAnsi="仿宋_GB2312" w:cs="仿宋_GB2312" w:eastAsia="仿宋_GB2312"/>
                      <w:sz w:val="24"/>
                      <w:color w:val="000000"/>
                    </w:rPr>
                    <w:t>器</w:t>
                  </w:r>
                  <w:r>
                    <w:rPr>
                      <w:rFonts w:ascii="仿宋_GB2312" w:hAnsi="仿宋_GB2312" w:cs="仿宋_GB2312" w:eastAsia="仿宋_GB2312"/>
                      <w:sz w:val="24"/>
                      <w:color w:val="000000"/>
                    </w:rPr>
                    <w:t>硬件支持开源软件</w:t>
                  </w:r>
                  <w:r>
                    <w:rPr>
                      <w:rFonts w:ascii="仿宋_GB2312" w:hAnsi="仿宋_GB2312" w:cs="仿宋_GB2312" w:eastAsia="仿宋_GB2312"/>
                      <w:sz w:val="24"/>
                      <w:color w:val="000000"/>
                    </w:rPr>
                    <w:t>GNU Radio、LabVIEW图形化FPGA编程、Matlab等开发环境，支持独立使用二次开发；</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卫星互联网通信端到端演示系统软件至少包含核心网、基站和终端三部分，可实现基站和终端之间的实时数据通信，各模块要求开放源代码；</w:t>
                  </w:r>
                  <w:r>
                    <w:rPr>
                      <w:rFonts w:ascii="仿宋_GB2312" w:hAnsi="仿宋_GB2312" w:cs="仿宋_GB2312" w:eastAsia="仿宋_GB2312"/>
                      <w:sz w:val="24"/>
                      <w:b/>
                      <w:color w:val="000000"/>
                    </w:rPr>
                    <w:t>（提供承诺函，格式自拟）</w:t>
                  </w:r>
                </w:p>
                <w:p>
                  <w:pPr>
                    <w:pStyle w:val="null3"/>
                    <w:ind w:firstLine="480"/>
                  </w:pPr>
                  <w:r>
                    <w:rPr>
                      <w:rFonts w:ascii="仿宋_GB2312" w:hAnsi="仿宋_GB2312" w:cs="仿宋_GB2312" w:eastAsia="仿宋_GB2312"/>
                      <w:sz w:val="24"/>
                      <w:color w:val="000000"/>
                    </w:rPr>
                    <w:t>9.</w:t>
                  </w:r>
                  <w:r>
                    <w:rPr>
                      <w:rFonts w:ascii="仿宋_GB2312" w:hAnsi="仿宋_GB2312" w:cs="仿宋_GB2312" w:eastAsia="仿宋_GB2312"/>
                      <w:sz w:val="24"/>
                      <w:color w:val="000000"/>
                    </w:rPr>
                    <w:t>软件提供面向</w:t>
                  </w:r>
                  <w:r>
                    <w:rPr>
                      <w:rFonts w:ascii="仿宋_GB2312" w:hAnsi="仿宋_GB2312" w:cs="仿宋_GB2312" w:eastAsia="仿宋_GB2312"/>
                      <w:sz w:val="24"/>
                      <w:color w:val="000000"/>
                    </w:rPr>
                    <w:t>B5G/6G标准协议波形设计与分析参考软件，提供5G NR实时波形收发，同时对捕获的波形数据可执行射频时域测量和频谱分析，支持自定义波形文件导入和保存；提供面向B5G/6G实时无线信道测量软件，支持PN序列，ZC序列、自定义序列的收发，信道冲击响应的测量结果显示与结果存储等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1.提供配套附件，包括但不限于喇叭天线2个、全向天线4个、射频线缆4根等；</w:t>
                  </w:r>
                </w:p>
                <w:p>
                  <w:pPr>
                    <w:pStyle w:val="null3"/>
                  </w:pPr>
                  <w:r>
                    <w:rPr>
                      <w:rFonts w:ascii="仿宋_GB2312" w:hAnsi="仿宋_GB2312" w:cs="仿宋_GB2312" w:eastAsia="仿宋_GB2312"/>
                      <w:sz w:val="24"/>
                      <w:color w:val="000000"/>
                    </w:rPr>
                    <w:t>2.提供面向B5G/6G实时无线信道测量软件详细文档说明，代码接口要求开放；</w:t>
                  </w:r>
                </w:p>
                <w:p>
                  <w:pPr>
                    <w:pStyle w:val="null3"/>
                  </w:pPr>
                  <w:r>
                    <w:rPr>
                      <w:rFonts w:ascii="仿宋_GB2312" w:hAnsi="仿宋_GB2312" w:cs="仿宋_GB2312" w:eastAsia="仿宋_GB2312"/>
                      <w:sz w:val="24"/>
                      <w:color w:val="000000"/>
                    </w:rPr>
                    <w:t>3.提供卫星互联网通信端到端演示系统软件的开源代码</w:t>
                  </w:r>
                  <w:r>
                    <w:rPr>
                      <w:rFonts w:ascii="仿宋_GB2312" w:hAnsi="仿宋_GB2312" w:cs="仿宋_GB2312" w:eastAsia="仿宋_GB2312"/>
                      <w:sz w:val="24"/>
                      <w:color w:val="000000"/>
                    </w:rPr>
                    <w:t>。</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1套</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各供应商拟投的产品参数必须全部满足本项目采购需求中的技术参数，否则视为未实质性响应。</w:t>
                  </w:r>
                  <w:r>
                    <w:rPr>
                      <w:rFonts w:ascii="仿宋_GB2312" w:hAnsi="仿宋_GB2312" w:cs="仿宋_GB2312" w:eastAsia="仿宋_GB2312"/>
                      <w:sz w:val="24"/>
                      <w:color w:val="000000"/>
                    </w:rPr>
                    <w:t>技术标准中标记</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项的参数应提供对应参数要求的佐证材料或至少提供下列证明材料之一：</w:t>
                  </w:r>
                  <w:r>
                    <w:rPr>
                      <w:rFonts w:ascii="仿宋_GB2312" w:hAnsi="仿宋_GB2312" w:cs="仿宋_GB2312" w:eastAsia="仿宋_GB2312"/>
                      <w:sz w:val="24"/>
                      <w:color w:val="000000"/>
                    </w:rPr>
                    <w:t>①产品说明书；②产品检测报告；③产品彩页；④产品截图；⑤官方网页截图等，供应商应在响应文件中给出明确的证明材料索引，未提供有效证明材料或证明材料中内容与所填报指标不一致的或缺项、漏项的，将视为此条不满足，视同负偏离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1.采购人使用单位初验合格后提出验收申请，学校相关部门根据使用单位 技术验收结果，组织有关专家进行货物的最终验收。 2.其他要求详见合同文本。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自验收合格之日起3年；终身服务；软件免费升级，硬件优惠升级；负责提供供货范围内所有设备的技术文件和操作维护手册；对于保质期内仪器出现的非人为因素故障，提供的备件及维修服务不收取费用。设备故障报修后24小时内响应，质保期后供货商应负责上门维修。 2.售后服务要求：即时响应（包括电话响应）；电话响应无法解决12小时内到达现场。修复时间24小时内解决；如在48小时内无法修复，则提供部件冗余服务或采取应急措施，提供相同产品或不低于故障产品规格档次的备用产品供采购人使用，以确保货物的正常使用。 3.成交供应商须免费提供一次移机服务。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 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响应报价是否超过竞争性谈判文件中规定的预算金额或者最高限价</w:t>
            </w:r>
          </w:p>
        </w:tc>
        <w:tc>
          <w:tcPr>
            <w:tcW w:type="dxa" w:w="3322"/>
          </w:tcPr>
          <w:p>
            <w:pPr>
              <w:pStyle w:val="null3"/>
            </w:pPr>
            <w:r>
              <w:rPr>
                <w:rFonts w:ascii="仿宋_GB2312" w:hAnsi="仿宋_GB2312" w:cs="仿宋_GB2312" w:eastAsia="仿宋_GB2312"/>
              </w:rPr>
              <w:t>每轮响应报价未超过竞争性谈判文件中规定的预算金额或者最高限价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响应文件是否按照招标文件要求签署、盖章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