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B73B8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7E8C9BCF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20AF08C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  <w:bookmarkStart w:id="0" w:name="_GoBack"/>
      <w:bookmarkEnd w:id="0"/>
    </w:p>
    <w:p w14:paraId="55FDD31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包号：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48A427E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818"/>
        <w:gridCol w:w="1005"/>
        <w:gridCol w:w="1005"/>
        <w:gridCol w:w="1005"/>
        <w:gridCol w:w="1005"/>
        <w:gridCol w:w="1005"/>
        <w:gridCol w:w="1006"/>
        <w:gridCol w:w="1027"/>
      </w:tblGrid>
      <w:tr w14:paraId="5F54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8" w:hRule="atLeast"/>
          <w:jc w:val="center"/>
        </w:trPr>
        <w:tc>
          <w:tcPr>
            <w:tcW w:w="374" w:type="pct"/>
            <w:noWrap w:val="0"/>
            <w:vAlign w:val="center"/>
          </w:tcPr>
          <w:p w14:paraId="00D261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81" w:type="pct"/>
            <w:noWrap w:val="0"/>
            <w:vAlign w:val="center"/>
          </w:tcPr>
          <w:p w14:paraId="33581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6AD73D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590" w:type="pct"/>
            <w:noWrap w:val="0"/>
            <w:vAlign w:val="center"/>
          </w:tcPr>
          <w:p w14:paraId="1D4820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590" w:type="pct"/>
            <w:noWrap w:val="0"/>
            <w:vAlign w:val="center"/>
          </w:tcPr>
          <w:p w14:paraId="47C4EB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196E0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590" w:type="pct"/>
            <w:noWrap w:val="0"/>
            <w:vAlign w:val="center"/>
          </w:tcPr>
          <w:p w14:paraId="30ABD9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590" w:type="pct"/>
            <w:noWrap w:val="0"/>
            <w:vAlign w:val="center"/>
          </w:tcPr>
          <w:p w14:paraId="7EE01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2A433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590" w:type="pct"/>
            <w:noWrap w:val="0"/>
            <w:vAlign w:val="center"/>
          </w:tcPr>
          <w:p w14:paraId="62D4EB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591" w:type="pct"/>
            <w:noWrap w:val="0"/>
            <w:vAlign w:val="center"/>
          </w:tcPr>
          <w:p w14:paraId="024A27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598" w:type="pct"/>
            <w:noWrap w:val="0"/>
            <w:vAlign w:val="center"/>
          </w:tcPr>
          <w:p w14:paraId="0CE952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</w:tr>
      <w:tr w14:paraId="37CC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74" w:type="pct"/>
            <w:noWrap w:val="0"/>
            <w:vAlign w:val="center"/>
          </w:tcPr>
          <w:p w14:paraId="016954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481" w:type="pct"/>
            <w:noWrap w:val="0"/>
            <w:vAlign w:val="center"/>
          </w:tcPr>
          <w:p w14:paraId="09DF97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01284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772AAA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017FCE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3876D3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77A211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1" w:type="pct"/>
            <w:noWrap w:val="0"/>
            <w:vAlign w:val="center"/>
          </w:tcPr>
          <w:p w14:paraId="2D4A4F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98" w:type="pct"/>
            <w:noWrap w:val="0"/>
            <w:vAlign w:val="center"/>
          </w:tcPr>
          <w:p w14:paraId="78C826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3E3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74" w:type="pct"/>
            <w:noWrap w:val="0"/>
            <w:vAlign w:val="center"/>
          </w:tcPr>
          <w:p w14:paraId="639AC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481" w:type="pct"/>
            <w:noWrap w:val="0"/>
            <w:vAlign w:val="center"/>
          </w:tcPr>
          <w:p w14:paraId="0F0A35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25608F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4AFE9A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0E968D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64A181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4D105F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1" w:type="pct"/>
            <w:noWrap w:val="0"/>
            <w:vAlign w:val="center"/>
          </w:tcPr>
          <w:p w14:paraId="13C7E7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98" w:type="pct"/>
            <w:noWrap w:val="0"/>
            <w:vAlign w:val="center"/>
          </w:tcPr>
          <w:p w14:paraId="015B5A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A95D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74" w:type="pct"/>
            <w:noWrap w:val="0"/>
            <w:vAlign w:val="center"/>
          </w:tcPr>
          <w:p w14:paraId="669D7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481" w:type="pct"/>
            <w:noWrap w:val="0"/>
            <w:vAlign w:val="center"/>
          </w:tcPr>
          <w:p w14:paraId="041E3E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681B271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11AB6A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5646EA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70DC2D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606DCD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1" w:type="pct"/>
            <w:noWrap w:val="0"/>
            <w:vAlign w:val="center"/>
          </w:tcPr>
          <w:p w14:paraId="3DAD8E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98" w:type="pct"/>
            <w:noWrap w:val="0"/>
            <w:vAlign w:val="center"/>
          </w:tcPr>
          <w:p w14:paraId="069F38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E1A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74" w:type="pct"/>
            <w:noWrap w:val="0"/>
            <w:vAlign w:val="center"/>
          </w:tcPr>
          <w:p w14:paraId="13471C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81" w:type="pct"/>
            <w:noWrap w:val="0"/>
            <w:vAlign w:val="center"/>
          </w:tcPr>
          <w:p w14:paraId="41DC2B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630C4B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299950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6577EF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1208D3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67A57A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1" w:type="pct"/>
            <w:noWrap w:val="0"/>
            <w:vAlign w:val="center"/>
          </w:tcPr>
          <w:p w14:paraId="327B924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98" w:type="pct"/>
            <w:noWrap w:val="0"/>
            <w:vAlign w:val="center"/>
          </w:tcPr>
          <w:p w14:paraId="1023A1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4F0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74" w:type="pct"/>
            <w:noWrap w:val="0"/>
            <w:vAlign w:val="center"/>
          </w:tcPr>
          <w:p w14:paraId="487977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81" w:type="pct"/>
            <w:noWrap w:val="0"/>
            <w:vAlign w:val="center"/>
          </w:tcPr>
          <w:p w14:paraId="4BE50F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436085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7A0173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2C887D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346BE1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76B22C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1" w:type="pct"/>
            <w:noWrap w:val="0"/>
            <w:vAlign w:val="center"/>
          </w:tcPr>
          <w:p w14:paraId="374D47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98" w:type="pct"/>
            <w:noWrap w:val="0"/>
            <w:vAlign w:val="center"/>
          </w:tcPr>
          <w:p w14:paraId="4D02D6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8A9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74" w:type="pct"/>
            <w:noWrap w:val="0"/>
            <w:vAlign w:val="center"/>
          </w:tcPr>
          <w:p w14:paraId="7A43F4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481" w:type="pct"/>
            <w:noWrap w:val="0"/>
            <w:vAlign w:val="center"/>
          </w:tcPr>
          <w:p w14:paraId="77229C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4C3E59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0929C2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5B7B706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78A5CF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0" w:type="pct"/>
            <w:noWrap w:val="0"/>
            <w:vAlign w:val="center"/>
          </w:tcPr>
          <w:p w14:paraId="1C2F24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91" w:type="pct"/>
            <w:noWrap w:val="0"/>
            <w:vAlign w:val="center"/>
          </w:tcPr>
          <w:p w14:paraId="52D838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98" w:type="pct"/>
            <w:noWrap w:val="0"/>
            <w:vAlign w:val="center"/>
          </w:tcPr>
          <w:p w14:paraId="74BE55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7B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855" w:type="pct"/>
            <w:gridSpan w:val="2"/>
            <w:noWrap w:val="0"/>
            <w:vAlign w:val="center"/>
          </w:tcPr>
          <w:p w14:paraId="515C20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4144" w:type="pct"/>
            <w:gridSpan w:val="7"/>
            <w:noWrap w:val="0"/>
            <w:vAlign w:val="center"/>
          </w:tcPr>
          <w:p w14:paraId="5D63BDF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260C2DB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156213FA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 w:cs="仿宋"/>
          <w:sz w:val="28"/>
          <w:szCs w:val="28"/>
        </w:rPr>
        <w:t>报价子目出现漏项或报价数量与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</w:rPr>
        <w:t>文件要求不符的，将被视为无效投标。</w:t>
      </w:r>
    </w:p>
    <w:p w14:paraId="4C28405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5488CF7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012716E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832F0B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B2D602C"/>
    <w:rsid w:val="133A4536"/>
    <w:rsid w:val="191C19E6"/>
    <w:rsid w:val="3618100F"/>
    <w:rsid w:val="3A6726EA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208</Characters>
  <Lines>0</Lines>
  <Paragraphs>0</Paragraphs>
  <TotalTime>0</TotalTime>
  <ScaleCrop>false</ScaleCrop>
  <LinksUpToDate>false</LinksUpToDate>
  <CharactersWithSpaces>324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puppet</cp:lastModifiedBy>
  <dcterms:modified xsi:type="dcterms:W3CDTF">2025-12-18T07:18:27Z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