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版本号：【KRDL】K4-251122520251218001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星地融合系统多节点通信终端模块采购项目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【KRDL】K4-2511225</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星地融合系统多节点通信终端模块采购项目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【KRDL】K4-2511225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星地融合系统多节点通信终端模块采购项目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西安邮电大学星地融合系统多节点通信终端模块采购项目，拟采购1套星地融合系统多节点通信终端模块采购项目，具体采购内容及要求详见本项目竞争性谈判文件、答疑文件等全部内容。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采购包1（星地融合系统多节点通信终端模块采购项目）：属于专门面向中小企业采购。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1、主体资格：供应商为向采购人提供相关货物的法人或其他组织；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3、谈判授权代表：供应商应授权合法的人员参加本项目谈判活动全过程；</w:t>
      </w:r>
    </w:p>
    <w:p>
      <w:pPr>
        <w:pStyle w:val="null3"/>
      </w:pPr>
      <w:r>
        <w:rPr>
          <w:rFonts w:ascii="仿宋_GB2312" w:hAnsi="仿宋_GB2312" w:cs="仿宋_GB2312" w:eastAsia="仿宋_GB2312"/>
        </w:rPr>
        <w:t>4、是否面向中小企业采购：本项目专门面向中小企业采购。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857号）的有关规定标准下浮20%计取，向采购代理机构一次付清代理服务费。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联系电话：17302920968、15229797656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西安邮电大学星地融合系统多节点通信终端模块采购项目，拟采购1套星地融合系统多节点通信终端模块。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星地融合系统多节点通信终端模块采购项目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标的名称：星地融合系统多节点通信终端模块采购项目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3"/>
              <w:gridCol w:w="338"/>
              <w:gridCol w:w="1500"/>
              <w:gridCol w:w="733"/>
              <w:gridCol w:w="379"/>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品目</w:t>
                  </w:r>
                </w:p>
                <w:p>
                  <w:pPr>
                    <w:pStyle w:val="null3"/>
                    <w:jc w:val="center"/>
                  </w:pPr>
                  <w:r>
                    <w:rPr>
                      <w:rFonts w:ascii="仿宋_GB2312" w:hAnsi="仿宋_GB2312" w:cs="仿宋_GB2312" w:eastAsia="仿宋_GB2312"/>
                      <w:sz w:val="24"/>
                      <w:b/>
                    </w:rPr>
                    <w:t>名称</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技术标准</w:t>
                  </w:r>
                </w:p>
              </w:tc>
              <w:tc>
                <w:tcPr>
                  <w:tcW w:type="dxa" w:w="7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配置要求</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w:t>
                  </w:r>
                </w:p>
                <w:p>
                  <w:pPr>
                    <w:pStyle w:val="null3"/>
                    <w:jc w:val="center"/>
                  </w:pPr>
                  <w:r>
                    <w:rPr>
                      <w:rFonts w:ascii="仿宋_GB2312" w:hAnsi="仿宋_GB2312" w:cs="仿宋_GB2312" w:eastAsia="仿宋_GB2312"/>
                      <w:sz w:val="24"/>
                      <w:b/>
                    </w:rPr>
                    <w:t>单位</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星地融合系统多节点通信终端模块</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pPr>
                  <w:r>
                    <w:rPr>
                      <w:rFonts w:ascii="仿宋_GB2312" w:hAnsi="仿宋_GB2312" w:cs="仿宋_GB2312" w:eastAsia="仿宋_GB2312"/>
                      <w:sz w:val="24"/>
                      <w:b/>
                    </w:rPr>
                    <w:t>星地融合系统多节点通信终端模块支持多节点、多终端通信实验，满足适物联网、</w:t>
                  </w:r>
                  <w:r>
                    <w:rPr>
                      <w:rFonts w:ascii="仿宋_GB2312" w:hAnsi="仿宋_GB2312" w:cs="仿宋_GB2312" w:eastAsia="仿宋_GB2312"/>
                      <w:sz w:val="24"/>
                      <w:b/>
                    </w:rPr>
                    <w:t>5G/6G、卫星通信的终端仿真需求，要求如下：</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模块</w:t>
                  </w:r>
                  <w:r>
                    <w:rPr>
                      <w:rFonts w:ascii="仿宋_GB2312" w:hAnsi="仿宋_GB2312" w:cs="仿宋_GB2312" w:eastAsia="仿宋_GB2312"/>
                      <w:sz w:val="24"/>
                    </w:rPr>
                    <w:t>个数</w:t>
                  </w:r>
                  <w:r>
                    <w:rPr>
                      <w:rFonts w:ascii="仿宋_GB2312" w:hAnsi="仿宋_GB2312" w:cs="仿宋_GB2312" w:eastAsia="仿宋_GB2312"/>
                      <w:sz w:val="24"/>
                    </w:rPr>
                    <w:t>≥10个；</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射频频率覆盖范围</w:t>
                  </w:r>
                  <w:r>
                    <w:rPr>
                      <w:rFonts w:ascii="仿宋_GB2312" w:hAnsi="仿宋_GB2312" w:cs="仿宋_GB2312" w:eastAsia="仿宋_GB2312"/>
                      <w:sz w:val="24"/>
                    </w:rPr>
                    <w:t>：</w:t>
                  </w:r>
                  <w:r>
                    <w:rPr>
                      <w:rFonts w:ascii="仿宋_GB2312" w:hAnsi="仿宋_GB2312" w:cs="仿宋_GB2312" w:eastAsia="仿宋_GB2312"/>
                      <w:sz w:val="24"/>
                    </w:rPr>
                    <w:t>不低于</w:t>
                  </w:r>
                  <w:r>
                    <w:rPr>
                      <w:rFonts w:ascii="仿宋_GB2312" w:hAnsi="仿宋_GB2312" w:cs="仿宋_GB2312" w:eastAsia="仿宋_GB2312"/>
                      <w:sz w:val="24"/>
                    </w:rPr>
                    <w:t>70MHz～6GHz；</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最大瞬时带宽</w:t>
                  </w:r>
                  <w:r>
                    <w:rPr>
                      <w:rFonts w:ascii="仿宋_GB2312" w:hAnsi="仿宋_GB2312" w:cs="仿宋_GB2312" w:eastAsia="仿宋_GB2312"/>
                      <w:sz w:val="24"/>
                    </w:rPr>
                    <w:t>≥50MHz；</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模块至少</w:t>
                  </w:r>
                  <w:r>
                    <w:rPr>
                      <w:rFonts w:ascii="仿宋_GB2312" w:hAnsi="仿宋_GB2312" w:cs="仿宋_GB2312" w:eastAsia="仿宋_GB2312"/>
                      <w:sz w:val="24"/>
                    </w:rPr>
                    <w:t>≥1路接收通道和≥1路发送通道；</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模块支持开源软件</w:t>
                  </w:r>
                  <w:r>
                    <w:rPr>
                      <w:rFonts w:ascii="仿宋_GB2312" w:hAnsi="仿宋_GB2312" w:cs="仿宋_GB2312" w:eastAsia="仿宋_GB2312"/>
                      <w:sz w:val="24"/>
                    </w:rPr>
                    <w:t>GNU Radio、LabVIEW图形化编程、Matlab等开发环境，支持二次开发；</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两台工作站，支持硬件加速功能，配置要求不低于：</w:t>
                  </w:r>
                </w:p>
                <w:p>
                  <w:pPr>
                    <w:pStyle w:val="null3"/>
                    <w:ind w:firstLine="480"/>
                  </w:pPr>
                  <w:r>
                    <w:rPr>
                      <w:rFonts w:ascii="仿宋_GB2312" w:hAnsi="仿宋_GB2312" w:cs="仿宋_GB2312" w:eastAsia="仿宋_GB2312"/>
                      <w:sz w:val="24"/>
                    </w:rPr>
                    <w:t>6.1处理器主频:≥3.2GHz；</w:t>
                  </w:r>
                </w:p>
                <w:p>
                  <w:pPr>
                    <w:pStyle w:val="null3"/>
                    <w:ind w:firstLine="480"/>
                  </w:pPr>
                  <w:r>
                    <w:rPr>
                      <w:rFonts w:ascii="仿宋_GB2312" w:hAnsi="仿宋_GB2312" w:cs="仿宋_GB2312" w:eastAsia="仿宋_GB2312"/>
                      <w:sz w:val="24"/>
                    </w:rPr>
                    <w:t>6.2内核数量:≥16；</w:t>
                  </w:r>
                </w:p>
                <w:p>
                  <w:pPr>
                    <w:pStyle w:val="null3"/>
                    <w:ind w:firstLine="480"/>
                  </w:pPr>
                  <w:r>
                    <w:rPr>
                      <w:rFonts w:ascii="仿宋_GB2312" w:hAnsi="仿宋_GB2312" w:cs="仿宋_GB2312" w:eastAsia="仿宋_GB2312"/>
                      <w:sz w:val="24"/>
                    </w:rPr>
                    <w:t>6.3服务器内存:≥32GB；</w:t>
                  </w:r>
                </w:p>
                <w:p>
                  <w:pPr>
                    <w:pStyle w:val="null3"/>
                    <w:ind w:firstLine="480"/>
                  </w:pPr>
                  <w:r>
                    <w:rPr>
                      <w:rFonts w:ascii="仿宋_GB2312" w:hAnsi="仿宋_GB2312" w:cs="仿宋_GB2312" w:eastAsia="仿宋_GB2312"/>
                      <w:sz w:val="24"/>
                    </w:rPr>
                    <w:t>6.4硬盘容量：≥2TB固态硬盘；</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提供</w:t>
                  </w:r>
                  <w:r>
                    <w:rPr>
                      <w:rFonts w:ascii="仿宋_GB2312" w:hAnsi="仿宋_GB2312" w:cs="仿宋_GB2312" w:eastAsia="仿宋_GB2312"/>
                      <w:sz w:val="24"/>
                    </w:rPr>
                    <w:t>基于《通信原理》实验指导书和实验代码，内容包括白噪声、频率调制、幅度调制、哈夫曼编码、相移键控等；提供高阶扩展实验《通信创新实践》实验指导书和实验代码，内容包括</w:t>
                  </w:r>
                  <w:r>
                    <w:rPr>
                      <w:rFonts w:ascii="仿宋_GB2312" w:hAnsi="仿宋_GB2312" w:cs="仿宋_GB2312" w:eastAsia="仿宋_GB2312"/>
                      <w:sz w:val="24"/>
                    </w:rPr>
                    <w:t>FM收音机、无线汽车钥匙、私人电台等；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多节点通信终端模块支持搭建</w:t>
                  </w:r>
                  <w:r>
                    <w:rPr>
                      <w:rFonts w:ascii="仿宋_GB2312" w:hAnsi="仿宋_GB2312" w:cs="仿宋_GB2312" w:eastAsia="仿宋_GB2312"/>
                      <w:sz w:val="24"/>
                    </w:rPr>
                    <w:t>DVB端到端半实物通信平台，支持二次开发；提供《</w:t>
                  </w:r>
                  <w:r>
                    <w:rPr>
                      <w:rFonts w:ascii="仿宋_GB2312" w:hAnsi="仿宋_GB2312" w:cs="仿宋_GB2312" w:eastAsia="仿宋_GB2312"/>
                      <w:sz w:val="24"/>
                    </w:rPr>
                    <w:t>卫星通信实验</w:t>
                  </w:r>
                  <w:r>
                    <w:rPr>
                      <w:rFonts w:ascii="仿宋_GB2312" w:hAnsi="仿宋_GB2312" w:cs="仿宋_GB2312" w:eastAsia="仿宋_GB2312"/>
                      <w:sz w:val="24"/>
                    </w:rPr>
                    <w:t>》并配套实验指导书，包含</w:t>
                  </w:r>
                  <w:r>
                    <w:rPr>
                      <w:rFonts w:ascii="仿宋_GB2312" w:hAnsi="仿宋_GB2312" w:cs="仿宋_GB2312" w:eastAsia="仿宋_GB2312"/>
                      <w:sz w:val="24"/>
                    </w:rPr>
                    <w:t>DVB-S2</w:t>
                  </w:r>
                  <w:r>
                    <w:rPr>
                      <w:rFonts w:ascii="仿宋_GB2312" w:hAnsi="仿宋_GB2312" w:cs="仿宋_GB2312" w:eastAsia="仿宋_GB2312"/>
                      <w:sz w:val="24"/>
                    </w:rPr>
                    <w:t>波形生成、</w:t>
                  </w:r>
                  <w:r>
                    <w:rPr>
                      <w:rFonts w:ascii="仿宋_GB2312" w:hAnsi="仿宋_GB2312" w:cs="仿宋_GB2312" w:eastAsia="仿宋_GB2312"/>
                      <w:sz w:val="24"/>
                    </w:rPr>
                    <w:t>相偏纠正</w:t>
                  </w:r>
                  <w:r>
                    <w:rPr>
                      <w:rFonts w:ascii="仿宋_GB2312" w:hAnsi="仿宋_GB2312" w:cs="仿宋_GB2312" w:eastAsia="仿宋_GB2312"/>
                      <w:sz w:val="24"/>
                    </w:rPr>
                    <w:t>、</w:t>
                  </w:r>
                  <w:r>
                    <w:rPr>
                      <w:rFonts w:ascii="仿宋_GB2312" w:hAnsi="仿宋_GB2312" w:cs="仿宋_GB2312" w:eastAsia="仿宋_GB2312"/>
                      <w:sz w:val="24"/>
                    </w:rPr>
                    <w:t>频偏纠正</w:t>
                  </w:r>
                  <w:r>
                    <w:rPr>
                      <w:rFonts w:ascii="仿宋_GB2312" w:hAnsi="仿宋_GB2312" w:cs="仿宋_GB2312" w:eastAsia="仿宋_GB2312"/>
                      <w:sz w:val="24"/>
                    </w:rPr>
                    <w:t>等内容。</w:t>
                  </w:r>
                </w:p>
              </w:tc>
              <w:tc>
                <w:tcPr>
                  <w:tcW w:type="dxa" w:w="7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1.提供配套附件，包括但不限于全向天线20根、射频线缆20根等</w:t>
                  </w:r>
                  <w:r>
                    <w:rPr>
                      <w:rFonts w:ascii="仿宋_GB2312" w:hAnsi="仿宋_GB2312" w:cs="仿宋_GB2312" w:eastAsia="仿宋_GB2312"/>
                      <w:sz w:val="24"/>
                    </w:rPr>
                    <w:t>；</w:t>
                  </w:r>
                </w:p>
                <w:p>
                  <w:pPr>
                    <w:pStyle w:val="null3"/>
                  </w:pPr>
                  <w:r>
                    <w:rPr>
                      <w:rFonts w:ascii="仿宋_GB2312" w:hAnsi="仿宋_GB2312" w:cs="仿宋_GB2312" w:eastAsia="仿宋_GB2312"/>
                      <w:sz w:val="24"/>
                    </w:rPr>
                    <w:t>2.提供配套实验指导书相关教案和源代码。</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1套</w:t>
                  </w:r>
                </w:p>
              </w:tc>
            </w:tr>
            <w:tr>
              <w:tc>
                <w:tcPr>
                  <w:tcW w:type="dxa" w:w="318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备注：</w:t>
                  </w:r>
                  <w:r>
                    <w:rPr>
                      <w:rFonts w:ascii="仿宋_GB2312" w:hAnsi="仿宋_GB2312" w:cs="仿宋_GB2312" w:eastAsia="仿宋_GB2312"/>
                      <w:sz w:val="24"/>
                    </w:rPr>
                    <w:t>各供应商拟投的产品参数必须全部满足本项目采购需求中的技术参数，否则视为未实质性响应。</w:t>
                  </w:r>
                  <w:r>
                    <w:rPr>
                      <w:rFonts w:ascii="仿宋_GB2312" w:hAnsi="仿宋_GB2312" w:cs="仿宋_GB2312" w:eastAsia="仿宋_GB2312"/>
                      <w:sz w:val="24"/>
                    </w:rPr>
                    <w:t>技术标准中标记</w:t>
                  </w:r>
                  <w:r>
                    <w:rPr>
                      <w:rFonts w:ascii="仿宋_GB2312" w:hAnsi="仿宋_GB2312" w:cs="仿宋_GB2312" w:eastAsia="仿宋_GB2312"/>
                      <w:sz w:val="24"/>
                    </w:rPr>
                    <w:t>“★”</w:t>
                  </w:r>
                  <w:r>
                    <w:rPr>
                      <w:rFonts w:ascii="仿宋_GB2312" w:hAnsi="仿宋_GB2312" w:cs="仿宋_GB2312" w:eastAsia="仿宋_GB2312"/>
                      <w:sz w:val="24"/>
                    </w:rPr>
                    <w:t>项至少须提供下列证明材料之一：</w:t>
                  </w:r>
                  <w:r>
                    <w:rPr>
                      <w:rFonts w:ascii="仿宋_GB2312" w:hAnsi="仿宋_GB2312" w:cs="仿宋_GB2312" w:eastAsia="仿宋_GB2312"/>
                      <w:sz w:val="24"/>
                    </w:rPr>
                    <w:t>①产品说明书；②产品检测报告；③产品彩页；④产品截图；⑤官方网页截图</w:t>
                  </w:r>
                  <w:r>
                    <w:rPr>
                      <w:rFonts w:ascii="仿宋_GB2312" w:hAnsi="仿宋_GB2312" w:cs="仿宋_GB2312" w:eastAsia="仿宋_GB2312"/>
                      <w:sz w:val="24"/>
                    </w:rPr>
                    <w:t>等</w:t>
                  </w:r>
                  <w:r>
                    <w:rPr>
                      <w:rFonts w:ascii="仿宋_GB2312" w:hAnsi="仿宋_GB2312" w:cs="仿宋_GB2312" w:eastAsia="仿宋_GB2312"/>
                      <w:sz w:val="24"/>
                    </w:rPr>
                    <w:t>，供应商应在响应文件中给出明确的证明材料索引，未提供有效证明材料或证明材料中内容与所填报指标不一致的或缺项、漏项的，将视为此条不满足，视同负偏离处理。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自合同签订之日起45个工作日完成供货、安装及调试。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1.采购人使用单位初验合格后提出验收申请，学校相关部门根据使用单位 技术验收结果，组织有关专家进行货物的最终验收。 2.其他要求详见合同文本。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自验收合格之日起3年；终身服务；软件免费升级，硬件优惠升级；负责提供供货范围内所有设备的技术文件和操作维护手册；对于保质期内仪器出现的非人为因素故障，提供的备件及维修服务不收取费用。设备故障报修后24小时内响应，质保期后供货商应负责上门维修。 2.售后服务要求：即时响应（包括电话响应）；电话响应无法解决12小时内到达现场。修复时间24小时内解决；如在48小时内无法修复，则提供部件冗余服务或采取应急措施，提供相同产品或不低于故障产品规格档次的备用产品供采购人使用，以确保货物的正常使用。 3.成交供应商须免费提供一次移机服务。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1.谈判保证金注意事项：（1）谈判保证金须从供应商户名支付，如从个人 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响应报价是否超过竞争性谈判文件中规定的预算金额或者最高限价</w:t>
            </w:r>
          </w:p>
        </w:tc>
        <w:tc>
          <w:tcPr>
            <w:tcW w:type="dxa" w:w="3322"/>
          </w:tcPr>
          <w:p>
            <w:pPr>
              <w:pStyle w:val="null3"/>
            </w:pPr>
            <w:r>
              <w:rPr>
                <w:rFonts w:ascii="仿宋_GB2312" w:hAnsi="仿宋_GB2312" w:cs="仿宋_GB2312" w:eastAsia="仿宋_GB2312"/>
              </w:rPr>
              <w:t>每轮响应报价未超过竞争性谈判文件中规定的预算金额或者最高限价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响应文件是否按照招标文件要求签署、盖章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实施方案.docx 资格证明材料.docx 响应函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