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9534FF">
      <w:pPr>
        <w:pStyle w:val="6"/>
        <w:jc w:val="center"/>
        <w:outlineLvl w:val="1"/>
        <w:rPr>
          <w:rFonts w:hint="eastAsia" w:ascii="仿宋" w:hAnsi="仿宋" w:eastAsia="仿宋" w:cs="仿宋"/>
          <w:highlight w:val="none"/>
        </w:rPr>
      </w:pPr>
      <w:r>
        <w:rPr>
          <w:rFonts w:hint="eastAsia" w:ascii="仿宋" w:hAnsi="仿宋" w:eastAsia="仿宋" w:cs="仿宋"/>
          <w:b/>
          <w:sz w:val="36"/>
          <w:highlight w:val="none"/>
        </w:rPr>
        <w:t xml:space="preserve"> 拟签订采购合同文本</w:t>
      </w:r>
    </w:p>
    <w:p w14:paraId="02717423">
      <w:pPr>
        <w:spacing w:line="480" w:lineRule="auto"/>
        <w:ind w:firstLine="400" w:firstLineChars="20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（本合同为合同样稿，最终稿由双方协商后确定）</w:t>
      </w:r>
    </w:p>
    <w:p w14:paraId="522F8CC3">
      <w:pPr>
        <w:keepNext w:val="0"/>
        <w:keepLines w:val="0"/>
        <w:pageBreakBefore w:val="0"/>
        <w:widowControl w:val="0"/>
        <w:kinsoku/>
        <w:wordWrap/>
        <w:overflowPunct/>
        <w:topLinePunct w:val="0"/>
        <w:bidi w:val="0"/>
        <w:adjustRightInd/>
        <w:snapToGrid/>
        <w:spacing w:line="360" w:lineRule="auto"/>
        <w:ind w:firstLine="402" w:firstLineChars="200"/>
        <w:textAlignment w:val="auto"/>
        <w:rPr>
          <w:rFonts w:hint="eastAsia" w:ascii="仿宋" w:hAnsi="仿宋" w:eastAsia="仿宋" w:cs="仿宋"/>
          <w:b/>
          <w:color w:val="000000"/>
          <w:sz w:val="20"/>
          <w:szCs w:val="20"/>
          <w:highlight w:val="none"/>
        </w:rPr>
      </w:pPr>
      <w:bookmarkStart w:id="0" w:name="_Hlt503233640"/>
      <w:bookmarkEnd w:id="0"/>
      <w:r>
        <w:rPr>
          <w:rFonts w:hint="eastAsia" w:ascii="仿宋" w:hAnsi="仿宋" w:eastAsia="仿宋" w:cs="仿宋"/>
          <w:b/>
          <w:color w:val="000000"/>
          <w:sz w:val="20"/>
          <w:szCs w:val="20"/>
          <w:highlight w:val="none"/>
          <w:lang w:val="en-US" w:eastAsia="zh-CN"/>
        </w:rPr>
        <w:t>甲方</w:t>
      </w:r>
      <w:r>
        <w:rPr>
          <w:rFonts w:hint="eastAsia" w:ascii="仿宋" w:hAnsi="仿宋" w:eastAsia="仿宋" w:cs="仿宋"/>
          <w:b/>
          <w:color w:val="000000"/>
          <w:sz w:val="20"/>
          <w:szCs w:val="20"/>
          <w:highlight w:val="none"/>
        </w:rPr>
        <w:t>（</w:t>
      </w:r>
      <w:r>
        <w:rPr>
          <w:rFonts w:hint="eastAsia" w:ascii="仿宋" w:hAnsi="仿宋" w:eastAsia="仿宋" w:cs="仿宋"/>
          <w:b/>
          <w:color w:val="000000"/>
          <w:sz w:val="20"/>
          <w:szCs w:val="20"/>
          <w:highlight w:val="none"/>
          <w:lang w:val="en-US" w:eastAsia="zh-CN"/>
        </w:rPr>
        <w:t>采购人</w:t>
      </w:r>
      <w:r>
        <w:rPr>
          <w:rFonts w:hint="eastAsia" w:ascii="仿宋" w:hAnsi="仿宋" w:eastAsia="仿宋" w:cs="仿宋"/>
          <w:b/>
          <w:color w:val="000000"/>
          <w:sz w:val="20"/>
          <w:szCs w:val="20"/>
          <w:highlight w:val="none"/>
        </w:rPr>
        <w:t>全称）：</w:t>
      </w:r>
      <w:r>
        <w:rPr>
          <w:rFonts w:hint="eastAsia" w:ascii="仿宋" w:hAnsi="仿宋" w:eastAsia="仿宋" w:cs="仿宋"/>
          <w:b/>
          <w:color w:val="000000"/>
          <w:sz w:val="20"/>
          <w:szCs w:val="20"/>
          <w:highlight w:val="none"/>
          <w:u w:val="single"/>
        </w:rPr>
        <w:t xml:space="preserve">  </w:t>
      </w:r>
      <w:r>
        <w:rPr>
          <w:rFonts w:hint="eastAsia" w:ascii="仿宋" w:hAnsi="仿宋" w:eastAsia="仿宋" w:cs="仿宋"/>
          <w:b/>
          <w:color w:val="000000"/>
          <w:sz w:val="20"/>
          <w:szCs w:val="20"/>
          <w:highlight w:val="none"/>
          <w:u w:val="single"/>
          <w:lang w:val="en-US" w:eastAsia="zh-CN"/>
        </w:rPr>
        <w:t xml:space="preserve"> </w:t>
      </w:r>
      <w:r>
        <w:rPr>
          <w:rFonts w:hint="eastAsia" w:ascii="仿宋" w:hAnsi="仿宋" w:eastAsia="仿宋" w:cs="仿宋"/>
          <w:b/>
          <w:color w:val="000000"/>
          <w:sz w:val="20"/>
          <w:szCs w:val="20"/>
          <w:highlight w:val="none"/>
          <w:u w:val="single"/>
        </w:rPr>
        <w:t xml:space="preserve">          </w:t>
      </w:r>
    </w:p>
    <w:p w14:paraId="2B275DDF">
      <w:pPr>
        <w:keepNext w:val="0"/>
        <w:keepLines w:val="0"/>
        <w:pageBreakBefore w:val="0"/>
        <w:widowControl w:val="0"/>
        <w:kinsoku/>
        <w:wordWrap/>
        <w:overflowPunct/>
        <w:topLinePunct w:val="0"/>
        <w:bidi w:val="0"/>
        <w:adjustRightInd/>
        <w:snapToGrid/>
        <w:spacing w:line="360" w:lineRule="auto"/>
        <w:ind w:firstLine="402" w:firstLineChars="200"/>
        <w:textAlignment w:val="auto"/>
        <w:rPr>
          <w:rFonts w:hint="eastAsia" w:ascii="仿宋" w:hAnsi="仿宋" w:eastAsia="仿宋" w:cs="仿宋"/>
          <w:color w:val="000000"/>
          <w:sz w:val="20"/>
          <w:szCs w:val="20"/>
          <w:u w:val="single"/>
        </w:rPr>
      </w:pPr>
      <w:r>
        <w:rPr>
          <w:rFonts w:hint="eastAsia" w:ascii="仿宋" w:hAnsi="仿宋" w:eastAsia="仿宋" w:cs="仿宋"/>
          <w:b/>
          <w:color w:val="000000"/>
          <w:sz w:val="20"/>
          <w:szCs w:val="20"/>
          <w:lang w:val="en-US" w:eastAsia="zh-CN"/>
        </w:rPr>
        <w:t>乙方</w:t>
      </w:r>
      <w:r>
        <w:rPr>
          <w:rFonts w:hint="eastAsia" w:ascii="仿宋" w:hAnsi="仿宋" w:eastAsia="仿宋" w:cs="仿宋"/>
          <w:b/>
          <w:color w:val="000000"/>
          <w:sz w:val="20"/>
          <w:szCs w:val="20"/>
        </w:rPr>
        <w:t>（</w:t>
      </w:r>
      <w:r>
        <w:rPr>
          <w:rFonts w:hint="eastAsia" w:ascii="仿宋" w:hAnsi="仿宋" w:eastAsia="仿宋" w:cs="仿宋"/>
          <w:b/>
          <w:color w:val="000000"/>
          <w:sz w:val="20"/>
          <w:szCs w:val="20"/>
          <w:lang w:val="en-US" w:eastAsia="zh-CN"/>
        </w:rPr>
        <w:t>成交供应商</w:t>
      </w:r>
      <w:r>
        <w:rPr>
          <w:rFonts w:hint="eastAsia" w:ascii="仿宋" w:hAnsi="仿宋" w:eastAsia="仿宋" w:cs="仿宋"/>
          <w:b/>
          <w:color w:val="000000"/>
          <w:sz w:val="20"/>
          <w:szCs w:val="20"/>
        </w:rPr>
        <w:t>全称）：</w:t>
      </w:r>
      <w:r>
        <w:rPr>
          <w:rFonts w:hint="eastAsia" w:ascii="仿宋" w:hAnsi="仿宋" w:eastAsia="仿宋" w:cs="仿宋"/>
          <w:b/>
          <w:color w:val="000000"/>
          <w:sz w:val="20"/>
          <w:szCs w:val="20"/>
          <w:u w:val="single"/>
        </w:rPr>
        <w:t xml:space="preserve">  </w:t>
      </w:r>
      <w:r>
        <w:rPr>
          <w:rFonts w:hint="eastAsia" w:ascii="仿宋" w:hAnsi="仿宋" w:eastAsia="仿宋" w:cs="仿宋"/>
          <w:b/>
          <w:color w:val="000000"/>
          <w:sz w:val="20"/>
          <w:szCs w:val="20"/>
          <w:u w:val="single"/>
          <w:lang w:val="en-US" w:eastAsia="zh-CN"/>
        </w:rPr>
        <w:t xml:space="preserve"> </w:t>
      </w:r>
      <w:r>
        <w:rPr>
          <w:rFonts w:hint="eastAsia" w:ascii="仿宋" w:hAnsi="仿宋" w:eastAsia="仿宋" w:cs="仿宋"/>
          <w:b/>
          <w:color w:val="000000"/>
          <w:sz w:val="20"/>
          <w:szCs w:val="20"/>
          <w:u w:val="single"/>
        </w:rPr>
        <w:t xml:space="preserve">    </w:t>
      </w:r>
      <w:r>
        <w:rPr>
          <w:rFonts w:hint="eastAsia" w:ascii="仿宋" w:hAnsi="仿宋" w:eastAsia="仿宋" w:cs="仿宋"/>
          <w:b/>
          <w:color w:val="000000"/>
          <w:sz w:val="20"/>
          <w:szCs w:val="20"/>
          <w:u w:val="single"/>
          <w:lang w:val="en-US" w:eastAsia="zh-CN"/>
        </w:rPr>
        <w:t xml:space="preserve">     </w:t>
      </w:r>
      <w:r>
        <w:rPr>
          <w:rFonts w:hint="eastAsia" w:ascii="仿宋" w:hAnsi="仿宋" w:eastAsia="仿宋" w:cs="仿宋"/>
          <w:color w:val="000000"/>
          <w:sz w:val="20"/>
          <w:szCs w:val="20"/>
          <w:u w:val="single"/>
        </w:rPr>
        <w:t xml:space="preserve"> </w:t>
      </w:r>
    </w:p>
    <w:p w14:paraId="02CD1FB1">
      <w:pPr>
        <w:keepNext w:val="0"/>
        <w:keepLines w:val="0"/>
        <w:pageBreakBefore w:val="0"/>
        <w:widowControl w:val="0"/>
        <w:kinsoku/>
        <w:wordWrap/>
        <w:overflowPunct/>
        <w:topLinePunct w:val="0"/>
        <w:bidi w:val="0"/>
        <w:adjustRightInd/>
        <w:snapToGrid/>
        <w:spacing w:line="360" w:lineRule="auto"/>
        <w:ind w:firstLine="400" w:firstLineChars="200"/>
        <w:textAlignment w:val="auto"/>
        <w:rPr>
          <w:rFonts w:hint="eastAsia" w:ascii="仿宋" w:hAnsi="仿宋" w:eastAsia="仿宋" w:cs="仿宋"/>
          <w:color w:val="000000" w:themeColor="text1"/>
          <w:sz w:val="20"/>
          <w:szCs w:val="20"/>
          <w:u w:val="single"/>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根据《中华人民共和国民法典》及其他有关法律、法规，遵循平等、自愿、公平和诚信的原则，双方就下述项目范围与相关服务事项协商一致，订立本合同。</w:t>
      </w:r>
    </w:p>
    <w:p w14:paraId="2FC46063">
      <w:pPr>
        <w:keepNext w:val="0"/>
        <w:keepLines w:val="0"/>
        <w:pageBreakBefore w:val="0"/>
        <w:widowControl w:val="0"/>
        <w:kinsoku/>
        <w:wordWrap/>
        <w:overflowPunct/>
        <w:topLinePunct w:val="0"/>
        <w:bidi w:val="0"/>
        <w:adjustRightInd/>
        <w:snapToGrid/>
        <w:spacing w:line="360" w:lineRule="auto"/>
        <w:textAlignment w:val="auto"/>
        <w:outlineLvl w:val="0"/>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一、项目概况</w:t>
      </w:r>
    </w:p>
    <w:p w14:paraId="0809250A">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outlineLvl w:val="9"/>
        <w:rPr>
          <w:rFonts w:hint="eastAsia" w:ascii="仿宋" w:hAnsi="仿宋" w:eastAsia="仿宋" w:cs="仿宋"/>
          <w:color w:val="000000" w:themeColor="text1"/>
          <w:sz w:val="20"/>
          <w:szCs w:val="20"/>
          <w:u w:val="single"/>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1.项目名称</w:t>
      </w:r>
      <w:r>
        <w:rPr>
          <w:rFonts w:hint="eastAsia" w:ascii="仿宋" w:hAnsi="仿宋" w:eastAsia="仿宋" w:cs="仿宋"/>
          <w:color w:val="000000" w:themeColor="text1"/>
          <w:sz w:val="20"/>
          <w:szCs w:val="20"/>
          <w:lang w:eastAsia="zh-CN"/>
          <w14:textFill>
            <w14:solidFill>
              <w14:schemeClr w14:val="tx1"/>
            </w14:solidFill>
          </w14:textFill>
        </w:rPr>
        <w:t>：陕西省人民政府办公厅2025年度网络安全等级保护测评服务</w:t>
      </w:r>
    </w:p>
    <w:p w14:paraId="009212E8">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outlineLvl w:val="9"/>
        <w:rPr>
          <w:rFonts w:hint="eastAsia" w:ascii="仿宋" w:hAnsi="仿宋" w:eastAsia="仿宋" w:cs="仿宋"/>
          <w:color w:val="000000" w:themeColor="text1"/>
          <w:sz w:val="20"/>
          <w:szCs w:val="20"/>
          <w:u w:val="none"/>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2.项目地点</w:t>
      </w:r>
      <w:r>
        <w:rPr>
          <w:rFonts w:hint="eastAsia" w:ascii="仿宋" w:hAnsi="仿宋" w:eastAsia="仿宋" w:cs="仿宋"/>
          <w:color w:val="000000" w:themeColor="text1"/>
          <w:sz w:val="20"/>
          <w:szCs w:val="20"/>
          <w:lang w:eastAsia="zh-CN"/>
          <w14:textFill>
            <w14:solidFill>
              <w14:schemeClr w14:val="tx1"/>
            </w14:solidFill>
          </w14:textFill>
        </w:rPr>
        <w:t>：</w:t>
      </w:r>
      <w:r>
        <w:rPr>
          <w:rFonts w:hint="eastAsia" w:ascii="仿宋" w:hAnsi="仿宋" w:eastAsia="仿宋" w:cs="仿宋"/>
          <w:color w:val="000000" w:themeColor="text1"/>
          <w:sz w:val="20"/>
          <w:szCs w:val="20"/>
          <w:lang w:val="en-US" w:eastAsia="zh-CN"/>
          <w14:textFill>
            <w14:solidFill>
              <w14:schemeClr w14:val="tx1"/>
            </w14:solidFill>
          </w14:textFill>
        </w:rPr>
        <w:t>陕西省西安市</w:t>
      </w:r>
      <w:r>
        <w:rPr>
          <w:rFonts w:hint="eastAsia" w:ascii="仿宋" w:hAnsi="仿宋" w:eastAsia="仿宋" w:cs="仿宋"/>
          <w:color w:val="000000" w:themeColor="text1"/>
          <w:sz w:val="20"/>
          <w:szCs w:val="20"/>
          <w:u w:val="none"/>
          <w:lang w:val="en-US" w:eastAsia="zh-CN"/>
          <w14:textFill>
            <w14:solidFill>
              <w14:schemeClr w14:val="tx1"/>
            </w14:solidFill>
          </w14:textFill>
        </w:rPr>
        <w:t>。</w:t>
      </w:r>
      <w:r>
        <w:rPr>
          <w:rFonts w:hint="eastAsia" w:ascii="仿宋" w:hAnsi="仿宋" w:eastAsia="仿宋" w:cs="仿宋"/>
          <w:color w:val="000000" w:themeColor="text1"/>
          <w:sz w:val="20"/>
          <w:szCs w:val="20"/>
          <w:u w:val="none"/>
          <w14:textFill>
            <w14:solidFill>
              <w14:schemeClr w14:val="tx1"/>
            </w14:solidFill>
          </w14:textFill>
        </w:rPr>
        <w:t xml:space="preserve">                      </w:t>
      </w:r>
      <w:r>
        <w:rPr>
          <w:rFonts w:hint="eastAsia" w:ascii="仿宋" w:hAnsi="仿宋" w:eastAsia="仿宋" w:cs="仿宋"/>
          <w:color w:val="000000" w:themeColor="text1"/>
          <w:sz w:val="20"/>
          <w:szCs w:val="20"/>
          <w:u w:val="none"/>
          <w:lang w:val="en-US" w:eastAsia="zh-CN"/>
          <w14:textFill>
            <w14:solidFill>
              <w14:schemeClr w14:val="tx1"/>
            </w14:solidFill>
          </w14:textFill>
        </w:rPr>
        <w:t xml:space="preserve">   </w:t>
      </w:r>
      <w:r>
        <w:rPr>
          <w:rFonts w:hint="eastAsia" w:ascii="仿宋" w:hAnsi="仿宋" w:eastAsia="仿宋" w:cs="仿宋"/>
          <w:color w:val="000000" w:themeColor="text1"/>
          <w:sz w:val="20"/>
          <w:szCs w:val="20"/>
          <w:u w:val="none"/>
          <w14:textFill>
            <w14:solidFill>
              <w14:schemeClr w14:val="tx1"/>
            </w14:solidFill>
          </w14:textFill>
        </w:rPr>
        <w:t xml:space="preserve">         </w:t>
      </w:r>
    </w:p>
    <w:p w14:paraId="5582A14B">
      <w:pPr>
        <w:pStyle w:val="2"/>
        <w:keepNext w:val="0"/>
        <w:keepLines w:val="0"/>
        <w:pageBreakBefore w:val="0"/>
        <w:widowControl w:val="0"/>
        <w:kinsoku/>
        <w:wordWrap/>
        <w:overflowPunct/>
        <w:topLinePunct w:val="0"/>
        <w:bidi w:val="0"/>
        <w:adjustRightInd/>
        <w:snapToGrid/>
        <w:spacing w:line="360" w:lineRule="auto"/>
        <w:textAlignment w:val="auto"/>
        <w:outlineLvl w:val="9"/>
        <w:rPr>
          <w:rFonts w:hint="eastAsia" w:ascii="仿宋" w:hAnsi="仿宋" w:eastAsia="仿宋" w:cs="仿宋"/>
          <w:color w:val="000000" w:themeColor="text1"/>
          <w:sz w:val="20"/>
          <w:szCs w:val="20"/>
          <w:lang w:val="en-US" w:eastAsia="zh-CN"/>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3.项目</w:t>
      </w:r>
      <w:r>
        <w:rPr>
          <w:rFonts w:hint="eastAsia" w:ascii="仿宋" w:hAnsi="仿宋" w:eastAsia="仿宋" w:cs="仿宋"/>
          <w:color w:val="000000" w:themeColor="text1"/>
          <w:sz w:val="20"/>
          <w:szCs w:val="20"/>
          <w:lang w:eastAsia="zh-CN"/>
          <w14:textFill>
            <w14:solidFill>
              <w14:schemeClr w14:val="tx1"/>
            </w14:solidFill>
          </w14:textFill>
        </w:rPr>
        <w:t>概况：</w:t>
      </w:r>
      <w:r>
        <w:rPr>
          <w:rFonts w:hint="eastAsia" w:ascii="仿宋" w:hAnsi="仿宋" w:eastAsia="仿宋" w:cs="仿宋"/>
          <w:color w:val="000000" w:themeColor="text1"/>
          <w:sz w:val="20"/>
          <w:szCs w:val="20"/>
          <w:lang w:val="en-US" w:eastAsia="zh-CN"/>
          <w14:textFill>
            <w14:solidFill>
              <w14:schemeClr w14:val="tx1"/>
            </w14:solidFill>
          </w14:textFill>
        </w:rPr>
        <w:t>1）服务内容包括：陕西省政府网站集约化省级平台（等保三级）、陕西省人民政府门户网站（等保三级）、陕西省政务值班综合应用系统（等保三级）、陕西省政务值班语音调度系统（等保三级）、陕西省政务值班填报系统（等保二级）、陕西省政务值班综合视频监控系统（等保二级）、省政府鲁迅图书馆妙思文献系统（等保二级）4个三级和3个二级系统的网络安全等级测评服务。</w:t>
      </w:r>
    </w:p>
    <w:p w14:paraId="3223AC23">
      <w:pPr>
        <w:pStyle w:val="2"/>
        <w:keepNext w:val="0"/>
        <w:keepLines w:val="0"/>
        <w:pageBreakBefore w:val="0"/>
        <w:widowControl w:val="0"/>
        <w:kinsoku/>
        <w:wordWrap/>
        <w:overflowPunct/>
        <w:topLinePunct w:val="0"/>
        <w:bidi w:val="0"/>
        <w:adjustRightInd/>
        <w:snapToGrid/>
        <w:spacing w:line="360" w:lineRule="auto"/>
        <w:textAlignment w:val="auto"/>
        <w:outlineLvl w:val="9"/>
        <w:rPr>
          <w:rFonts w:hint="eastAsia" w:ascii="仿宋" w:hAnsi="仿宋" w:eastAsia="仿宋" w:cs="仿宋"/>
          <w:color w:val="000000" w:themeColor="text1"/>
          <w:sz w:val="20"/>
          <w:szCs w:val="20"/>
          <w:lang w:val="en-US" w:eastAsia="zh-CN"/>
          <w14:textFill>
            <w14:solidFill>
              <w14:schemeClr w14:val="tx1"/>
            </w14:solidFill>
          </w14:textFill>
        </w:rPr>
      </w:pPr>
      <w:r>
        <w:rPr>
          <w:rFonts w:hint="eastAsia" w:ascii="仿宋" w:hAnsi="仿宋" w:eastAsia="仿宋" w:cs="仿宋"/>
          <w:color w:val="000000" w:themeColor="text1"/>
          <w:sz w:val="20"/>
          <w:szCs w:val="20"/>
          <w:lang w:val="en-US" w:eastAsia="zh-CN"/>
          <w14:textFill>
            <w14:solidFill>
              <w14:schemeClr w14:val="tx1"/>
            </w14:solidFill>
          </w14:textFill>
        </w:rPr>
        <w:t>（2）技术要求：开展网络安全等级测评服务；依据国家等级保护测评工作标准GB/T22239-2019《信息安全技术网络安全等级保护基本要求》、GB/T28448-2019《信息安全技术网络安全等级保护测评要求》，针对被测系统平台，开展安全物理环境、安全通信网络、安全区域边界、安全计算环境、安全管理中心、安全管理制度、安全管理机构、安全管理人员、安全建设管理、安全运维管理等方面的安全测评活动，分析系统平台存在的安全隐患及风险，出具《网络安全等级保护测评报告》。</w:t>
      </w:r>
    </w:p>
    <w:p w14:paraId="42A9AAE3">
      <w:pPr>
        <w:pStyle w:val="2"/>
        <w:keepNext w:val="0"/>
        <w:keepLines w:val="0"/>
        <w:pageBreakBefore w:val="0"/>
        <w:widowControl w:val="0"/>
        <w:kinsoku/>
        <w:wordWrap/>
        <w:overflowPunct/>
        <w:topLinePunct w:val="0"/>
        <w:bidi w:val="0"/>
        <w:adjustRightInd/>
        <w:snapToGrid/>
        <w:spacing w:line="360" w:lineRule="auto"/>
        <w:textAlignment w:val="auto"/>
        <w:outlineLvl w:val="9"/>
        <w:rPr>
          <w:rFonts w:hint="eastAsia" w:ascii="仿宋" w:hAnsi="仿宋" w:eastAsia="仿宋" w:cs="仿宋"/>
          <w:sz w:val="20"/>
          <w:szCs w:val="20"/>
          <w:lang w:val="en-US" w:eastAsia="zh-CN"/>
        </w:rPr>
      </w:pPr>
      <w:r>
        <w:rPr>
          <w:rFonts w:hint="eastAsia" w:ascii="仿宋" w:hAnsi="仿宋" w:eastAsia="仿宋" w:cs="仿宋"/>
          <w:color w:val="000000"/>
          <w:sz w:val="20"/>
          <w:szCs w:val="20"/>
          <w:lang w:val="en-US" w:eastAsia="zh-CN"/>
        </w:rPr>
        <w:t>4.服务期限：合同签订后4个月内完成等级保护测评工作。</w:t>
      </w:r>
    </w:p>
    <w:p w14:paraId="060998A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仿宋" w:hAnsi="仿宋" w:eastAsia="仿宋" w:cs="仿宋"/>
          <w:b/>
          <w:color w:val="000000"/>
          <w:sz w:val="20"/>
          <w:szCs w:val="20"/>
          <w:lang w:val="en-US" w:eastAsia="zh-CN"/>
        </w:rPr>
      </w:pPr>
      <w:r>
        <w:rPr>
          <w:rFonts w:hint="eastAsia" w:ascii="仿宋" w:hAnsi="仿宋" w:eastAsia="仿宋" w:cs="仿宋"/>
          <w:b/>
          <w:color w:val="000000"/>
          <w:sz w:val="20"/>
          <w:szCs w:val="20"/>
          <w:lang w:val="en-US" w:eastAsia="zh-CN"/>
        </w:rPr>
        <w:t>二、组成本合同的文件</w:t>
      </w:r>
    </w:p>
    <w:p w14:paraId="6102BB71">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outlineLvl w:val="9"/>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1.协议书；</w:t>
      </w:r>
    </w:p>
    <w:p w14:paraId="457E008F">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outlineLvl w:val="9"/>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2.成交通知书、磋商响应文件、磋商文件、澄清、磋商补充文件（或委托书）；</w:t>
      </w:r>
    </w:p>
    <w:p w14:paraId="6CA7AA78">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outlineLvl w:val="9"/>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3.相关服务建议书；</w:t>
      </w:r>
    </w:p>
    <w:p w14:paraId="3D0BC766">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outlineLvl w:val="9"/>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4.附录，</w:t>
      </w:r>
    </w:p>
    <w:p w14:paraId="0A86D5D7">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outlineLvl w:val="9"/>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本合同签订后，双方依法签订的补充协议也是本合同文件的组成部分。</w:t>
      </w:r>
    </w:p>
    <w:p w14:paraId="59AE37E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仿宋" w:hAnsi="仿宋" w:eastAsia="仿宋" w:cs="仿宋"/>
          <w:b/>
          <w:color w:val="000000"/>
          <w:sz w:val="20"/>
          <w:szCs w:val="20"/>
          <w:lang w:val="en-US" w:eastAsia="zh-CN"/>
        </w:rPr>
      </w:pPr>
      <w:r>
        <w:rPr>
          <w:rFonts w:hint="eastAsia" w:ascii="仿宋" w:hAnsi="仿宋" w:eastAsia="仿宋" w:cs="仿宋"/>
          <w:b/>
          <w:color w:val="000000"/>
          <w:sz w:val="20"/>
          <w:szCs w:val="20"/>
          <w:lang w:val="en-US" w:eastAsia="zh-CN"/>
        </w:rPr>
        <w:t>三、服务工作具体要求</w:t>
      </w:r>
    </w:p>
    <w:p w14:paraId="7D9B87BC">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（一）服务内容</w:t>
      </w:r>
    </w:p>
    <w:p w14:paraId="668BB843">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对7个信息系统（陕西省政府网站集约化省级平台、陕西省人民政府门户网站、陕西省政务值班综合应用系统、陕西省政务值班语音调度系统、陕西省政务值班填报系统、陕西省政务值班综合视频监控系统、省政府鲁迅图书馆妙思文献系统）开展网络安全等级保护测评服务。</w:t>
      </w:r>
    </w:p>
    <w:p w14:paraId="04E98260">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1.测评内容主要包括：</w:t>
      </w:r>
    </w:p>
    <w:p w14:paraId="02F8DC4D">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（1）安全物理环境</w:t>
      </w:r>
    </w:p>
    <w:p w14:paraId="53C6AA9E">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测评内容主要包括：物理位置选择、物理访问控制、防盗窃和防破坏、防雷击、防火、防水和防潮、防静电、温湿度控制、电力供应、电磁防护。</w:t>
      </w:r>
    </w:p>
    <w:p w14:paraId="0815067F">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（2）安全通信网络</w:t>
      </w:r>
    </w:p>
    <w:p w14:paraId="164ABD1D">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测评内容主要包括：网络架构、通信传输、可信验证。</w:t>
      </w:r>
    </w:p>
    <w:p w14:paraId="1314FF19">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（3）安全区域边界</w:t>
      </w:r>
    </w:p>
    <w:p w14:paraId="59FAAB50">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测评内容主要包括：边界防护、访问控制、入侵防范、恶意代码和垃圾邮件防范、安全审计、可信验证。</w:t>
      </w:r>
    </w:p>
    <w:p w14:paraId="56C05AFA">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（4）安全计算环境</w:t>
      </w:r>
    </w:p>
    <w:p w14:paraId="66EF310A">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测评内容主要包括：身份鉴别、访问控制、安全审计、入侵防范、恶意代码防范、可信验证、数据完整性、数据保密性、数据备份恢复、剩余信息保护、个人信息保护。</w:t>
      </w:r>
    </w:p>
    <w:p w14:paraId="0B6CC89B">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（5）安全管理中心</w:t>
      </w:r>
    </w:p>
    <w:p w14:paraId="195A2486">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测评内容主要包括：系统管理、审计管理、安全管理、集中管控。</w:t>
      </w:r>
    </w:p>
    <w:p w14:paraId="62E22CB4">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（6）安全管理制度</w:t>
      </w:r>
    </w:p>
    <w:p w14:paraId="040EB4F7">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测评内容主要包括：安全策略、管理制度、制定和发布、评审和修订。</w:t>
      </w:r>
    </w:p>
    <w:p w14:paraId="5AFFA0D8">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（7）安全管理机构</w:t>
      </w:r>
    </w:p>
    <w:p w14:paraId="31F52516">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测评内容主要包括：岗位设置、人员配备、授权和审批、沟通和合作、审核和检查。</w:t>
      </w:r>
    </w:p>
    <w:p w14:paraId="13D2A029">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（8）安全管理人员</w:t>
      </w:r>
    </w:p>
    <w:p w14:paraId="6F64A83D">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测评内容主要包括：人员录用、人员离岗、安全意识教育和培训、外部人员访问管理。</w:t>
      </w:r>
    </w:p>
    <w:p w14:paraId="39148060">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（9）安全建设管理</w:t>
      </w:r>
    </w:p>
    <w:p w14:paraId="7E50A452">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测评内容主要包括：定级和备案、安全方案设计、产品采购和使用、自行软件开发、外包软件开发、工程实施、测试验收、系统交付、等级测评、服务供应商选择。</w:t>
      </w:r>
    </w:p>
    <w:p w14:paraId="72081134">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（10）安全运维管理</w:t>
      </w:r>
    </w:p>
    <w:p w14:paraId="02B45C2B">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测评内容主要包括：环境管理、资产管理、介质管理、设备维护管理、漏洞和风险管理、网络和系统安全管理、恶意代码防范管理、配置管理、密码管理、变更管理、备份与恢复管理、安全事件处置、应急预案管理、外包运维管理。</w:t>
      </w:r>
    </w:p>
    <w:p w14:paraId="30DA4A94">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2.测评依据规范，包括但不限于：</w:t>
      </w:r>
    </w:p>
    <w:p w14:paraId="5FA258F8">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（1）GB/T22239-2019《信息安全技术网络安全等级保护基本要求》</w:t>
      </w:r>
    </w:p>
    <w:p w14:paraId="622886D9">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（2）GB/T28448-2019《信息安全技术网络安全等级保护测评要求》</w:t>
      </w:r>
    </w:p>
    <w:p w14:paraId="00C969C6">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（3）GB17859-1999《计算机信息系统安全保护等级划分准则》</w:t>
      </w:r>
    </w:p>
    <w:p w14:paraId="25F39F82">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（4）GB/T28449-2018《信息安全技术网络安全等级保护测评过程指南》</w:t>
      </w:r>
    </w:p>
    <w:p w14:paraId="0AFF6B62">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（5）GB/T20984-2022《信息安全技术信息安全风险评估方法》</w:t>
      </w:r>
    </w:p>
    <w:p w14:paraId="0B249ECE">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3.结项要求</w:t>
      </w:r>
    </w:p>
    <w:p w14:paraId="66D02646">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本项目结项达到合格标准：</w:t>
      </w:r>
    </w:p>
    <w:p w14:paraId="57B91E4A">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（1）符合国家相关技术标准和规范要求。</w:t>
      </w:r>
    </w:p>
    <w:p w14:paraId="50E32F24">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（2）符合本项目测评合同书要求。</w:t>
      </w:r>
    </w:p>
    <w:p w14:paraId="17D7DD09">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（3）出具《网络安全等级保护测评报告》。</w:t>
      </w:r>
    </w:p>
    <w:p w14:paraId="0A3AABAD">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4.质保及服务</w:t>
      </w:r>
    </w:p>
    <w:p w14:paraId="0FAF65F7">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依据国家相关的法律法规、标准规范、项目招标文件和项目合同书，保证项目实施符合国家、行业技术规范标准，满足项目招标文件的要求。保证工程的总体进度和质量要求，保证工程规范化、科学化和经济性；</w:t>
      </w:r>
    </w:p>
    <w:p w14:paraId="252206DF">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选用先进的检验检测方法，开展检验检测活动；不受来自商业、财政等方面的干预和其他内部和外部的各种压力和影响，确保检验检测行为的公正性；掌握和理解顾客当前和未来的需求，热忱提供优质服务，对客户的投诉要及时受理、认真调查、客观分析、明确责任，按照与客户商定的时间及时出具检验报告；承担检验工作的质量责任和法律责任。</w:t>
      </w:r>
    </w:p>
    <w:p w14:paraId="30CCD7FC">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5.项目完成时间</w:t>
      </w:r>
    </w:p>
    <w:p w14:paraId="3ADB9C87">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合同签订后4个月内完成等级保护测评工作。</w:t>
      </w:r>
    </w:p>
    <w:p w14:paraId="275C893E">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（二）工作成果</w:t>
      </w:r>
    </w:p>
    <w:p w14:paraId="215B984B">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按照《网络安全法》《信息安全等级保护管理办法》《信息安全技术网络安全等级保护基本要求》等法律法规及标准规范要求开展等保测评工作，持续提升信息系统网络安全水平。</w:t>
      </w:r>
    </w:p>
    <w:p w14:paraId="1E470787">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（三）服务要求</w:t>
      </w:r>
    </w:p>
    <w:p w14:paraId="7F6CDEF2">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1.成果交付要求</w:t>
      </w:r>
    </w:p>
    <w:p w14:paraId="0723F9B3">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（1）完成本项目要求信息系统的安全等级保护测评，并提供《信息系统安全等级保护定级备案证明》、《信息系统安全等级测评报告》、《信息系统整改建议书》及《信息系统渗透测试报告》后进行项目验收。</w:t>
      </w:r>
    </w:p>
    <w:p w14:paraId="4AE314E3">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（2）知识产权归属和处理方式:测评过程中形成的各类文档完全属于采购人。</w:t>
      </w:r>
    </w:p>
    <w:p w14:paraId="75558F28">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2.项目完成时间</w:t>
      </w:r>
    </w:p>
    <w:p w14:paraId="41A03961">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合同签订后4个月内完成等级保护测评工作。</w:t>
      </w:r>
    </w:p>
    <w:p w14:paraId="2D6D881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lang w:val="en-US" w:eastAsia="zh-CN"/>
          <w14:textFill>
            <w14:solidFill>
              <w14:schemeClr w14:val="tx1"/>
            </w14:solidFill>
          </w14:textFill>
        </w:rPr>
        <w:t>四</w:t>
      </w:r>
      <w:r>
        <w:rPr>
          <w:rFonts w:hint="eastAsia" w:ascii="仿宋" w:hAnsi="仿宋" w:eastAsia="仿宋" w:cs="仿宋"/>
          <w:b/>
          <w:color w:val="000000" w:themeColor="text1"/>
          <w:sz w:val="20"/>
          <w:szCs w:val="20"/>
          <w14:textFill>
            <w14:solidFill>
              <w14:schemeClr w14:val="tx1"/>
            </w14:solidFill>
          </w14:textFill>
        </w:rPr>
        <w:t>、合同价款</w:t>
      </w:r>
    </w:p>
    <w:p w14:paraId="0B7BA043">
      <w:pPr>
        <w:keepNext w:val="0"/>
        <w:keepLines w:val="0"/>
        <w:pageBreakBefore w:val="0"/>
        <w:widowControl w:val="0"/>
        <w:kinsoku/>
        <w:wordWrap/>
        <w:overflowPunct/>
        <w:topLinePunct w:val="0"/>
        <w:autoSpaceDE/>
        <w:autoSpaceDN/>
        <w:bidi w:val="0"/>
        <w:adjustRightInd/>
        <w:snapToGrid/>
        <w:spacing w:line="360" w:lineRule="auto"/>
        <w:ind w:firstLine="396" w:firstLineChars="198"/>
        <w:jc w:val="left"/>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1.本合同为固定总价合同。</w:t>
      </w:r>
    </w:p>
    <w:p w14:paraId="1F9EFB44">
      <w:pPr>
        <w:keepNext w:val="0"/>
        <w:keepLines w:val="0"/>
        <w:pageBreakBefore w:val="0"/>
        <w:widowControl w:val="0"/>
        <w:kinsoku/>
        <w:wordWrap/>
        <w:overflowPunct/>
        <w:topLinePunct w:val="0"/>
        <w:autoSpaceDE/>
        <w:autoSpaceDN/>
        <w:bidi w:val="0"/>
        <w:adjustRightInd/>
        <w:snapToGrid/>
        <w:spacing w:line="360" w:lineRule="auto"/>
        <w:ind w:firstLine="396" w:firstLineChars="198"/>
        <w:jc w:val="left"/>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2</w:t>
      </w:r>
      <w:r>
        <w:rPr>
          <w:rFonts w:hint="eastAsia" w:ascii="仿宋" w:hAnsi="仿宋" w:eastAsia="仿宋" w:cs="仿宋"/>
          <w:color w:val="000000"/>
          <w:sz w:val="20"/>
          <w:szCs w:val="20"/>
        </w:rPr>
        <w:t>.合同金额（大写）：</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u w:val="single"/>
          <w:lang w:val="en-US" w:eastAsia="zh-CN"/>
        </w:rPr>
        <w:t xml:space="preserve">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u w:val="single"/>
          <w:lang w:val="en-US" w:eastAsia="zh-CN"/>
        </w:rPr>
        <w:t xml:space="preserve"> </w:t>
      </w: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u w:val="single"/>
          <w:lang w:val="en-US" w:eastAsia="zh-CN"/>
        </w:rPr>
        <w:t xml:space="preserve">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元）。</w:t>
      </w:r>
    </w:p>
    <w:p w14:paraId="6CAC1C70">
      <w:pPr>
        <w:keepNext w:val="0"/>
        <w:keepLines w:val="0"/>
        <w:pageBreakBefore w:val="0"/>
        <w:widowControl w:val="0"/>
        <w:kinsoku/>
        <w:wordWrap/>
        <w:overflowPunct/>
        <w:topLinePunct w:val="0"/>
        <w:autoSpaceDE/>
        <w:autoSpaceDN/>
        <w:bidi w:val="0"/>
        <w:adjustRightInd/>
        <w:snapToGrid/>
        <w:spacing w:line="360" w:lineRule="auto"/>
        <w:ind w:firstLine="396" w:firstLineChars="198"/>
        <w:textAlignment w:val="auto"/>
        <w:outlineLvl w:val="9"/>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3</w:t>
      </w:r>
      <w:r>
        <w:rPr>
          <w:rFonts w:hint="eastAsia" w:ascii="仿宋" w:hAnsi="仿宋" w:eastAsia="仿宋" w:cs="仿宋"/>
          <w:color w:val="000000"/>
          <w:sz w:val="20"/>
          <w:szCs w:val="20"/>
        </w:rPr>
        <w:t>.合同总价即成交价，不受市场价变化或实际工作量变化的影响。</w:t>
      </w:r>
    </w:p>
    <w:p w14:paraId="19B68DFC">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仿宋" w:hAnsi="仿宋" w:eastAsia="仿宋" w:cs="仿宋"/>
          <w:b/>
          <w:sz w:val="20"/>
          <w:szCs w:val="20"/>
          <w:lang w:eastAsia="zh-CN"/>
        </w:rPr>
      </w:pPr>
      <w:r>
        <w:rPr>
          <w:rFonts w:hint="eastAsia" w:ascii="仿宋" w:hAnsi="仿宋" w:eastAsia="仿宋" w:cs="仿宋"/>
          <w:b/>
          <w:color w:val="000000"/>
          <w:sz w:val="20"/>
          <w:szCs w:val="20"/>
          <w:lang w:val="en-US" w:eastAsia="zh-CN"/>
        </w:rPr>
        <w:t>五</w:t>
      </w:r>
      <w:r>
        <w:rPr>
          <w:rFonts w:hint="eastAsia" w:ascii="仿宋" w:hAnsi="仿宋" w:eastAsia="仿宋" w:cs="仿宋"/>
          <w:b/>
          <w:sz w:val="20"/>
          <w:szCs w:val="20"/>
        </w:rPr>
        <w:t>、项目实施地点：</w:t>
      </w:r>
      <w:r>
        <w:rPr>
          <w:rFonts w:hint="eastAsia" w:ascii="仿宋" w:hAnsi="仿宋" w:eastAsia="仿宋" w:cs="仿宋"/>
          <w:bCs/>
          <w:sz w:val="20"/>
          <w:szCs w:val="20"/>
          <w:lang w:val="en-US" w:eastAsia="zh-CN"/>
        </w:rPr>
        <w:t>甲方</w:t>
      </w:r>
      <w:r>
        <w:rPr>
          <w:rFonts w:hint="eastAsia" w:ascii="仿宋" w:hAnsi="仿宋" w:eastAsia="仿宋" w:cs="仿宋"/>
          <w:bCs/>
          <w:sz w:val="20"/>
          <w:szCs w:val="20"/>
        </w:rPr>
        <w:t>指定地点</w:t>
      </w:r>
      <w:r>
        <w:rPr>
          <w:rFonts w:hint="eastAsia" w:ascii="仿宋" w:hAnsi="仿宋" w:eastAsia="仿宋" w:cs="仿宋"/>
          <w:bCs/>
          <w:sz w:val="20"/>
          <w:szCs w:val="20"/>
          <w:lang w:eastAsia="zh-CN"/>
        </w:rPr>
        <w:t>。</w:t>
      </w:r>
    </w:p>
    <w:p w14:paraId="2B2FFC9C">
      <w:pPr>
        <w:keepNext w:val="0"/>
        <w:keepLines w:val="0"/>
        <w:pageBreakBefore w:val="0"/>
        <w:widowControl w:val="0"/>
        <w:kinsoku/>
        <w:wordWrap/>
        <w:overflowPunct/>
        <w:topLinePunct w:val="0"/>
        <w:autoSpaceDE/>
        <w:autoSpaceDN/>
        <w:bidi w:val="0"/>
        <w:adjustRightInd/>
        <w:snapToGrid/>
        <w:spacing w:line="360" w:lineRule="auto"/>
        <w:ind w:left="482" w:hanging="402" w:hangingChars="200"/>
        <w:textAlignment w:val="auto"/>
        <w:outlineLvl w:val="0"/>
        <w:rPr>
          <w:rFonts w:hint="eastAsia" w:ascii="仿宋" w:hAnsi="仿宋" w:eastAsia="仿宋" w:cs="仿宋"/>
          <w:b/>
          <w:sz w:val="20"/>
          <w:szCs w:val="20"/>
          <w:lang w:val="en-US" w:eastAsia="zh-CN"/>
        </w:rPr>
      </w:pPr>
      <w:r>
        <w:rPr>
          <w:rFonts w:hint="eastAsia" w:ascii="仿宋" w:hAnsi="仿宋" w:eastAsia="仿宋" w:cs="仿宋"/>
          <w:b/>
          <w:sz w:val="20"/>
          <w:szCs w:val="20"/>
          <w:lang w:val="en-US" w:eastAsia="zh-CN"/>
        </w:rPr>
        <w:t>六</w:t>
      </w:r>
      <w:r>
        <w:rPr>
          <w:rFonts w:hint="eastAsia" w:ascii="仿宋" w:hAnsi="仿宋" w:eastAsia="仿宋" w:cs="仿宋"/>
          <w:b/>
          <w:sz w:val="20"/>
          <w:szCs w:val="20"/>
        </w:rPr>
        <w:t>、</w:t>
      </w:r>
      <w:r>
        <w:rPr>
          <w:rFonts w:hint="eastAsia" w:ascii="仿宋" w:hAnsi="仿宋" w:eastAsia="仿宋" w:cs="仿宋"/>
          <w:b/>
          <w:sz w:val="20"/>
          <w:szCs w:val="20"/>
          <w:lang w:val="en-US" w:eastAsia="zh-CN"/>
        </w:rPr>
        <w:t>支付方式：</w:t>
      </w:r>
    </w:p>
    <w:p w14:paraId="608DD63A">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（一）付款方式</w:t>
      </w:r>
    </w:p>
    <w:p w14:paraId="29ADF95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600" w:firstLineChars="300"/>
        <w:textAlignment w:val="auto"/>
        <w:rPr>
          <w:rFonts w:hint="eastAsia" w:ascii="仿宋" w:hAnsi="仿宋" w:eastAsia="仿宋" w:cs="仿宋"/>
          <w:sz w:val="20"/>
          <w:szCs w:val="20"/>
          <w:highlight w:val="none"/>
          <w:lang w:val="en-US" w:eastAsia="zh-CN"/>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分期支付，合同签订后支付40%，验收合格后支付60%。</w:t>
      </w:r>
      <w:r>
        <w:rPr>
          <w:rFonts w:hint="eastAsia" w:ascii="仿宋" w:hAnsi="仿宋" w:eastAsia="仿宋" w:cs="仿宋"/>
          <w:sz w:val="20"/>
          <w:szCs w:val="20"/>
          <w:highlight w:val="none"/>
          <w:lang w:val="en-US" w:eastAsia="zh-CN"/>
        </w:rPr>
        <w:t xml:space="preserve"> </w:t>
      </w:r>
    </w:p>
    <w:p w14:paraId="749B75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（二）付款形式：银行转账</w:t>
      </w:r>
    </w:p>
    <w:p w14:paraId="480ED47B">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（三）乙方指定收款信息</w:t>
      </w:r>
    </w:p>
    <w:p w14:paraId="3FDC140A">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 xml:space="preserve">1.名称： </w:t>
      </w:r>
    </w:p>
    <w:p w14:paraId="51A314E7">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 xml:space="preserve">2.纳税人识别号： </w:t>
      </w:r>
    </w:p>
    <w:p w14:paraId="1B19E132">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 xml:space="preserve">3.地址：   </w:t>
      </w:r>
    </w:p>
    <w:p w14:paraId="768CB19F">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0"/>
          <w:szCs w:val="20"/>
          <w:lang w:val="en-US" w:eastAsia="zh-CN"/>
        </w:rPr>
      </w:pPr>
      <w:r>
        <w:rPr>
          <w:rFonts w:hint="eastAsia" w:ascii="仿宋" w:hAnsi="仿宋" w:eastAsia="仿宋" w:cs="仿宋"/>
          <w:color w:val="000000"/>
          <w:kern w:val="0"/>
          <w:sz w:val="20"/>
          <w:szCs w:val="20"/>
          <w:lang w:val="en-US" w:eastAsia="zh-CN" w:bidi="ar-SA"/>
        </w:rPr>
        <w:t xml:space="preserve">4.电话：  </w:t>
      </w:r>
    </w:p>
    <w:p w14:paraId="101479CC">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 xml:space="preserve">5.开户行： </w:t>
      </w:r>
    </w:p>
    <w:p w14:paraId="4D404D59">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 xml:space="preserve">6.银行账号： </w:t>
      </w:r>
    </w:p>
    <w:p w14:paraId="184D2856">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乙方保证其在本合同中提供的账户信息真实、准确、合法、有效。乙方变更上述账户信息的，应当至少提前10个工作日书面告知甲方，由于乙方原因造成甲方付款延迟或不能支付的，甲方不承担逾期付款责任，由乙方自己承担全部责任。</w:t>
      </w:r>
    </w:p>
    <w:p w14:paraId="22441E14">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sz w:val="20"/>
          <w:szCs w:val="20"/>
          <w:lang w:val="en-US" w:eastAsia="zh-CN"/>
        </w:rPr>
      </w:pPr>
      <w:r>
        <w:rPr>
          <w:rFonts w:hint="eastAsia" w:ascii="仿宋" w:hAnsi="仿宋" w:eastAsia="仿宋" w:cs="仿宋"/>
          <w:color w:val="000000"/>
          <w:kern w:val="0"/>
          <w:sz w:val="20"/>
          <w:szCs w:val="20"/>
          <w:lang w:val="en-US" w:eastAsia="zh-CN" w:bidi="ar-SA"/>
        </w:rPr>
        <w:t>（四）甲方每次付款前，乙方须提供符合甲方财务部门要求的等额增值税（专用/普通）发票。否则，甲方有权延迟支付服务费用，且甲方延迟支付行为不应视为违约。</w:t>
      </w:r>
    </w:p>
    <w:p w14:paraId="4C58954C">
      <w:pPr>
        <w:keepNext w:val="0"/>
        <w:keepLines w:val="0"/>
        <w:pageBreakBefore w:val="0"/>
        <w:widowControl w:val="0"/>
        <w:numPr>
          <w:ilvl w:val="0"/>
          <w:numId w:val="0"/>
        </w:numPr>
        <w:wordWrap/>
        <w:overflowPunct/>
        <w:topLinePunct w:val="0"/>
        <w:autoSpaceDE/>
        <w:autoSpaceDN/>
        <w:bidi w:val="0"/>
        <w:adjustRightInd/>
        <w:snapToGrid/>
        <w:spacing w:line="360" w:lineRule="auto"/>
        <w:textAlignment w:val="auto"/>
        <w:outlineLvl w:val="0"/>
        <w:rPr>
          <w:rFonts w:hint="eastAsia" w:ascii="仿宋" w:hAnsi="仿宋" w:eastAsia="仿宋" w:cs="仿宋"/>
          <w:b/>
          <w:color w:val="000000"/>
          <w:sz w:val="20"/>
          <w:szCs w:val="20"/>
        </w:rPr>
      </w:pPr>
      <w:r>
        <w:rPr>
          <w:rFonts w:hint="eastAsia" w:ascii="仿宋" w:hAnsi="仿宋" w:eastAsia="仿宋" w:cs="仿宋"/>
          <w:b/>
          <w:color w:val="000000"/>
          <w:kern w:val="0"/>
          <w:sz w:val="20"/>
          <w:szCs w:val="20"/>
          <w:lang w:val="en-US" w:eastAsia="zh-CN" w:bidi="ar-SA"/>
        </w:rPr>
        <w:t>七、</w:t>
      </w:r>
      <w:r>
        <w:rPr>
          <w:rFonts w:hint="eastAsia" w:ascii="仿宋" w:hAnsi="仿宋" w:eastAsia="仿宋" w:cs="仿宋"/>
          <w:b/>
          <w:color w:val="000000"/>
          <w:sz w:val="20"/>
          <w:szCs w:val="20"/>
        </w:rPr>
        <w:t>质量保证：</w:t>
      </w:r>
    </w:p>
    <w:p w14:paraId="4E5414C6">
      <w:pPr>
        <w:keepNext w:val="0"/>
        <w:keepLines w:val="0"/>
        <w:pageBreakBefore w:val="0"/>
        <w:widowControl w:val="0"/>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1.在服务范围内按工作内容和要求制定详细的方案，方案应科学、合理、合法、可靠。</w:t>
      </w:r>
    </w:p>
    <w:p w14:paraId="0ECEC62A">
      <w:pPr>
        <w:keepNext w:val="0"/>
        <w:keepLines w:val="0"/>
        <w:pageBreakBefore w:val="0"/>
        <w:widowControl w:val="0"/>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lang w:eastAsia="zh-CN"/>
        </w:rPr>
      </w:pPr>
      <w:r>
        <w:rPr>
          <w:rFonts w:hint="eastAsia" w:ascii="仿宋" w:hAnsi="仿宋" w:eastAsia="仿宋" w:cs="仿宋"/>
          <w:sz w:val="20"/>
          <w:szCs w:val="20"/>
        </w:rPr>
        <w:t>2.人员配备合理。有针对本项目的专项服务小组，项目负责人、工作人员分工明确，确保服务质量（应有具体成员名单，包括姓名、工作职责、联系方式等）</w:t>
      </w:r>
      <w:r>
        <w:rPr>
          <w:rFonts w:hint="eastAsia" w:ascii="仿宋" w:hAnsi="仿宋" w:eastAsia="仿宋" w:cs="仿宋"/>
          <w:sz w:val="20"/>
          <w:szCs w:val="20"/>
          <w:lang w:eastAsia="zh-CN"/>
        </w:rPr>
        <w:t>。</w:t>
      </w:r>
    </w:p>
    <w:p w14:paraId="1837A02C">
      <w:pPr>
        <w:keepNext w:val="0"/>
        <w:keepLines w:val="0"/>
        <w:pageBreakBefore w:val="0"/>
        <w:widowControl w:val="0"/>
        <w:wordWrap/>
        <w:overflowPunct/>
        <w:topLinePunct w:val="0"/>
        <w:autoSpaceDE/>
        <w:autoSpaceDN/>
        <w:bidi w:val="0"/>
        <w:adjustRightInd/>
        <w:snapToGrid/>
        <w:spacing w:line="360" w:lineRule="auto"/>
        <w:ind w:firstLine="400" w:firstLineChars="200"/>
        <w:textAlignment w:val="auto"/>
        <w:outlineLvl w:val="9"/>
        <w:rPr>
          <w:rFonts w:hint="eastAsia" w:ascii="仿宋" w:hAnsi="仿宋" w:eastAsia="仿宋" w:cs="仿宋"/>
          <w:sz w:val="20"/>
          <w:szCs w:val="20"/>
        </w:rPr>
      </w:pPr>
      <w:r>
        <w:rPr>
          <w:rFonts w:hint="eastAsia" w:ascii="仿宋" w:hAnsi="仿宋" w:eastAsia="仿宋" w:cs="仿宋"/>
          <w:sz w:val="20"/>
          <w:szCs w:val="20"/>
        </w:rPr>
        <w:t>3.有各类突发事件的应急预案和措施，有明确具体的承诺。</w:t>
      </w:r>
    </w:p>
    <w:p w14:paraId="79C4FE84">
      <w:pPr>
        <w:keepNext w:val="0"/>
        <w:keepLines w:val="0"/>
        <w:pageBreakBefore w:val="0"/>
        <w:widowControl w:val="0"/>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bCs/>
          <w:color w:val="000000"/>
          <w:sz w:val="20"/>
          <w:szCs w:val="20"/>
        </w:rPr>
      </w:pPr>
      <w:r>
        <w:rPr>
          <w:rFonts w:hint="eastAsia" w:ascii="仿宋" w:hAnsi="仿宋" w:eastAsia="仿宋" w:cs="仿宋"/>
          <w:sz w:val="20"/>
          <w:szCs w:val="20"/>
        </w:rPr>
        <w:t>4.</w:t>
      </w:r>
      <w:r>
        <w:rPr>
          <w:rFonts w:hint="eastAsia" w:ascii="仿宋" w:hAnsi="仿宋" w:eastAsia="仿宋" w:cs="仿宋"/>
          <w:sz w:val="20"/>
          <w:szCs w:val="20"/>
          <w:lang w:val="en-US" w:eastAsia="zh-CN"/>
        </w:rPr>
        <w:t>乙方</w:t>
      </w:r>
      <w:r>
        <w:rPr>
          <w:rFonts w:hint="eastAsia" w:ascii="仿宋" w:hAnsi="仿宋" w:eastAsia="仿宋" w:cs="仿宋"/>
          <w:sz w:val="20"/>
          <w:szCs w:val="20"/>
        </w:rPr>
        <w:t>所拟派的工作人员，若在服务期间发生侵害第三方或被第三方侵害</w:t>
      </w:r>
      <w:r>
        <w:rPr>
          <w:rFonts w:hint="eastAsia" w:ascii="仿宋" w:hAnsi="仿宋" w:eastAsia="仿宋" w:cs="仿宋"/>
          <w:sz w:val="20"/>
          <w:szCs w:val="20"/>
          <w:lang w:eastAsia="zh-CN"/>
        </w:rPr>
        <w:t>，</w:t>
      </w:r>
      <w:r>
        <w:rPr>
          <w:rFonts w:hint="eastAsia" w:ascii="仿宋" w:hAnsi="仿宋" w:eastAsia="仿宋" w:cs="仿宋"/>
          <w:sz w:val="20"/>
          <w:szCs w:val="20"/>
          <w:lang w:val="en-US" w:eastAsia="zh-CN"/>
        </w:rPr>
        <w:t>甲方</w:t>
      </w:r>
      <w:r>
        <w:rPr>
          <w:rFonts w:hint="eastAsia" w:ascii="仿宋" w:hAnsi="仿宋" w:eastAsia="仿宋" w:cs="仿宋"/>
          <w:sz w:val="20"/>
          <w:szCs w:val="20"/>
        </w:rPr>
        <w:t>概不负责，由</w:t>
      </w:r>
      <w:r>
        <w:rPr>
          <w:rFonts w:hint="eastAsia" w:ascii="仿宋" w:hAnsi="仿宋" w:eastAsia="仿宋" w:cs="仿宋"/>
          <w:sz w:val="20"/>
          <w:szCs w:val="20"/>
          <w:lang w:val="en-US" w:eastAsia="zh-CN"/>
        </w:rPr>
        <w:t>乙方</w:t>
      </w:r>
      <w:r>
        <w:rPr>
          <w:rFonts w:hint="eastAsia" w:ascii="仿宋" w:hAnsi="仿宋" w:eastAsia="仿宋" w:cs="仿宋"/>
          <w:sz w:val="20"/>
          <w:szCs w:val="20"/>
        </w:rPr>
        <w:t>自行处理并承担相应损失</w:t>
      </w:r>
      <w:r>
        <w:rPr>
          <w:rFonts w:hint="eastAsia" w:ascii="仿宋" w:hAnsi="仿宋" w:eastAsia="仿宋" w:cs="仿宋"/>
          <w:color w:val="000000"/>
          <w:sz w:val="20"/>
          <w:szCs w:val="20"/>
        </w:rPr>
        <w:t>。</w:t>
      </w:r>
    </w:p>
    <w:p w14:paraId="3D5A60B1">
      <w:pPr>
        <w:keepNext w:val="0"/>
        <w:keepLines w:val="0"/>
        <w:pageBreakBefore w:val="0"/>
        <w:widowControl w:val="0"/>
        <w:numPr>
          <w:ilvl w:val="0"/>
          <w:numId w:val="0"/>
        </w:numPr>
        <w:wordWrap/>
        <w:overflowPunct/>
        <w:topLinePunct w:val="0"/>
        <w:autoSpaceDE/>
        <w:autoSpaceDN/>
        <w:bidi w:val="0"/>
        <w:adjustRightInd/>
        <w:snapToGrid/>
        <w:spacing w:line="360" w:lineRule="auto"/>
        <w:textAlignment w:val="auto"/>
        <w:outlineLvl w:val="0"/>
        <w:rPr>
          <w:rFonts w:hint="eastAsia" w:ascii="仿宋" w:hAnsi="仿宋" w:eastAsia="仿宋" w:cs="仿宋"/>
          <w:b/>
          <w:color w:val="000000"/>
          <w:kern w:val="0"/>
          <w:sz w:val="20"/>
          <w:szCs w:val="20"/>
          <w:lang w:val="en-US" w:eastAsia="zh-CN" w:bidi="ar-SA"/>
        </w:rPr>
      </w:pPr>
      <w:r>
        <w:rPr>
          <w:rFonts w:hint="eastAsia" w:ascii="仿宋" w:hAnsi="仿宋" w:eastAsia="仿宋" w:cs="仿宋"/>
          <w:b/>
          <w:color w:val="000000"/>
          <w:kern w:val="0"/>
          <w:sz w:val="20"/>
          <w:szCs w:val="20"/>
          <w:lang w:val="en-US" w:eastAsia="zh-CN" w:bidi="ar-SA"/>
        </w:rPr>
        <w:t>八、甲方权利与义务</w:t>
      </w:r>
    </w:p>
    <w:p w14:paraId="7A6CE1B4">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1.甲方对乙方提供的服务进行指导、监督、检查，对服务效果进行考核。</w:t>
      </w:r>
    </w:p>
    <w:p w14:paraId="570CBA7C">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2.甲方对乙方不称职的服务人员提出调换。</w:t>
      </w:r>
    </w:p>
    <w:p w14:paraId="03D088A0">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3.甲方对乙方拟定下发的书面文件进行审核。</w:t>
      </w:r>
    </w:p>
    <w:p w14:paraId="0954C9C9">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4.甲方按合同约定按时向乙方支付应付款项。</w:t>
      </w:r>
    </w:p>
    <w:p w14:paraId="1496FA4B">
      <w:pPr>
        <w:keepNext w:val="0"/>
        <w:keepLines w:val="0"/>
        <w:pageBreakBefore w:val="0"/>
        <w:widowControl w:val="0"/>
        <w:numPr>
          <w:ilvl w:val="0"/>
          <w:numId w:val="0"/>
        </w:numPr>
        <w:wordWrap/>
        <w:overflowPunct/>
        <w:topLinePunct w:val="0"/>
        <w:autoSpaceDE/>
        <w:autoSpaceDN/>
        <w:bidi w:val="0"/>
        <w:adjustRightInd/>
        <w:snapToGrid/>
        <w:spacing w:line="360" w:lineRule="auto"/>
        <w:textAlignment w:val="auto"/>
        <w:outlineLvl w:val="0"/>
        <w:rPr>
          <w:rFonts w:hint="eastAsia" w:ascii="仿宋" w:hAnsi="仿宋" w:eastAsia="仿宋" w:cs="仿宋"/>
          <w:b/>
          <w:color w:val="000000"/>
          <w:kern w:val="0"/>
          <w:sz w:val="20"/>
          <w:szCs w:val="20"/>
          <w:lang w:val="en-US" w:eastAsia="zh-CN" w:bidi="ar-SA"/>
        </w:rPr>
      </w:pPr>
      <w:r>
        <w:rPr>
          <w:rFonts w:hint="eastAsia" w:ascii="仿宋" w:hAnsi="仿宋" w:eastAsia="仿宋" w:cs="仿宋"/>
          <w:b/>
          <w:color w:val="000000"/>
          <w:kern w:val="0"/>
          <w:sz w:val="20"/>
          <w:szCs w:val="20"/>
          <w:lang w:val="en-US" w:eastAsia="zh-CN" w:bidi="ar-SA"/>
        </w:rPr>
        <w:t>九、乙方权利与义务</w:t>
      </w:r>
    </w:p>
    <w:p w14:paraId="5A0B9CFF">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1.乙方应按照合同要求开展相关工作，并接受甲方指导和监督，在服务过程中切实维护甲方合法权益。</w:t>
      </w:r>
    </w:p>
    <w:p w14:paraId="55A568C0">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2.乙方接受甲方考评。</w:t>
      </w:r>
    </w:p>
    <w:p w14:paraId="3AF1384E">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3.乙方应妥善使用甲方配置的办公物资，合同到期后向甲方移交。</w:t>
      </w:r>
    </w:p>
    <w:p w14:paraId="62C69292">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4.乙方不得以任何形式将本项目转让、分包给其它单位或个人。</w:t>
      </w:r>
    </w:p>
    <w:p w14:paraId="1A3BDDF7">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sz w:val="20"/>
          <w:szCs w:val="20"/>
          <w:lang w:val="en-US" w:eastAsia="zh-CN"/>
        </w:rPr>
      </w:pPr>
      <w:r>
        <w:rPr>
          <w:rFonts w:hint="eastAsia" w:ascii="仿宋" w:hAnsi="仿宋" w:eastAsia="仿宋" w:cs="仿宋"/>
          <w:color w:val="000000"/>
          <w:kern w:val="0"/>
          <w:sz w:val="20"/>
          <w:szCs w:val="20"/>
          <w:lang w:val="en-US" w:eastAsia="zh-CN" w:bidi="ar-SA"/>
        </w:rPr>
        <w:t>5.乙方对甲方提供的数据应遵守相关保密规定，未经甲方授权不得私自流转向第三方，成果验收移交后应主动删除销毁，不得用作其他商业用途。一旦泄密，应视为违约，并需承担相应法律责任。</w:t>
      </w:r>
    </w:p>
    <w:p w14:paraId="14BA79F7">
      <w:pPr>
        <w:pStyle w:val="7"/>
        <w:keepNext w:val="0"/>
        <w:keepLines w:val="0"/>
        <w:pageBreakBefore w:val="0"/>
        <w:widowControl w:val="0"/>
        <w:numPr>
          <w:ilvl w:val="0"/>
          <w:numId w:val="0"/>
        </w:numPr>
        <w:wordWrap/>
        <w:overflowPunct/>
        <w:topLinePunct w:val="0"/>
        <w:autoSpaceDE/>
        <w:autoSpaceDN/>
        <w:bidi w:val="0"/>
        <w:adjustRightInd/>
        <w:snapToGrid/>
        <w:spacing w:line="360" w:lineRule="auto"/>
        <w:ind w:firstLine="0" w:firstLineChars="0"/>
        <w:textAlignment w:val="auto"/>
        <w:outlineLvl w:val="0"/>
        <w:rPr>
          <w:rFonts w:hint="eastAsia" w:ascii="仿宋" w:hAnsi="仿宋" w:eastAsia="仿宋" w:cs="仿宋"/>
          <w:b/>
          <w:color w:val="000000"/>
          <w:sz w:val="20"/>
          <w:szCs w:val="20"/>
        </w:rPr>
      </w:pPr>
      <w:r>
        <w:rPr>
          <w:rFonts w:hint="eastAsia" w:ascii="仿宋" w:hAnsi="仿宋" w:eastAsia="仿宋" w:cs="仿宋"/>
          <w:b/>
          <w:color w:val="000000"/>
          <w:kern w:val="0"/>
          <w:sz w:val="20"/>
          <w:szCs w:val="20"/>
          <w:lang w:val="en-US" w:eastAsia="zh-CN" w:bidi="ar-SA"/>
        </w:rPr>
        <w:t>十、</w:t>
      </w:r>
      <w:r>
        <w:rPr>
          <w:rFonts w:hint="eastAsia" w:ascii="仿宋" w:hAnsi="仿宋" w:eastAsia="仿宋" w:cs="仿宋"/>
          <w:b/>
          <w:color w:val="000000"/>
          <w:sz w:val="20"/>
          <w:szCs w:val="20"/>
        </w:rPr>
        <w:t>安全责任：</w:t>
      </w:r>
    </w:p>
    <w:p w14:paraId="5988F15C">
      <w:pPr>
        <w:pStyle w:val="7"/>
        <w:keepNext w:val="0"/>
        <w:keepLines w:val="0"/>
        <w:pageBreakBefore w:val="0"/>
        <w:widowControl w:val="0"/>
        <w:wordWrap/>
        <w:overflowPunct/>
        <w:topLinePunct w:val="0"/>
        <w:autoSpaceDE/>
        <w:autoSpaceDN/>
        <w:bidi w:val="0"/>
        <w:adjustRightInd/>
        <w:snapToGrid/>
        <w:spacing w:line="360" w:lineRule="auto"/>
        <w:ind w:firstLine="480"/>
        <w:textAlignment w:val="auto"/>
        <w:rPr>
          <w:rFonts w:hint="eastAsia" w:ascii="仿宋" w:hAnsi="仿宋" w:eastAsia="仿宋" w:cs="仿宋"/>
          <w:sz w:val="20"/>
          <w:szCs w:val="20"/>
          <w:lang w:val="zh-CN"/>
        </w:rPr>
      </w:pPr>
      <w:r>
        <w:rPr>
          <w:rFonts w:hint="eastAsia" w:ascii="仿宋" w:hAnsi="仿宋" w:eastAsia="仿宋" w:cs="仿宋"/>
          <w:color w:val="000000"/>
          <w:sz w:val="20"/>
          <w:szCs w:val="20"/>
          <w:lang w:val="zh-CN"/>
        </w:rPr>
        <w:t>乙方应对其工作人员在现场工作期间的一切行为负责，如安全事故责任及因</w:t>
      </w:r>
      <w:r>
        <w:rPr>
          <w:rFonts w:hint="eastAsia" w:ascii="仿宋" w:hAnsi="仿宋" w:eastAsia="仿宋" w:cs="仿宋"/>
          <w:sz w:val="20"/>
          <w:szCs w:val="20"/>
          <w:lang w:val="zh-CN"/>
        </w:rPr>
        <w:t>此发生的人身损害赔偿和其它费用由乙方承担。</w:t>
      </w:r>
    </w:p>
    <w:p w14:paraId="39A6B85A">
      <w:pPr>
        <w:keepNext w:val="0"/>
        <w:keepLines w:val="0"/>
        <w:pageBreakBefore w:val="0"/>
        <w:widowControl w:val="0"/>
        <w:numPr>
          <w:ilvl w:val="0"/>
          <w:numId w:val="0"/>
        </w:numPr>
        <w:wordWrap/>
        <w:overflowPunct/>
        <w:topLinePunct w:val="0"/>
        <w:autoSpaceDE/>
        <w:autoSpaceDN/>
        <w:bidi w:val="0"/>
        <w:adjustRightInd/>
        <w:snapToGrid/>
        <w:spacing w:line="360" w:lineRule="auto"/>
        <w:textAlignment w:val="auto"/>
        <w:outlineLvl w:val="0"/>
        <w:rPr>
          <w:rFonts w:hint="eastAsia" w:ascii="仿宋" w:hAnsi="仿宋" w:eastAsia="仿宋" w:cs="仿宋"/>
          <w:b/>
          <w:sz w:val="20"/>
          <w:szCs w:val="20"/>
        </w:rPr>
      </w:pPr>
      <w:r>
        <w:rPr>
          <w:rFonts w:hint="eastAsia" w:ascii="仿宋" w:hAnsi="仿宋" w:eastAsia="仿宋" w:cs="仿宋"/>
          <w:b/>
          <w:kern w:val="0"/>
          <w:sz w:val="20"/>
          <w:szCs w:val="20"/>
          <w:lang w:val="en-US" w:eastAsia="zh-CN" w:bidi="ar-SA"/>
        </w:rPr>
        <w:t>十一、</w:t>
      </w:r>
      <w:r>
        <w:rPr>
          <w:rFonts w:hint="eastAsia" w:ascii="仿宋" w:hAnsi="仿宋" w:eastAsia="仿宋" w:cs="仿宋"/>
          <w:b/>
          <w:sz w:val="20"/>
          <w:szCs w:val="20"/>
        </w:rPr>
        <w:t>考核验收：</w:t>
      </w:r>
    </w:p>
    <w:p w14:paraId="17BB607B">
      <w:pPr>
        <w:keepNext w:val="0"/>
        <w:keepLines w:val="0"/>
        <w:pageBreakBefore w:val="0"/>
        <w:widowControl w:val="0"/>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FF0000"/>
          <w:sz w:val="20"/>
          <w:szCs w:val="20"/>
        </w:rPr>
      </w:pPr>
      <w:r>
        <w:rPr>
          <w:rFonts w:hint="eastAsia" w:ascii="仿宋" w:hAnsi="仿宋" w:eastAsia="仿宋" w:cs="仿宋"/>
          <w:sz w:val="20"/>
          <w:szCs w:val="20"/>
        </w:rPr>
        <w:t>由</w:t>
      </w:r>
      <w:r>
        <w:rPr>
          <w:rFonts w:hint="eastAsia" w:ascii="仿宋" w:hAnsi="仿宋" w:eastAsia="仿宋" w:cs="仿宋"/>
          <w:sz w:val="20"/>
          <w:szCs w:val="20"/>
          <w:lang w:val="en-US" w:eastAsia="zh-CN"/>
        </w:rPr>
        <w:t>甲方</w:t>
      </w:r>
      <w:r>
        <w:rPr>
          <w:rFonts w:hint="eastAsia" w:ascii="仿宋" w:hAnsi="仿宋" w:eastAsia="仿宋" w:cs="仿宋"/>
          <w:sz w:val="20"/>
          <w:szCs w:val="20"/>
        </w:rPr>
        <w:t>和</w:t>
      </w:r>
      <w:r>
        <w:rPr>
          <w:rFonts w:hint="eastAsia" w:ascii="仿宋" w:hAnsi="仿宋" w:eastAsia="仿宋" w:cs="仿宋"/>
          <w:sz w:val="20"/>
          <w:szCs w:val="20"/>
          <w:lang w:val="en-US" w:eastAsia="zh-CN"/>
        </w:rPr>
        <w:t>乙方</w:t>
      </w:r>
      <w:r>
        <w:rPr>
          <w:rFonts w:hint="eastAsia" w:ascii="仿宋" w:hAnsi="仿宋" w:eastAsia="仿宋" w:cs="仿宋"/>
          <w:sz w:val="20"/>
          <w:szCs w:val="20"/>
        </w:rPr>
        <w:t>共同对项目进行整</w:t>
      </w:r>
      <w:r>
        <w:rPr>
          <w:rFonts w:hint="eastAsia" w:ascii="仿宋" w:hAnsi="仿宋" w:eastAsia="仿宋" w:cs="仿宋"/>
          <w:color w:val="000000" w:themeColor="text1"/>
          <w:sz w:val="20"/>
          <w:szCs w:val="20"/>
          <w14:textFill>
            <w14:solidFill>
              <w14:schemeClr w14:val="tx1"/>
            </w14:solidFill>
          </w14:textFill>
        </w:rPr>
        <w:t>体验收。其内容包括是否按照</w:t>
      </w:r>
      <w:r>
        <w:rPr>
          <w:rFonts w:hint="eastAsia" w:ascii="仿宋" w:hAnsi="仿宋" w:eastAsia="仿宋" w:cs="仿宋"/>
          <w:color w:val="000000" w:themeColor="text1"/>
          <w:sz w:val="20"/>
          <w:szCs w:val="20"/>
          <w:lang w:val="en-US" w:eastAsia="zh-CN"/>
          <w14:textFill>
            <w14:solidFill>
              <w14:schemeClr w14:val="tx1"/>
            </w14:solidFill>
          </w14:textFill>
        </w:rPr>
        <w:t>甲方</w:t>
      </w:r>
      <w:r>
        <w:rPr>
          <w:rFonts w:hint="eastAsia" w:ascii="仿宋" w:hAnsi="仿宋" w:eastAsia="仿宋" w:cs="仿宋"/>
          <w:color w:val="000000" w:themeColor="text1"/>
          <w:sz w:val="20"/>
          <w:szCs w:val="20"/>
          <w14:textFill>
            <w14:solidFill>
              <w14:schemeClr w14:val="tx1"/>
            </w14:solidFill>
          </w14:textFill>
        </w:rPr>
        <w:t>要求进行服务、是否在规定时间内服务完毕。</w:t>
      </w:r>
    </w:p>
    <w:p w14:paraId="32824DF6">
      <w:pPr>
        <w:keepNext w:val="0"/>
        <w:keepLines w:val="0"/>
        <w:pageBreakBefore w:val="0"/>
        <w:widowControl w:val="0"/>
        <w:wordWrap/>
        <w:overflowPunct/>
        <w:topLinePunct w:val="0"/>
        <w:autoSpaceDE/>
        <w:autoSpaceDN/>
        <w:bidi w:val="0"/>
        <w:adjustRightInd/>
        <w:snapToGrid/>
        <w:spacing w:line="360" w:lineRule="auto"/>
        <w:textAlignment w:val="auto"/>
        <w:outlineLvl w:val="0"/>
        <w:rPr>
          <w:rFonts w:hint="eastAsia" w:ascii="仿宋" w:hAnsi="仿宋" w:eastAsia="仿宋" w:cs="仿宋"/>
          <w:b/>
          <w:bCs/>
          <w:sz w:val="20"/>
          <w:szCs w:val="20"/>
        </w:rPr>
      </w:pPr>
      <w:r>
        <w:rPr>
          <w:rFonts w:hint="eastAsia" w:ascii="仿宋" w:hAnsi="仿宋" w:eastAsia="仿宋" w:cs="仿宋"/>
          <w:b/>
          <w:bCs/>
          <w:sz w:val="20"/>
          <w:szCs w:val="20"/>
          <w:lang w:val="en-US" w:eastAsia="zh-CN"/>
        </w:rPr>
        <w:t>十二</w:t>
      </w:r>
      <w:r>
        <w:rPr>
          <w:rFonts w:hint="eastAsia" w:ascii="仿宋" w:hAnsi="仿宋" w:eastAsia="仿宋" w:cs="仿宋"/>
          <w:b/>
          <w:bCs/>
          <w:sz w:val="20"/>
          <w:szCs w:val="20"/>
        </w:rPr>
        <w:t>、保密要求：</w:t>
      </w:r>
    </w:p>
    <w:p w14:paraId="1F2D87E6">
      <w:pPr>
        <w:keepNext w:val="0"/>
        <w:keepLines w:val="0"/>
        <w:pageBreakBefore w:val="0"/>
        <w:widowControl w:val="0"/>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乙方</w:t>
      </w:r>
      <w:r>
        <w:rPr>
          <w:rFonts w:hint="eastAsia" w:ascii="仿宋" w:hAnsi="仿宋" w:eastAsia="仿宋" w:cs="仿宋"/>
          <w:sz w:val="20"/>
          <w:szCs w:val="20"/>
        </w:rPr>
        <w:t>应严格遵守采购单位有关保密规定，不得泄漏一切机密；</w:t>
      </w:r>
    </w:p>
    <w:p w14:paraId="2E867037">
      <w:pPr>
        <w:pStyle w:val="7"/>
        <w:keepNext w:val="0"/>
        <w:keepLines w:val="0"/>
        <w:pageBreakBefore w:val="0"/>
        <w:widowControl w:val="0"/>
        <w:wordWrap/>
        <w:overflowPunct/>
        <w:topLinePunct w:val="0"/>
        <w:autoSpaceDE/>
        <w:autoSpaceDN/>
        <w:bidi w:val="0"/>
        <w:adjustRightInd/>
        <w:snapToGrid/>
        <w:spacing w:line="360" w:lineRule="auto"/>
        <w:ind w:firstLine="480"/>
        <w:textAlignment w:val="auto"/>
        <w:rPr>
          <w:rFonts w:hint="eastAsia" w:ascii="仿宋" w:hAnsi="仿宋" w:eastAsia="仿宋" w:cs="仿宋"/>
          <w:b/>
          <w:color w:val="000000"/>
          <w:sz w:val="20"/>
          <w:szCs w:val="20"/>
        </w:rPr>
      </w:pPr>
      <w:r>
        <w:rPr>
          <w:rFonts w:hint="eastAsia" w:ascii="仿宋" w:hAnsi="仿宋" w:eastAsia="仿宋" w:cs="仿宋"/>
          <w:sz w:val="20"/>
          <w:szCs w:val="20"/>
        </w:rPr>
        <w:t>2.在技术服务期间，</w:t>
      </w:r>
      <w:r>
        <w:rPr>
          <w:rFonts w:hint="eastAsia" w:ascii="仿宋" w:hAnsi="仿宋" w:eastAsia="仿宋" w:cs="仿宋"/>
          <w:sz w:val="20"/>
          <w:szCs w:val="20"/>
          <w:lang w:val="en-US" w:eastAsia="zh-CN"/>
        </w:rPr>
        <w:t>乙方</w:t>
      </w:r>
      <w:r>
        <w:rPr>
          <w:rFonts w:hint="eastAsia" w:ascii="仿宋" w:hAnsi="仿宋" w:eastAsia="仿宋" w:cs="仿宋"/>
          <w:sz w:val="20"/>
          <w:szCs w:val="20"/>
        </w:rPr>
        <w:t>对接触到的有关采购单位商业活动、技术情报和技术资料等文件进行保密。</w:t>
      </w:r>
    </w:p>
    <w:p w14:paraId="7F429074">
      <w:pPr>
        <w:pStyle w:val="7"/>
        <w:keepNext w:val="0"/>
        <w:keepLines w:val="0"/>
        <w:pageBreakBefore w:val="0"/>
        <w:widowControl w:val="0"/>
        <w:wordWrap/>
        <w:overflowPunct/>
        <w:topLinePunct w:val="0"/>
        <w:autoSpaceDE/>
        <w:autoSpaceDN/>
        <w:bidi w:val="0"/>
        <w:adjustRightInd/>
        <w:snapToGrid/>
        <w:spacing w:line="360" w:lineRule="auto"/>
        <w:ind w:firstLine="0" w:firstLineChars="0"/>
        <w:textAlignment w:val="auto"/>
        <w:outlineLvl w:val="0"/>
        <w:rPr>
          <w:rFonts w:hint="eastAsia" w:ascii="仿宋" w:hAnsi="仿宋" w:eastAsia="仿宋" w:cs="仿宋"/>
          <w:b/>
          <w:sz w:val="20"/>
          <w:szCs w:val="20"/>
        </w:rPr>
      </w:pPr>
      <w:r>
        <w:rPr>
          <w:rFonts w:hint="eastAsia" w:ascii="仿宋" w:hAnsi="仿宋" w:eastAsia="仿宋" w:cs="仿宋"/>
          <w:b/>
          <w:color w:val="000000"/>
          <w:sz w:val="20"/>
          <w:szCs w:val="20"/>
        </w:rPr>
        <w:t>十</w:t>
      </w:r>
      <w:r>
        <w:rPr>
          <w:rFonts w:hint="eastAsia" w:ascii="仿宋" w:hAnsi="仿宋" w:eastAsia="仿宋" w:cs="仿宋"/>
          <w:b/>
          <w:color w:val="000000"/>
          <w:sz w:val="20"/>
          <w:szCs w:val="20"/>
          <w:lang w:val="en-US" w:eastAsia="zh-CN"/>
        </w:rPr>
        <w:t>三</w:t>
      </w:r>
      <w:r>
        <w:rPr>
          <w:rFonts w:hint="eastAsia" w:ascii="仿宋" w:hAnsi="仿宋" w:eastAsia="仿宋" w:cs="仿宋"/>
          <w:b/>
          <w:color w:val="000000"/>
          <w:sz w:val="20"/>
          <w:szCs w:val="20"/>
        </w:rPr>
        <w:t>、违约责</w:t>
      </w:r>
      <w:r>
        <w:rPr>
          <w:rFonts w:hint="eastAsia" w:ascii="仿宋" w:hAnsi="仿宋" w:eastAsia="仿宋" w:cs="仿宋"/>
          <w:b/>
          <w:sz w:val="20"/>
          <w:szCs w:val="20"/>
        </w:rPr>
        <w:t>任：</w:t>
      </w:r>
    </w:p>
    <w:p w14:paraId="7EB40331">
      <w:pPr>
        <w:keepNext w:val="0"/>
        <w:keepLines w:val="0"/>
        <w:pageBreakBefore w:val="0"/>
        <w:widowControl w:val="0"/>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按《中华人民共和国政府采购法》、《中华人民共和国民法典》中的相关条款执行。</w:t>
      </w:r>
    </w:p>
    <w:p w14:paraId="112F2342">
      <w:pPr>
        <w:keepNext w:val="0"/>
        <w:keepLines w:val="0"/>
        <w:pageBreakBefore w:val="0"/>
        <w:widowControl w:val="0"/>
        <w:wordWrap/>
        <w:overflowPunct/>
        <w:topLinePunct w:val="0"/>
        <w:autoSpaceDE/>
        <w:autoSpaceDN/>
        <w:bidi w:val="0"/>
        <w:adjustRightInd/>
        <w:snapToGrid/>
        <w:spacing w:line="360" w:lineRule="auto"/>
        <w:textAlignment w:val="auto"/>
        <w:outlineLvl w:val="0"/>
        <w:rPr>
          <w:rFonts w:hint="eastAsia" w:ascii="仿宋" w:hAnsi="仿宋" w:eastAsia="仿宋" w:cs="仿宋"/>
          <w:b/>
          <w:color w:val="000000"/>
          <w:sz w:val="20"/>
          <w:szCs w:val="20"/>
        </w:rPr>
      </w:pPr>
      <w:r>
        <w:rPr>
          <w:rFonts w:hint="eastAsia" w:ascii="仿宋" w:hAnsi="仿宋" w:eastAsia="仿宋" w:cs="仿宋"/>
          <w:b/>
          <w:color w:val="000000"/>
          <w:sz w:val="20"/>
          <w:szCs w:val="20"/>
        </w:rPr>
        <w:t>十</w:t>
      </w:r>
      <w:r>
        <w:rPr>
          <w:rFonts w:hint="eastAsia" w:ascii="仿宋" w:hAnsi="仿宋" w:eastAsia="仿宋" w:cs="仿宋"/>
          <w:b/>
          <w:color w:val="000000"/>
          <w:sz w:val="20"/>
          <w:szCs w:val="20"/>
          <w:lang w:val="en-US" w:eastAsia="zh-CN"/>
        </w:rPr>
        <w:t>四</w:t>
      </w:r>
      <w:r>
        <w:rPr>
          <w:rFonts w:hint="eastAsia" w:ascii="仿宋" w:hAnsi="仿宋" w:eastAsia="仿宋" w:cs="仿宋"/>
          <w:b/>
          <w:color w:val="000000"/>
          <w:sz w:val="20"/>
          <w:szCs w:val="20"/>
        </w:rPr>
        <w:t>、合同争议的解决</w:t>
      </w:r>
    </w:p>
    <w:p w14:paraId="21E1977A">
      <w:pPr>
        <w:keepNext w:val="0"/>
        <w:keepLines w:val="0"/>
        <w:pageBreakBefore w:val="0"/>
        <w:widowControl w:val="0"/>
        <w:wordWrap/>
        <w:overflowPunct/>
        <w:topLinePunct w:val="0"/>
        <w:autoSpaceDE/>
        <w:autoSpaceDN/>
        <w:bidi w:val="0"/>
        <w:adjustRightInd/>
        <w:snapToGrid/>
        <w:spacing w:line="360" w:lineRule="auto"/>
        <w:ind w:firstLine="480"/>
        <w:jc w:val="left"/>
        <w:textAlignment w:val="auto"/>
        <w:rPr>
          <w:rFonts w:hint="eastAsia" w:ascii="仿宋" w:hAnsi="仿宋" w:eastAsia="仿宋" w:cs="仿宋"/>
          <w:color w:val="000000"/>
          <w:sz w:val="20"/>
          <w:szCs w:val="20"/>
        </w:rPr>
      </w:pPr>
      <w:r>
        <w:rPr>
          <w:rFonts w:hint="eastAsia" w:ascii="微软雅黑" w:hAnsi="微软雅黑" w:eastAsia="微软雅黑" w:cs="微软雅黑"/>
          <w:color w:val="000000"/>
          <w:sz w:val="20"/>
          <w:szCs w:val="20"/>
        </w:rPr>
        <w:t>①</w:t>
      </w:r>
      <w:r>
        <w:rPr>
          <w:rFonts w:hint="eastAsia" w:ascii="仿宋" w:hAnsi="仿宋" w:eastAsia="仿宋" w:cs="仿宋"/>
          <w:color w:val="000000"/>
          <w:sz w:val="20"/>
          <w:szCs w:val="20"/>
        </w:rPr>
        <w:t>本合同的成立、生效、履行、解释及争议解决，适用中华人民共和国法律、法规。</w:t>
      </w:r>
    </w:p>
    <w:p w14:paraId="61086E11">
      <w:pPr>
        <w:keepNext w:val="0"/>
        <w:keepLines w:val="0"/>
        <w:pageBreakBefore w:val="0"/>
        <w:widowControl w:val="0"/>
        <w:wordWrap/>
        <w:overflowPunct/>
        <w:topLinePunct w:val="0"/>
        <w:autoSpaceDE/>
        <w:autoSpaceDN/>
        <w:bidi w:val="0"/>
        <w:adjustRightInd/>
        <w:snapToGrid/>
        <w:spacing w:line="360" w:lineRule="auto"/>
        <w:ind w:firstLine="480"/>
        <w:jc w:val="left"/>
        <w:textAlignment w:val="auto"/>
        <w:rPr>
          <w:rFonts w:hint="eastAsia" w:ascii="仿宋" w:hAnsi="仿宋" w:eastAsia="仿宋" w:cs="仿宋"/>
          <w:color w:val="000000"/>
          <w:sz w:val="20"/>
          <w:szCs w:val="20"/>
          <w:lang w:val="en-US" w:eastAsia="zh-CN"/>
        </w:rPr>
      </w:pPr>
      <w:r>
        <w:rPr>
          <w:rFonts w:hint="eastAsia" w:ascii="微软雅黑" w:hAnsi="微软雅黑" w:eastAsia="微软雅黑" w:cs="微软雅黑"/>
          <w:color w:val="000000"/>
          <w:sz w:val="20"/>
          <w:szCs w:val="20"/>
          <w:lang w:val="en-US" w:eastAsia="zh-CN"/>
        </w:rPr>
        <w:t>②</w:t>
      </w:r>
      <w:r>
        <w:rPr>
          <w:rFonts w:hint="eastAsia" w:ascii="仿宋" w:hAnsi="仿宋" w:eastAsia="仿宋" w:cs="仿宋"/>
          <w:color w:val="000000"/>
          <w:sz w:val="20"/>
          <w:szCs w:val="20"/>
          <w:lang w:val="en-US" w:eastAsia="zh-CN"/>
        </w:rPr>
        <w:t>合同一经签订，不得擅自变更、调整、中止或者终止合同。对确需变更、调整或者中止、终止合同的，应按规定履行相应的手续。</w:t>
      </w:r>
    </w:p>
    <w:p w14:paraId="03BE891A">
      <w:pPr>
        <w:keepNext w:val="0"/>
        <w:keepLines w:val="0"/>
        <w:pageBreakBefore w:val="0"/>
        <w:widowControl w:val="0"/>
        <w:wordWrap/>
        <w:overflowPunct/>
        <w:topLinePunct w:val="0"/>
        <w:autoSpaceDE/>
        <w:autoSpaceDN/>
        <w:bidi w:val="0"/>
        <w:adjustRightInd/>
        <w:snapToGrid/>
        <w:spacing w:line="360" w:lineRule="auto"/>
        <w:ind w:firstLine="480"/>
        <w:jc w:val="left"/>
        <w:textAlignment w:val="auto"/>
        <w:rPr>
          <w:rFonts w:hint="eastAsia" w:ascii="仿宋" w:hAnsi="仿宋" w:eastAsia="仿宋" w:cs="仿宋"/>
          <w:color w:val="000000"/>
          <w:sz w:val="20"/>
          <w:szCs w:val="20"/>
          <w:lang w:val="en-US" w:eastAsia="zh-CN"/>
        </w:rPr>
      </w:pPr>
      <w:r>
        <w:rPr>
          <w:rFonts w:hint="eastAsia" w:ascii="微软雅黑" w:hAnsi="微软雅黑" w:eastAsia="微软雅黑" w:cs="微软雅黑"/>
          <w:color w:val="000000"/>
          <w:sz w:val="20"/>
          <w:szCs w:val="20"/>
          <w:lang w:val="en-US" w:eastAsia="zh-CN"/>
        </w:rPr>
        <w:t>③</w:t>
      </w:r>
      <w:r>
        <w:rPr>
          <w:rFonts w:hint="eastAsia" w:ascii="仿宋" w:hAnsi="仿宋" w:eastAsia="仿宋" w:cs="仿宋"/>
          <w:color w:val="000000"/>
          <w:sz w:val="20"/>
          <w:szCs w:val="20"/>
          <w:lang w:val="en-US" w:eastAsia="zh-CN"/>
        </w:rPr>
        <w:t>甲方在合同的履行期间以及履行期后，可以随时检查项目的执行情况，对磋商响应标准、磋商响应内容进行调查核实，并对发现的问题进行处理。</w:t>
      </w:r>
    </w:p>
    <w:p w14:paraId="7C087379">
      <w:pPr>
        <w:keepNext w:val="0"/>
        <w:keepLines w:val="0"/>
        <w:pageBreakBefore w:val="0"/>
        <w:widowControl w:val="0"/>
        <w:wordWrap/>
        <w:overflowPunct/>
        <w:topLinePunct w:val="0"/>
        <w:autoSpaceDE/>
        <w:autoSpaceDN/>
        <w:bidi w:val="0"/>
        <w:adjustRightInd/>
        <w:snapToGrid/>
        <w:spacing w:line="360" w:lineRule="auto"/>
        <w:ind w:firstLine="480"/>
        <w:jc w:val="left"/>
        <w:textAlignment w:val="auto"/>
        <w:rPr>
          <w:rFonts w:hint="eastAsia" w:ascii="仿宋" w:hAnsi="仿宋" w:eastAsia="仿宋" w:cs="仿宋"/>
          <w:color w:val="000000"/>
          <w:sz w:val="20"/>
          <w:szCs w:val="20"/>
        </w:rPr>
      </w:pPr>
      <w:r>
        <w:rPr>
          <w:rFonts w:hint="eastAsia" w:ascii="微软雅黑" w:hAnsi="微软雅黑" w:eastAsia="微软雅黑" w:cs="微软雅黑"/>
          <w:color w:val="000000"/>
          <w:sz w:val="20"/>
          <w:szCs w:val="20"/>
          <w:lang w:val="en-US" w:eastAsia="zh-CN"/>
        </w:rPr>
        <w:t>④</w:t>
      </w:r>
      <w:r>
        <w:rPr>
          <w:rFonts w:hint="eastAsia" w:ascii="仿宋" w:hAnsi="仿宋" w:eastAsia="仿宋" w:cs="仿宋"/>
          <w:color w:val="000000"/>
          <w:sz w:val="20"/>
          <w:szCs w:val="20"/>
          <w:lang w:val="en-US" w:eastAsia="zh-CN"/>
        </w:rPr>
        <w:t>合同争议的解决：合同在履行过程中发生的争议，甲乙双方应协商解决，协商不一致时，可向甲方所在地人民法院提起诉讼。</w:t>
      </w:r>
    </w:p>
    <w:p w14:paraId="138C4DBB">
      <w:pPr>
        <w:keepNext w:val="0"/>
        <w:keepLines w:val="0"/>
        <w:pageBreakBefore w:val="0"/>
        <w:widowControl w:val="0"/>
        <w:wordWrap/>
        <w:overflowPunct/>
        <w:topLinePunct w:val="0"/>
        <w:autoSpaceDE/>
        <w:autoSpaceDN/>
        <w:bidi w:val="0"/>
        <w:adjustRightInd/>
        <w:snapToGrid/>
        <w:spacing w:line="360" w:lineRule="auto"/>
        <w:jc w:val="left"/>
        <w:textAlignment w:val="auto"/>
        <w:outlineLvl w:val="0"/>
        <w:rPr>
          <w:rFonts w:hint="eastAsia" w:ascii="仿宋" w:hAnsi="仿宋" w:eastAsia="仿宋" w:cs="仿宋"/>
          <w:b/>
          <w:bCs/>
          <w:color w:val="000000"/>
          <w:sz w:val="20"/>
          <w:szCs w:val="20"/>
        </w:rPr>
      </w:pPr>
      <w:r>
        <w:rPr>
          <w:rFonts w:hint="eastAsia" w:ascii="仿宋" w:hAnsi="仿宋" w:eastAsia="仿宋" w:cs="仿宋"/>
          <w:b/>
          <w:bCs/>
          <w:color w:val="000000"/>
          <w:sz w:val="20"/>
          <w:szCs w:val="20"/>
        </w:rPr>
        <w:t>十</w:t>
      </w:r>
      <w:r>
        <w:rPr>
          <w:rFonts w:hint="eastAsia" w:ascii="仿宋" w:hAnsi="仿宋" w:eastAsia="仿宋" w:cs="仿宋"/>
          <w:b/>
          <w:bCs/>
          <w:color w:val="000000"/>
          <w:sz w:val="20"/>
          <w:szCs w:val="20"/>
          <w:lang w:val="en-US" w:eastAsia="zh-CN"/>
        </w:rPr>
        <w:t>五</w:t>
      </w:r>
      <w:r>
        <w:rPr>
          <w:rFonts w:hint="eastAsia" w:ascii="仿宋" w:hAnsi="仿宋" w:eastAsia="仿宋" w:cs="仿宋"/>
          <w:b/>
          <w:bCs/>
          <w:color w:val="000000"/>
          <w:sz w:val="20"/>
          <w:szCs w:val="20"/>
        </w:rPr>
        <w:t>、不可抗力情况下的免责约定</w:t>
      </w:r>
    </w:p>
    <w:p w14:paraId="1A6C2E28">
      <w:pPr>
        <w:keepNext w:val="0"/>
        <w:keepLines w:val="0"/>
        <w:pageBreakBefore w:val="0"/>
        <w:widowControl w:val="0"/>
        <w:wordWrap/>
        <w:overflowPunct/>
        <w:topLinePunct w:val="0"/>
        <w:autoSpaceDE/>
        <w:autoSpaceDN/>
        <w:bidi w:val="0"/>
        <w:adjustRightInd/>
        <w:snapToGrid/>
        <w:spacing w:line="360" w:lineRule="auto"/>
        <w:ind w:firstLine="480"/>
        <w:jc w:val="left"/>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双方约定不可抗力情况指：双方不可预见、不可避免、不可克服的客观情况，但不包括双方的违约或疏忽。这些事件包括但不限于：战争、严重火灾、洪水、台风、地震等。</w:t>
      </w:r>
    </w:p>
    <w:p w14:paraId="5ACB088C">
      <w:pPr>
        <w:keepNext w:val="0"/>
        <w:keepLines w:val="0"/>
        <w:pageBreakBefore w:val="0"/>
        <w:widowControl w:val="0"/>
        <w:wordWrap/>
        <w:overflowPunct/>
        <w:topLinePunct w:val="0"/>
        <w:autoSpaceDE/>
        <w:autoSpaceDN/>
        <w:bidi w:val="0"/>
        <w:adjustRightInd/>
        <w:snapToGrid/>
        <w:spacing w:line="360" w:lineRule="auto"/>
        <w:jc w:val="left"/>
        <w:textAlignment w:val="auto"/>
        <w:outlineLvl w:val="0"/>
        <w:rPr>
          <w:rFonts w:hint="eastAsia" w:ascii="仿宋" w:hAnsi="仿宋" w:eastAsia="仿宋" w:cs="仿宋"/>
          <w:b/>
          <w:bCs/>
          <w:color w:val="000000"/>
          <w:sz w:val="20"/>
          <w:szCs w:val="20"/>
          <w:lang w:val="en-US" w:eastAsia="zh-CN"/>
        </w:rPr>
      </w:pPr>
      <w:r>
        <w:rPr>
          <w:rFonts w:hint="eastAsia" w:ascii="仿宋" w:hAnsi="仿宋" w:eastAsia="仿宋" w:cs="仿宋"/>
          <w:b/>
          <w:bCs/>
          <w:color w:val="000000"/>
          <w:sz w:val="20"/>
          <w:szCs w:val="20"/>
          <w:lang w:val="en-US" w:eastAsia="zh-CN"/>
        </w:rPr>
        <w:t>十六、其他约定条款</w:t>
      </w:r>
    </w:p>
    <w:p w14:paraId="6048F3DA">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政府采购合同履行中，甲方需追加与合同标的相同的货物、工程或者服务的，在不改变合同其他条款的前提下，可以与乙方协商签订补充合同，但所有补充合同的采购金额不得超过原合同采购金额的10%。</w:t>
      </w:r>
    </w:p>
    <w:p w14:paraId="361BCEE2">
      <w:pPr>
        <w:keepNext w:val="0"/>
        <w:keepLines w:val="0"/>
        <w:pageBreakBefore w:val="0"/>
        <w:widowControl w:val="0"/>
        <w:wordWrap/>
        <w:overflowPunct/>
        <w:topLinePunct w:val="0"/>
        <w:autoSpaceDE/>
        <w:autoSpaceDN/>
        <w:bidi w:val="0"/>
        <w:adjustRightInd/>
        <w:snapToGrid/>
        <w:spacing w:line="360" w:lineRule="auto"/>
        <w:textAlignment w:val="auto"/>
        <w:rPr>
          <w:rFonts w:hint="eastAsia" w:ascii="仿宋" w:hAnsi="仿宋" w:eastAsia="仿宋" w:cs="仿宋"/>
          <w:b/>
          <w:color w:val="000000"/>
          <w:sz w:val="20"/>
          <w:szCs w:val="20"/>
        </w:rPr>
      </w:pPr>
      <w:r>
        <w:rPr>
          <w:rFonts w:hint="eastAsia" w:ascii="仿宋" w:hAnsi="仿宋" w:eastAsia="仿宋" w:cs="仿宋"/>
          <w:b/>
          <w:color w:val="000000"/>
          <w:sz w:val="20"/>
          <w:szCs w:val="20"/>
        </w:rPr>
        <w:t>十</w:t>
      </w:r>
      <w:r>
        <w:rPr>
          <w:rFonts w:hint="eastAsia" w:ascii="仿宋" w:hAnsi="仿宋" w:eastAsia="仿宋" w:cs="仿宋"/>
          <w:b/>
          <w:color w:val="000000"/>
          <w:sz w:val="20"/>
          <w:szCs w:val="20"/>
          <w:lang w:val="en-US" w:eastAsia="zh-CN"/>
        </w:rPr>
        <w:t>七</w:t>
      </w:r>
      <w:r>
        <w:rPr>
          <w:rFonts w:hint="eastAsia" w:ascii="仿宋" w:hAnsi="仿宋" w:eastAsia="仿宋" w:cs="仿宋"/>
          <w:b/>
          <w:color w:val="000000"/>
          <w:sz w:val="20"/>
          <w:szCs w:val="20"/>
        </w:rPr>
        <w:t>、合同订立</w:t>
      </w:r>
    </w:p>
    <w:p w14:paraId="3B22A28C">
      <w:pPr>
        <w:keepNext w:val="0"/>
        <w:keepLines w:val="0"/>
        <w:pageBreakBefore w:val="0"/>
        <w:widowControl w:val="0"/>
        <w:wordWrap/>
        <w:overflowPunct/>
        <w:topLinePunct w:val="0"/>
        <w:autoSpaceDE/>
        <w:autoSpaceDN/>
        <w:bidi w:val="0"/>
        <w:adjustRightInd/>
        <w:snapToGrid/>
        <w:spacing w:line="360" w:lineRule="auto"/>
        <w:ind w:firstLine="396" w:firstLineChars="198"/>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 订立时间：</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u w:val="single"/>
          <w:lang w:val="en-US" w:eastAsia="zh-CN"/>
        </w:rPr>
        <w:t>2025</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年</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月</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w:t>
      </w:r>
    </w:p>
    <w:p w14:paraId="36983C86">
      <w:pPr>
        <w:keepNext w:val="0"/>
        <w:keepLines w:val="0"/>
        <w:pageBreakBefore w:val="0"/>
        <w:widowControl w:val="0"/>
        <w:wordWrap/>
        <w:overflowPunct/>
        <w:topLinePunct w:val="0"/>
        <w:autoSpaceDE/>
        <w:autoSpaceDN/>
        <w:bidi w:val="0"/>
        <w:adjustRightInd/>
        <w:snapToGrid/>
        <w:spacing w:line="360" w:lineRule="auto"/>
        <w:ind w:firstLine="396" w:firstLineChars="198"/>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2. 订立地点：</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u w:val="single"/>
          <w:lang w:val="en-US" w:eastAsia="zh-CN"/>
        </w:rPr>
        <w:t>西安市</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54D33497">
      <w:pPr>
        <w:keepNext w:val="0"/>
        <w:keepLines w:val="0"/>
        <w:pageBreakBefore w:val="0"/>
        <w:widowControl w:val="0"/>
        <w:tabs>
          <w:tab w:val="left" w:pos="980"/>
        </w:tabs>
        <w:kinsoku w:val="0"/>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3. 本合同一式</w:t>
      </w:r>
      <w:r>
        <w:rPr>
          <w:rFonts w:hint="eastAsia" w:ascii="仿宋" w:hAnsi="仿宋" w:eastAsia="仿宋" w:cs="仿宋"/>
          <w:color w:val="000000"/>
          <w:sz w:val="20"/>
          <w:szCs w:val="20"/>
          <w:u w:val="single"/>
        </w:rPr>
        <w:t xml:space="preserve"> 伍 </w:t>
      </w:r>
      <w:r>
        <w:rPr>
          <w:rFonts w:hint="eastAsia" w:ascii="仿宋" w:hAnsi="仿宋" w:eastAsia="仿宋" w:cs="仿宋"/>
          <w:color w:val="000000"/>
          <w:sz w:val="20"/>
          <w:szCs w:val="20"/>
        </w:rPr>
        <w:t>份，具有同等法律效力，双方各执</w:t>
      </w:r>
      <w:r>
        <w:rPr>
          <w:rFonts w:hint="eastAsia" w:ascii="仿宋" w:hAnsi="仿宋" w:eastAsia="仿宋" w:cs="仿宋"/>
          <w:color w:val="000000"/>
          <w:sz w:val="20"/>
          <w:szCs w:val="20"/>
          <w:u w:val="single"/>
        </w:rPr>
        <w:t xml:space="preserve"> 贰 </w:t>
      </w:r>
      <w:r>
        <w:rPr>
          <w:rFonts w:hint="eastAsia" w:ascii="仿宋" w:hAnsi="仿宋" w:eastAsia="仿宋" w:cs="仿宋"/>
          <w:color w:val="000000"/>
          <w:sz w:val="20"/>
          <w:szCs w:val="20"/>
        </w:rPr>
        <w:t>份招标代理机构存档</w:t>
      </w:r>
      <w:r>
        <w:rPr>
          <w:rFonts w:hint="eastAsia" w:ascii="仿宋" w:hAnsi="仿宋" w:eastAsia="仿宋" w:cs="仿宋"/>
          <w:color w:val="000000"/>
          <w:sz w:val="20"/>
          <w:szCs w:val="20"/>
          <w:u w:val="single"/>
        </w:rPr>
        <w:t xml:space="preserve"> 壹 </w:t>
      </w:r>
      <w:r>
        <w:rPr>
          <w:rFonts w:hint="eastAsia" w:ascii="仿宋" w:hAnsi="仿宋" w:eastAsia="仿宋" w:cs="仿宋"/>
          <w:color w:val="000000"/>
          <w:sz w:val="20"/>
          <w:szCs w:val="20"/>
        </w:rPr>
        <w:t>份。各方签字盖章后生效，合同执行完毕自动失效。</w:t>
      </w:r>
    </w:p>
    <w:p w14:paraId="3C899D4F">
      <w:pPr>
        <w:keepNext w:val="0"/>
        <w:keepLines w:val="0"/>
        <w:pageBreakBefore w:val="0"/>
        <w:widowControl w:val="0"/>
        <w:wordWrap/>
        <w:overflowPunct/>
        <w:topLinePunct w:val="0"/>
        <w:autoSpaceDE/>
        <w:autoSpaceDN/>
        <w:bidi w:val="0"/>
        <w:adjustRightInd/>
        <w:snapToGrid/>
        <w:spacing w:line="360" w:lineRule="auto"/>
        <w:jc w:val="left"/>
        <w:textAlignment w:val="auto"/>
        <w:outlineLvl w:val="0"/>
        <w:rPr>
          <w:rFonts w:hint="eastAsia" w:ascii="仿宋" w:hAnsi="仿宋" w:eastAsia="仿宋" w:cs="仿宋"/>
          <w:b/>
          <w:bCs/>
          <w:color w:val="000000"/>
          <w:sz w:val="20"/>
          <w:szCs w:val="20"/>
          <w:lang w:val="en-US" w:eastAsia="zh-CN"/>
        </w:rPr>
      </w:pPr>
      <w:r>
        <w:rPr>
          <w:rFonts w:hint="eastAsia" w:ascii="仿宋" w:hAnsi="仿宋" w:eastAsia="仿宋" w:cs="仿宋"/>
          <w:b/>
          <w:bCs/>
          <w:color w:val="000000"/>
          <w:sz w:val="20"/>
          <w:szCs w:val="20"/>
          <w:lang w:val="en-US" w:eastAsia="zh-CN"/>
        </w:rPr>
        <w:t>十八：</w:t>
      </w:r>
      <w:r>
        <w:rPr>
          <w:rFonts w:hint="eastAsia" w:ascii="仿宋" w:hAnsi="仿宋" w:eastAsia="仿宋" w:cs="仿宋"/>
          <w:b/>
          <w:bCs/>
          <w:color w:val="000000"/>
          <w:sz w:val="20"/>
          <w:szCs w:val="20"/>
        </w:rPr>
        <w:t>合同生效</w:t>
      </w:r>
      <w:r>
        <w:rPr>
          <w:rFonts w:hint="eastAsia" w:ascii="仿宋" w:hAnsi="仿宋" w:eastAsia="仿宋" w:cs="仿宋"/>
          <w:b/>
          <w:bCs/>
          <w:color w:val="000000"/>
          <w:sz w:val="20"/>
          <w:szCs w:val="20"/>
          <w:lang w:val="en-US" w:eastAsia="zh-CN"/>
        </w:rPr>
        <w:t>及其他</w:t>
      </w:r>
    </w:p>
    <w:p w14:paraId="394FA787">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（一）合同未尽事宜、由甲、乙双方协商，作为合同补充，与原合同具有同等法律效力。</w:t>
      </w:r>
    </w:p>
    <w:p w14:paraId="07D5A3D5">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（二）合同期限内，若因政策原因需调整相关合同条款事宜（不包括涉及合同金额的约定），经双方协商一致，可另行签订变更协议。</w:t>
      </w:r>
    </w:p>
    <w:p w14:paraId="013455AC">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（三）合同经甲乙双方法定代表人或授权代表签字并盖公章之日起生效。</w:t>
      </w:r>
    </w:p>
    <w:p w14:paraId="5D49BB39">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四）甲乙方双方确认本合同尾部写明的地址和联系信息作为本合同下通知事项以及所涉债务/义务的催收和诉讼（仲裁）文书（包括但不限于起诉状（或仲裁申请书）及证据、传票、应诉通知书、举证通知书、开庭通知书、判决书（裁决书）、裁定书、调解书、执行通知书、限期履行通知书等诉讼审理以及执行阶段法律司法文书）送达地址和送达方式。</w:t>
      </w:r>
    </w:p>
    <w:p w14:paraId="7EA01336">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上述法律文书以本合同写明的任一方式送达到上述任一地址，均视为送达(指定代收人送达视为送达)。如上述送达地址和方式有变更的，一方应当提前十个工作日以书面方式通知另一方，因一方提供地址错误或未及时向其另一方进行地址变更通知而引起送达不能或引起的退函视为送达。</w:t>
      </w:r>
    </w:p>
    <w:p w14:paraId="71B42ADA">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auto"/>
          <w:sz w:val="20"/>
          <w:szCs w:val="20"/>
        </w:rPr>
      </w:pPr>
      <w:r>
        <w:rPr>
          <w:rFonts w:hint="eastAsia" w:ascii="仿宋" w:hAnsi="仿宋" w:eastAsia="仿宋" w:cs="仿宋"/>
          <w:color w:val="000000"/>
          <w:kern w:val="0"/>
          <w:sz w:val="20"/>
          <w:szCs w:val="20"/>
          <w:lang w:val="en-US" w:eastAsia="zh-CN" w:bidi="ar-SA"/>
        </w:rPr>
        <w:t>（以下无正文）</w:t>
      </w:r>
    </w:p>
    <w:tbl>
      <w:tblPr>
        <w:tblStyle w:val="4"/>
        <w:tblW w:w="0" w:type="auto"/>
        <w:jc w:val="center"/>
        <w:tblLayout w:type="fixed"/>
        <w:tblCellMar>
          <w:top w:w="0" w:type="dxa"/>
          <w:left w:w="108" w:type="dxa"/>
          <w:bottom w:w="0" w:type="dxa"/>
          <w:right w:w="108" w:type="dxa"/>
        </w:tblCellMar>
      </w:tblPr>
      <w:tblGrid>
        <w:gridCol w:w="4643"/>
        <w:gridCol w:w="4643"/>
      </w:tblGrid>
      <w:tr w14:paraId="7978D3AC">
        <w:tblPrEx>
          <w:tblCellMar>
            <w:top w:w="0" w:type="dxa"/>
            <w:left w:w="108" w:type="dxa"/>
            <w:bottom w:w="0" w:type="dxa"/>
            <w:right w:w="108" w:type="dxa"/>
          </w:tblCellMar>
        </w:tblPrEx>
        <w:trPr>
          <w:jc w:val="center"/>
        </w:trPr>
        <w:tc>
          <w:tcPr>
            <w:tcW w:w="4643" w:type="dxa"/>
            <w:noWrap w:val="0"/>
            <w:vAlign w:val="top"/>
          </w:tcPr>
          <w:p w14:paraId="34213FAA">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甲方名称（盖章）:</w:t>
            </w:r>
          </w:p>
          <w:p w14:paraId="7B4C9225">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地址：</w:t>
            </w:r>
          </w:p>
          <w:p w14:paraId="46B3023C">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法定代表人或委托代理人（签字</w:t>
            </w:r>
            <w:r>
              <w:rPr>
                <w:rFonts w:hint="eastAsia" w:ascii="仿宋" w:hAnsi="仿宋" w:eastAsia="仿宋" w:cs="仿宋"/>
                <w:color w:val="auto"/>
                <w:kern w:val="0"/>
                <w:sz w:val="20"/>
                <w:szCs w:val="20"/>
                <w:lang w:val="en-US" w:eastAsia="zh-CN"/>
              </w:rPr>
              <w:t>或盖章</w:t>
            </w:r>
            <w:r>
              <w:rPr>
                <w:rFonts w:hint="eastAsia" w:ascii="仿宋" w:hAnsi="仿宋" w:eastAsia="仿宋" w:cs="仿宋"/>
                <w:color w:val="auto"/>
                <w:kern w:val="0"/>
                <w:sz w:val="20"/>
                <w:szCs w:val="20"/>
              </w:rPr>
              <w:t>）：</w:t>
            </w:r>
          </w:p>
          <w:p w14:paraId="12D747EB">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电话：</w:t>
            </w:r>
          </w:p>
          <w:p w14:paraId="41FF0581">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开户银行：</w:t>
            </w:r>
          </w:p>
          <w:p w14:paraId="680E3DE7">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帐号：</w:t>
            </w:r>
          </w:p>
        </w:tc>
        <w:tc>
          <w:tcPr>
            <w:tcW w:w="4643" w:type="dxa"/>
            <w:noWrap w:val="0"/>
            <w:vAlign w:val="top"/>
          </w:tcPr>
          <w:p w14:paraId="3B645B85">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乙方名称（盖章）:</w:t>
            </w:r>
          </w:p>
          <w:p w14:paraId="64B32C44">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地址：</w:t>
            </w:r>
          </w:p>
          <w:p w14:paraId="2E68BB38">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法定代表人或委托代理人（签字</w:t>
            </w:r>
            <w:r>
              <w:rPr>
                <w:rFonts w:hint="eastAsia" w:ascii="仿宋" w:hAnsi="仿宋" w:eastAsia="仿宋" w:cs="仿宋"/>
                <w:color w:val="auto"/>
                <w:kern w:val="0"/>
                <w:sz w:val="20"/>
                <w:szCs w:val="20"/>
                <w:lang w:val="en-US" w:eastAsia="zh-CN"/>
              </w:rPr>
              <w:t>或盖章</w:t>
            </w:r>
            <w:r>
              <w:rPr>
                <w:rFonts w:hint="eastAsia" w:ascii="仿宋" w:hAnsi="仿宋" w:eastAsia="仿宋" w:cs="仿宋"/>
                <w:color w:val="auto"/>
                <w:kern w:val="0"/>
                <w:sz w:val="20"/>
                <w:szCs w:val="20"/>
              </w:rPr>
              <w:t>）：</w:t>
            </w:r>
          </w:p>
          <w:p w14:paraId="02CC77E1">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电话：</w:t>
            </w:r>
          </w:p>
          <w:p w14:paraId="27E65EF0">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开户银行：</w:t>
            </w:r>
          </w:p>
          <w:p w14:paraId="4ADFD70F">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帐号：</w:t>
            </w:r>
          </w:p>
        </w:tc>
      </w:tr>
    </w:tbl>
    <w:p w14:paraId="0493C477">
      <w:pPr>
        <w:spacing w:before="156" w:beforeLines="50" w:after="156" w:afterLines="50" w:line="360" w:lineRule="auto"/>
        <w:ind w:firstLine="402" w:firstLineChars="200"/>
        <w:rPr>
          <w:rFonts w:hint="eastAsia" w:ascii="仿宋" w:hAnsi="仿宋" w:eastAsia="仿宋" w:cs="仿宋"/>
          <w:lang w:val="en-US" w:eastAsia="zh-Hans"/>
        </w:rPr>
      </w:pPr>
      <w:r>
        <w:rPr>
          <w:rFonts w:hint="eastAsia" w:ascii="仿宋" w:hAnsi="仿宋" w:eastAsia="仿宋" w:cs="仿宋"/>
          <w:b/>
          <w:bCs/>
          <w:color w:val="auto"/>
          <w:sz w:val="20"/>
          <w:szCs w:val="20"/>
        </w:rPr>
        <w:t>注：甲乙双方正式签订合同时根据协商完善相关内容</w:t>
      </w:r>
    </w:p>
    <w:p w14:paraId="21547317">
      <w:bookmarkStart w:id="1" w:name="_GoBack"/>
      <w:bookmarkEnd w:id="1"/>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7CC266">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164795">
                          <w:pPr>
                            <w:pStyle w:val="3"/>
                          </w:pPr>
                          <w:r>
                            <w:fldChar w:fldCharType="begin"/>
                          </w:r>
                          <w:r>
                            <w:instrText xml:space="preserve"> PAGE  \* MERGEFORMAT </w:instrText>
                          </w:r>
                          <w:r>
                            <w:fldChar w:fldCharType="separate"/>
                          </w:r>
                          <w:r>
                            <w:t>61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9164795">
                    <w:pPr>
                      <w:pStyle w:val="3"/>
                    </w:pPr>
                    <w:r>
                      <w:fldChar w:fldCharType="begin"/>
                    </w:r>
                    <w:r>
                      <w:instrText xml:space="preserve"> PAGE  \* MERGEFORMAT </w:instrText>
                    </w:r>
                    <w:r>
                      <w:fldChar w:fldCharType="separate"/>
                    </w:r>
                    <w:r>
                      <w:t>61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4A279E"/>
    <w:rsid w:val="754A2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正文缩进1"/>
    <w:qFormat/>
    <w:uiPriority w:val="0"/>
    <w:pPr>
      <w:widowControl w:val="0"/>
      <w:ind w:firstLine="420" w:firstLineChars="200"/>
      <w:jc w:val="both"/>
    </w:pPr>
    <w:rPr>
      <w:rFonts w:ascii="Calibri" w:hAnsi="Calibri"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2025-12-19T04:00:00Z</dcterms:created>
  <dc:creator>璐包子～</dc:creator>
  <cp:lastModifiedBy>璐包子～</cp:lastModifiedBy>
  <dcterms:modified xsi:type="dcterms:W3CDTF">2025-12-19T04:00:46Z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59EB801098D3402FB8A25D05C8174669_11</vt:lpwstr>
  </property>
  <property fmtid="{D5CDD505-2E9C-101B-9397-08002B2CF9AE}" pid="4" name="KSOTemplateDocerSaveRecord">
    <vt:lpwstr>eyJoZGlkIjoiMjA2NTA2MTg1YTdjNDhlMjM4Yjk4MmViMThhNTY0ZmIiLCJ1c2VySWQiOiIyODcxMzg2MDcifQ==</vt:lpwstr>
  </property>
</Properties>
</file>