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版本号：TWZB2025-19820251219001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陕西省人民政府办公厅2025年度网络安全等级保护测评服务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TWZB2025-198</w:t>
      </w:r>
      <w:r>
        <w:br/>
      </w:r>
      <w:r>
        <w:br/>
      </w:r>
      <w:r>
        <w:br/>
      </w:r>
    </w:p>
    <w:p>
      <w:pPr>
        <w:pStyle w:val="null3"/>
        <w:jc w:val="center"/>
        <w:outlineLvl w:val="2"/>
      </w:pPr>
      <w:r>
        <w:rPr>
          <w:rFonts w:ascii="仿宋_GB2312" w:hAnsi="仿宋_GB2312" w:cs="仿宋_GB2312" w:eastAsia="仿宋_GB2312"/>
          <w:sz w:val="28"/>
          <w:b/>
        </w:rPr>
        <w:t>省政府办公厅机关</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省政府办公厅机关</w:t>
      </w:r>
      <w:r>
        <w:rPr>
          <w:rFonts w:ascii="仿宋_GB2312" w:hAnsi="仿宋_GB2312" w:cs="仿宋_GB2312" w:eastAsia="仿宋_GB2312"/>
        </w:rPr>
        <w:t>委托，拟对</w:t>
      </w:r>
      <w:r>
        <w:rPr>
          <w:rFonts w:ascii="仿宋_GB2312" w:hAnsi="仿宋_GB2312" w:cs="仿宋_GB2312" w:eastAsia="仿宋_GB2312"/>
        </w:rPr>
        <w:t>陕西省人民政府办公厅2025年度网络安全等级保护测评服务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TWZB2025-198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陕西省人民政府办公厅2025年度网络安全等级保护测评服务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服务内容包括：陕西省政府网站集约化省级平台（等保三级）、陕西省人民政府门户网站（等保三级）、陕西省政务值班综合应用系统（等保三级）、陕西省政务值班语音调度系统（等保三级）、陕西省政务值班填报系统（等保二级）、陕西省政务值班综合视频系统（等保二级）、省政府鲁迅图书馆妙思文献系统（等保二级）4个三级和3个二级系统的网络安全等级测评服务。 2.技术要求：开展网络安全等级测评服务；依据国家等级保护测评工作标准GB/T22239-2019《信息安全技术网络安全等级保护基本要求》、GB/T28448-2019《信息安全技术网络安全等级保护测评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出具《网络安全等级保护测评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2、法定代表人授权书及被授权人身份证：法定代表人授权书、被授权人身份证及授权代表在本单位的社保缴纳证明（法定代表人直接参与，只须提交其身份证明）</w:t>
      </w:r>
    </w:p>
    <w:p>
      <w:pPr>
        <w:pStyle w:val="null3"/>
      </w:pPr>
      <w:r>
        <w:rPr>
          <w:rFonts w:ascii="仿宋_GB2312" w:hAnsi="仿宋_GB2312" w:cs="仿宋_GB2312" w:eastAsia="仿宋_GB2312"/>
        </w:rPr>
        <w:t>3、说明及承诺：具备履行合同所必须的设备和专业技术能力的说明及承诺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6、税收缴纳证明：税收缴纳证明：供应商提供已缴纳的2025年6月至今至少一个月的纳税证明或完税证明（任意税种）；依法免税的供应商应提供相关文件证明；供应商为零申报企业提供证明材料</w:t>
      </w:r>
    </w:p>
    <w:p>
      <w:pPr>
        <w:pStyle w:val="null3"/>
      </w:pPr>
      <w:r>
        <w:rPr>
          <w:rFonts w:ascii="仿宋_GB2312" w:hAnsi="仿宋_GB2312" w:cs="仿宋_GB2312" w:eastAsia="仿宋_GB2312"/>
        </w:rPr>
        <w:t>7、社会保障资金缴纳证明：社会保障资金缴纳证明：供应商提供已缴存的2025年6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pPr>
        <w:pStyle w:val="null3"/>
      </w:pPr>
      <w:r>
        <w:rPr>
          <w:rFonts w:ascii="仿宋_GB2312" w:hAnsi="仿宋_GB2312" w:cs="仿宋_GB2312" w:eastAsia="仿宋_GB2312"/>
        </w:rPr>
        <w:t>9、非联合体承诺书：本项目不接受联合体投标（提供非联合体承诺书）</w:t>
      </w:r>
    </w:p>
    <w:p>
      <w:pPr>
        <w:pStyle w:val="null3"/>
      </w:pPr>
      <w:r>
        <w:rPr>
          <w:rFonts w:ascii="仿宋_GB2312" w:hAnsi="仿宋_GB2312" w:cs="仿宋_GB2312" w:eastAsia="仿宋_GB2312"/>
        </w:rPr>
        <w:t>10、供应商企业关系关联承诺书：单位负责人为同一人或者存在控股、管理关系的不同单位不得同时投标（提供供应商企业关系关联承诺书）</w:t>
      </w:r>
    </w:p>
    <w:p>
      <w:pPr>
        <w:pStyle w:val="null3"/>
      </w:pPr>
      <w:r>
        <w:rPr>
          <w:rFonts w:ascii="仿宋_GB2312" w:hAnsi="仿宋_GB2312" w:cs="仿宋_GB2312" w:eastAsia="仿宋_GB2312"/>
        </w:rPr>
        <w:t>11、磋商保证金：磋商保证金交纳凭证（附开户许可证或基本账户存款信息）</w:t>
      </w:r>
    </w:p>
    <w:p>
      <w:pPr>
        <w:pStyle w:val="null3"/>
      </w:pPr>
      <w:r>
        <w:rPr>
          <w:rFonts w:ascii="仿宋_GB2312" w:hAnsi="仿宋_GB2312" w:cs="仿宋_GB2312" w:eastAsia="仿宋_GB2312"/>
        </w:rPr>
        <w:t>12、证书：供应商具备《网络安全等级测评与检测评估机构服务认证证书》或《网络安全服务认证证书等级保护测评服务认证》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省政府办公厅机关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省政府办公厅机关经办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63912411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 0051 0025 0005 6215 628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省政府办公厅机关</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省政府办公厅机关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省政府办公厅机关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服务内容包括：陕西省政府网站集约化省级平台（等保三级）、陕西省人民政府门户网站（等保三级）、陕西省政务值班综合应用系统（等保三级）、陕西省政务值班语音调度系统（等保三级）、陕西省政务值班填报系统（等保二级）、陕西省政务值班综合视频系统（等保二级）、省政府鲁迅图书馆妙思文献系统（等保二级）4个三级和3个二级系统的网络安全等级测评服务。 2.技术要求：开展网络安全等级测评服务；依据国家等级保护测评工作标准GB/T22239-2019《信息安全技术网络安全等级保护基本要求》、GB/T28448-2019《信息安全技术网络安全等级保护测评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出具《网络安全等级保护测评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477,000.00</w:t>
      </w:r>
    </w:p>
    <w:p>
      <w:pPr>
        <w:pStyle w:val="null3"/>
      </w:pPr>
      <w:r>
        <w:rPr>
          <w:rFonts w:ascii="仿宋_GB2312" w:hAnsi="仿宋_GB2312" w:cs="仿宋_GB2312" w:eastAsia="仿宋_GB2312"/>
        </w:rPr>
        <w:t>采购包最高限价（元）: 477,000.00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标的名称：网络安全等级保护测评服务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一、项目技术、服务</w:t>
            </w:r>
          </w:p>
          <w:p>
            <w:pPr>
              <w:pStyle w:val="null3"/>
              <w:jc w:val="both"/>
            </w:pPr>
            <w:r>
              <w:rPr>
                <w:rFonts w:ascii="仿宋_GB2312" w:hAnsi="仿宋_GB2312" w:cs="仿宋_GB2312" w:eastAsia="仿宋_GB2312"/>
                <w:sz w:val="20"/>
                <w:b/>
              </w:rPr>
              <w:t>（一）项目名称：</w:t>
            </w:r>
            <w:r>
              <w:rPr>
                <w:rFonts w:ascii="仿宋_GB2312" w:hAnsi="仿宋_GB2312" w:cs="仿宋_GB2312" w:eastAsia="仿宋_GB2312"/>
                <w:sz w:val="20"/>
              </w:rPr>
              <w:t>陕西省人民政府办公厅</w:t>
            </w:r>
            <w:r>
              <w:rPr>
                <w:rFonts w:ascii="仿宋_GB2312" w:hAnsi="仿宋_GB2312" w:cs="仿宋_GB2312" w:eastAsia="仿宋_GB2312"/>
                <w:sz w:val="20"/>
              </w:rPr>
              <w:t>2025年度网络安全等级保护测评服务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（二）项目概况：</w:t>
            </w:r>
          </w:p>
          <w:p>
            <w:pPr>
              <w:pStyle w:val="null3"/>
              <w:ind w:firstLine="400"/>
              <w:jc w:val="both"/>
            </w:pPr>
            <w:r>
              <w:rPr>
                <w:rFonts w:ascii="仿宋_GB2312" w:hAnsi="仿宋_GB2312" w:cs="仿宋_GB2312" w:eastAsia="仿宋_GB2312"/>
                <w:sz w:val="20"/>
              </w:rPr>
              <w:t>1.服务内容包括：陕西省政府网站集约化省级平台（等保三级）、陕西省人民政府门户网站（等保三级）、陕西省政务值班综合应用系统（等保三级）、陕西省政务值班语音调度系统（等保三级）、陕西省政务值班填报系统（等保二级）、陕西省政务值班综合视频 监 控系统（等保二级）、省政府鲁迅图书馆妙思文献系统（等保二级）4个三级和3个二级系统的网络安全等级测评服务。</w:t>
            </w:r>
          </w:p>
          <w:p>
            <w:pPr>
              <w:pStyle w:val="null3"/>
              <w:ind w:firstLine="400"/>
              <w:jc w:val="both"/>
            </w:pPr>
            <w:r>
              <w:rPr>
                <w:rFonts w:ascii="仿宋_GB2312" w:hAnsi="仿宋_GB2312" w:cs="仿宋_GB2312" w:eastAsia="仿宋_GB2312"/>
                <w:sz w:val="20"/>
              </w:rPr>
              <w:t>2.技术要求：开展网络安全等级测评服务；依据国家等级保护测评工作标准GB/T22239-2019《信息安全技术网络安全等级保护基本要求》、GB/T28448-2019《信息安全技术网络安全等级保护测评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出具《网络安全等级保护测评报告》。</w:t>
            </w:r>
          </w:p>
          <w:p>
            <w:pPr>
              <w:pStyle w:val="null3"/>
              <w:jc w:val="both"/>
            </w:pPr>
            <w:r>
              <w:rPr>
                <w:rFonts w:ascii="仿宋_GB2312" w:hAnsi="仿宋_GB2312" w:cs="仿宋_GB2312" w:eastAsia="仿宋_GB2312"/>
                <w:sz w:val="20"/>
                <w:b/>
              </w:rPr>
              <w:t>（三）服务内容</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7个信息系统（陕西省政府网站集约化省级平台、陕西省人民政府门户网站、陕西省政务值班综合应用系统、陕西省政务值班语音调度系统、陕西省政务值班填报系统、陕西省政务值班综合视频 监  控系统、省政府鲁迅图书馆妙思文献系统）开展网络安全等级保护测评服务。</w:t>
            </w:r>
          </w:p>
          <w:p>
            <w:pPr>
              <w:pStyle w:val="null3"/>
              <w:ind w:firstLine="400"/>
              <w:jc w:val="both"/>
            </w:pPr>
            <w:r>
              <w:rPr>
                <w:rFonts w:ascii="仿宋_GB2312" w:hAnsi="仿宋_GB2312" w:cs="仿宋_GB2312" w:eastAsia="仿宋_GB2312"/>
                <w:sz w:val="20"/>
              </w:rPr>
              <w:t>1.测评内容主要包括：</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1）安全物理环境</w:t>
            </w:r>
          </w:p>
          <w:p>
            <w:pPr>
              <w:pStyle w:val="null3"/>
              <w:ind w:firstLine="400"/>
              <w:jc w:val="both"/>
            </w:pPr>
            <w:r>
              <w:rPr>
                <w:rFonts w:ascii="仿宋_GB2312" w:hAnsi="仿宋_GB2312" w:cs="仿宋_GB2312" w:eastAsia="仿宋_GB2312"/>
                <w:sz w:val="20"/>
              </w:rPr>
              <w:t>测评内容主要包括：物理位置选择、物理访问控制、防盗窃和防破坏、防雷击、防火、防水和防潮、防静电、温湿度控制、电力供应、电磁防护。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2）安全通信网络</w:t>
            </w:r>
          </w:p>
          <w:p>
            <w:pPr>
              <w:pStyle w:val="null3"/>
              <w:ind w:firstLine="400"/>
              <w:jc w:val="both"/>
            </w:pPr>
            <w:r>
              <w:rPr>
                <w:rFonts w:ascii="仿宋_GB2312" w:hAnsi="仿宋_GB2312" w:cs="仿宋_GB2312" w:eastAsia="仿宋_GB2312"/>
                <w:sz w:val="20"/>
              </w:rPr>
              <w:t>测评内容主要包括：网络架构、通信传输、可信验证。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3）安全区域边界</w:t>
            </w:r>
          </w:p>
          <w:p>
            <w:pPr>
              <w:pStyle w:val="null3"/>
              <w:ind w:firstLine="400"/>
              <w:jc w:val="both"/>
            </w:pPr>
            <w:r>
              <w:rPr>
                <w:rFonts w:ascii="仿宋_GB2312" w:hAnsi="仿宋_GB2312" w:cs="仿宋_GB2312" w:eastAsia="仿宋_GB2312"/>
                <w:sz w:val="20"/>
              </w:rPr>
              <w:t>测评内容主要包括：边界防护、访问控制、入侵防范、恶意代码和垃圾邮件防范、安全审计、可信验证。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4）安全计算环境</w:t>
            </w:r>
          </w:p>
          <w:p>
            <w:pPr>
              <w:pStyle w:val="null3"/>
              <w:ind w:firstLine="400"/>
              <w:jc w:val="both"/>
            </w:pPr>
            <w:r>
              <w:rPr>
                <w:rFonts w:ascii="仿宋_GB2312" w:hAnsi="仿宋_GB2312" w:cs="仿宋_GB2312" w:eastAsia="仿宋_GB2312"/>
                <w:sz w:val="20"/>
              </w:rPr>
              <w:t>测评内容主要包括：身份鉴别、访问控制、安全审计、入侵防范、恶意代码防范、可信验证、数据完整性、数据保密性、数据备份恢复、剩余信息保护、个人信息保护。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5）安全管理中心</w:t>
            </w:r>
          </w:p>
          <w:p>
            <w:pPr>
              <w:pStyle w:val="null3"/>
              <w:ind w:firstLine="400"/>
              <w:jc w:val="both"/>
            </w:pPr>
            <w:r>
              <w:rPr>
                <w:rFonts w:ascii="仿宋_GB2312" w:hAnsi="仿宋_GB2312" w:cs="仿宋_GB2312" w:eastAsia="仿宋_GB2312"/>
                <w:sz w:val="20"/>
              </w:rPr>
              <w:t>测评内容主要包括：系统管理、审计管理、安全管理、集中管控。</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6）安全管理制度</w:t>
            </w:r>
          </w:p>
          <w:p>
            <w:pPr>
              <w:pStyle w:val="null3"/>
              <w:ind w:firstLine="400"/>
              <w:jc w:val="both"/>
            </w:pPr>
            <w:r>
              <w:rPr>
                <w:rFonts w:ascii="仿宋_GB2312" w:hAnsi="仿宋_GB2312" w:cs="仿宋_GB2312" w:eastAsia="仿宋_GB2312"/>
                <w:sz w:val="20"/>
              </w:rPr>
              <w:t>测评内容主要包括：安全策略、管理制度、制定和发布、评审和修订。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7）安全管理机构</w:t>
            </w:r>
          </w:p>
          <w:p>
            <w:pPr>
              <w:pStyle w:val="null3"/>
              <w:ind w:firstLine="400"/>
              <w:jc w:val="both"/>
            </w:pPr>
            <w:r>
              <w:rPr>
                <w:rFonts w:ascii="仿宋_GB2312" w:hAnsi="仿宋_GB2312" w:cs="仿宋_GB2312" w:eastAsia="仿宋_GB2312"/>
                <w:sz w:val="20"/>
              </w:rPr>
              <w:t>测评内容主要包括：岗位设置、人员配备、授权和审批、沟通和合作、审核和检查。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8）安全管理人员</w:t>
            </w:r>
          </w:p>
          <w:p>
            <w:pPr>
              <w:pStyle w:val="null3"/>
              <w:ind w:firstLine="400"/>
              <w:jc w:val="both"/>
            </w:pPr>
            <w:r>
              <w:rPr>
                <w:rFonts w:ascii="仿宋_GB2312" w:hAnsi="仿宋_GB2312" w:cs="仿宋_GB2312" w:eastAsia="仿宋_GB2312"/>
                <w:sz w:val="20"/>
              </w:rPr>
              <w:t>测评内容主要包括：人员录用、人员离岗、安全意识教育和培训、外部人员访问管理。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9）安全建设管理</w:t>
            </w:r>
          </w:p>
          <w:p>
            <w:pPr>
              <w:pStyle w:val="null3"/>
              <w:ind w:firstLine="400"/>
              <w:jc w:val="both"/>
            </w:pPr>
            <w:r>
              <w:rPr>
                <w:rFonts w:ascii="仿宋_GB2312" w:hAnsi="仿宋_GB2312" w:cs="仿宋_GB2312" w:eastAsia="仿宋_GB2312"/>
                <w:sz w:val="20"/>
              </w:rPr>
              <w:t>测评内容主要包括：定级和备案、安全方案设计、产品采购和使用、自行软件开发、外包软件开发、工程实施、测试验收、系统交付、等级测评、服务供应商选择。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10）安全运维管理</w:t>
            </w:r>
          </w:p>
          <w:p>
            <w:pPr>
              <w:pStyle w:val="null3"/>
              <w:ind w:firstLine="400"/>
              <w:jc w:val="both"/>
            </w:pPr>
            <w:r>
              <w:rPr>
                <w:rFonts w:ascii="仿宋_GB2312" w:hAnsi="仿宋_GB2312" w:cs="仿宋_GB2312" w:eastAsia="仿宋_GB2312"/>
                <w:sz w:val="20"/>
              </w:rPr>
              <w:t>测评内容主要包括：环境管理、资产管理、介质管理、设备维护管理、漏洞和风险管理、网络和系统安全管理、恶意代码防范管理、配置管理、密码管理、变更管理、备份与恢复管理、安全事件处置、应急预案管理、外包运维管理。</w:t>
            </w:r>
          </w:p>
          <w:p>
            <w:pPr>
              <w:pStyle w:val="null3"/>
              <w:ind w:firstLine="400"/>
              <w:jc w:val="both"/>
            </w:pPr>
            <w:r>
              <w:rPr>
                <w:rFonts w:ascii="仿宋_GB2312" w:hAnsi="仿宋_GB2312" w:cs="仿宋_GB2312" w:eastAsia="仿宋_GB2312"/>
                <w:sz w:val="20"/>
              </w:rPr>
              <w:t>2.测评依据规范，包括但不限于：</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1）GB/T22239-2019《信息安全技术网络安全等级保护基本要求》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2）GB/T28448-2019《信息安全技术网络安全等级保护测评要求》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3）GB17859-1999《计算机信息系统安全保护等级划分准则》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4）GB/T28449-2018《信息安全技术网络安全等级保护测评过程指南》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5）GB/T20984-2022《信息安全技术信息安全风险评估方法》</w:t>
            </w:r>
          </w:p>
          <w:p>
            <w:pPr>
              <w:pStyle w:val="null3"/>
              <w:ind w:firstLine="400"/>
              <w:jc w:val="both"/>
            </w:pPr>
            <w:r>
              <w:rPr>
                <w:rFonts w:ascii="仿宋_GB2312" w:hAnsi="仿宋_GB2312" w:cs="仿宋_GB2312" w:eastAsia="仿宋_GB2312"/>
                <w:sz w:val="20"/>
              </w:rPr>
              <w:t>3.结项要求</w:t>
            </w:r>
          </w:p>
          <w:p>
            <w:pPr>
              <w:pStyle w:val="null3"/>
              <w:ind w:firstLine="400"/>
              <w:jc w:val="both"/>
            </w:pPr>
            <w:r>
              <w:rPr>
                <w:rFonts w:ascii="仿宋_GB2312" w:hAnsi="仿宋_GB2312" w:cs="仿宋_GB2312" w:eastAsia="仿宋_GB2312"/>
                <w:sz w:val="20"/>
              </w:rPr>
              <w:t>本项目结项达到合格标准：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1）符合国家相关技术标准和规范要求。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2）符合本项目测评合同书要求。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3）出具《网络安全等级保护测评报告》。</w:t>
            </w:r>
          </w:p>
          <w:p>
            <w:pPr>
              <w:pStyle w:val="null3"/>
              <w:ind w:firstLine="400"/>
              <w:jc w:val="both"/>
            </w:pPr>
            <w:r>
              <w:rPr>
                <w:rFonts w:ascii="仿宋_GB2312" w:hAnsi="仿宋_GB2312" w:cs="仿宋_GB2312" w:eastAsia="仿宋_GB2312"/>
                <w:sz w:val="20"/>
              </w:rPr>
              <w:t>4.质保及服务</w:t>
            </w:r>
          </w:p>
          <w:p>
            <w:pPr>
              <w:pStyle w:val="null3"/>
              <w:ind w:firstLine="400"/>
              <w:jc w:val="both"/>
            </w:pPr>
            <w:r>
              <w:rPr>
                <w:rFonts w:ascii="仿宋_GB2312" w:hAnsi="仿宋_GB2312" w:cs="仿宋_GB2312" w:eastAsia="仿宋_GB2312"/>
                <w:sz w:val="20"/>
              </w:rPr>
              <w:t>依据国家相关的法律法规、标准规范、项目招标文件和项目合同书，保证项目实施符合国家、行业技术规范标准，满足项目招标文件的要求。保证工程的总体进度和质量要求，保证工程规范化、科学化和经济性；</w:t>
            </w:r>
          </w:p>
          <w:p>
            <w:pPr>
              <w:pStyle w:val="null3"/>
              <w:ind w:firstLine="400"/>
              <w:jc w:val="both"/>
            </w:pPr>
            <w:r>
              <w:rPr>
                <w:rFonts w:ascii="仿宋_GB2312" w:hAnsi="仿宋_GB2312" w:cs="仿宋_GB2312" w:eastAsia="仿宋_GB2312"/>
                <w:sz w:val="20"/>
              </w:rPr>
              <w:t>选用先进的检验检测方法，开展检验检测活动；不受来自商业、财政等方面的干预和其他内部和外部的各种压力和影响，确保检验检测行为的公正性；掌握和理解顾客当前和未来的需求，热忱提供优质服务，对客户的投诉要及时受理、认真调查、客观分析、明确责任，按照与客户商定的时间及时出具检验报告；承担检验工作的质量责任和法律责任。</w:t>
            </w:r>
          </w:p>
          <w:p>
            <w:pPr>
              <w:pStyle w:val="null3"/>
              <w:ind w:firstLine="400"/>
              <w:jc w:val="both"/>
            </w:pPr>
            <w:r>
              <w:rPr>
                <w:rFonts w:ascii="仿宋_GB2312" w:hAnsi="仿宋_GB2312" w:cs="仿宋_GB2312" w:eastAsia="仿宋_GB2312"/>
                <w:sz w:val="20"/>
              </w:rPr>
              <w:t>5.项目完成时间</w:t>
            </w:r>
          </w:p>
          <w:p>
            <w:pPr>
              <w:pStyle w:val="null3"/>
              <w:ind w:firstLine="400"/>
              <w:jc w:val="both"/>
            </w:pPr>
            <w:r>
              <w:rPr>
                <w:rFonts w:ascii="仿宋_GB2312" w:hAnsi="仿宋_GB2312" w:cs="仿宋_GB2312" w:eastAsia="仿宋_GB2312"/>
                <w:sz w:val="20"/>
              </w:rPr>
              <w:t>合同签订后</w:t>
            </w:r>
            <w:r>
              <w:rPr>
                <w:rFonts w:ascii="仿宋_GB2312" w:hAnsi="仿宋_GB2312" w:cs="仿宋_GB2312" w:eastAsia="仿宋_GB2312"/>
                <w:sz w:val="20"/>
              </w:rPr>
              <w:t>4个月内完成等级保护测评工作。</w:t>
            </w:r>
          </w:p>
          <w:p>
            <w:pPr>
              <w:pStyle w:val="null3"/>
              <w:jc w:val="both"/>
            </w:pPr>
            <w:r>
              <w:rPr>
                <w:rFonts w:ascii="仿宋_GB2312" w:hAnsi="仿宋_GB2312" w:cs="仿宋_GB2312" w:eastAsia="仿宋_GB2312"/>
                <w:sz w:val="20"/>
                <w:b/>
              </w:rPr>
              <w:t>（四）工作成果</w:t>
            </w:r>
          </w:p>
          <w:p>
            <w:pPr>
              <w:pStyle w:val="null3"/>
              <w:ind w:firstLine="400"/>
              <w:jc w:val="both"/>
            </w:pPr>
            <w:r>
              <w:rPr>
                <w:rFonts w:ascii="仿宋_GB2312" w:hAnsi="仿宋_GB2312" w:cs="仿宋_GB2312" w:eastAsia="仿宋_GB2312"/>
                <w:sz w:val="20"/>
              </w:rPr>
              <w:t>按照《网络安全法》《信息安全等级保护管理办法》《信息安全技术网络安全等级保护基本要求》等法律法规及标准规范要求开展等保测评工作，持续提升信息系统网络安全水平。</w:t>
            </w:r>
          </w:p>
          <w:p>
            <w:pPr>
              <w:pStyle w:val="null3"/>
              <w:jc w:val="both"/>
            </w:pPr>
            <w:r>
              <w:rPr>
                <w:rFonts w:ascii="仿宋_GB2312" w:hAnsi="仿宋_GB2312" w:cs="仿宋_GB2312" w:eastAsia="仿宋_GB2312"/>
                <w:sz w:val="20"/>
                <w:b/>
              </w:rPr>
              <w:t>（五）服务要求</w:t>
            </w:r>
          </w:p>
          <w:p>
            <w:pPr>
              <w:pStyle w:val="null3"/>
              <w:ind w:firstLine="400"/>
              <w:jc w:val="both"/>
            </w:pPr>
            <w:r>
              <w:rPr>
                <w:rFonts w:ascii="仿宋_GB2312" w:hAnsi="仿宋_GB2312" w:cs="仿宋_GB2312" w:eastAsia="仿宋_GB2312"/>
                <w:sz w:val="20"/>
              </w:rPr>
              <w:t>1.测评服务要求：依据《基本要求》（GB/T22239-2019）、测评要求》（GB/T28448-2019）和《测评过程指南》（GB/T28449-2018）等国家关于网络安全等级保护2.0的相关标准和规范要求，为被测评单位提供相应级别信息系统等级保护测评实施工作，包括物理安全、网络安全、主机安全、应用安全、数据安全、安全管理机构、安全管理制度、人员管理安全、系统建设管理和系统运维管理等。</w:t>
            </w:r>
          </w:p>
          <w:p>
            <w:pPr>
              <w:pStyle w:val="null3"/>
              <w:ind w:firstLine="400"/>
              <w:jc w:val="both"/>
            </w:pPr>
            <w:r>
              <w:rPr>
                <w:rFonts w:ascii="仿宋_GB2312" w:hAnsi="仿宋_GB2312" w:cs="仿宋_GB2312" w:eastAsia="仿宋_GB2312"/>
                <w:sz w:val="20"/>
              </w:rPr>
              <w:t>2.渗透测试服务要求：通过模拟恶意黑客的攻击方法，来对计算机网络的安全性进行检测评估的过程。对系统和网络进行非破坏性质的攻击性测试，尝试侵入系统，获取系统控制权并将入侵的过程和细节产生报告给用户，由此证实用户系统所存在的安全威胁和风险，及时提示开发人员修复安全漏洞，提醒安全管理员完善安全策略，提升系统安全防护能力。通过这种方法，可以发现系统面临和暴露的安全问题，同时渗透测试也是对安全措施有效性的重要验证。</w:t>
            </w:r>
          </w:p>
          <w:p>
            <w:pPr>
              <w:pStyle w:val="null3"/>
              <w:ind w:firstLine="400"/>
              <w:jc w:val="both"/>
            </w:pPr>
            <w:r>
              <w:rPr>
                <w:rFonts w:ascii="仿宋_GB2312" w:hAnsi="仿宋_GB2312" w:cs="仿宋_GB2312" w:eastAsia="仿宋_GB2312"/>
                <w:sz w:val="20"/>
              </w:rPr>
              <w:t>3.安全需求分析及设计服务要求：为保障采购单位重要信息系统的安全防护能力，服务商需对其信息系统提供安全需求分析，并且能对采购单位的信息系统做安全方案设计，提出有针对性的安全规划方案。</w:t>
            </w:r>
          </w:p>
          <w:p>
            <w:pPr>
              <w:pStyle w:val="null3"/>
              <w:ind w:firstLine="400"/>
              <w:jc w:val="both"/>
            </w:pPr>
            <w:r>
              <w:rPr>
                <w:rFonts w:ascii="仿宋_GB2312" w:hAnsi="仿宋_GB2312" w:cs="仿宋_GB2312" w:eastAsia="仿宋_GB2312"/>
                <w:sz w:val="20"/>
              </w:rPr>
              <w:t>4.培训要求：服务商在项目实施结束后，要为采购单位提供信息安全相关培训，一年不少于1次。</w:t>
            </w:r>
          </w:p>
          <w:p>
            <w:pPr>
              <w:pStyle w:val="null3"/>
              <w:ind w:firstLine="400"/>
              <w:jc w:val="both"/>
            </w:pPr>
            <w:r>
              <w:rPr>
                <w:rFonts w:ascii="仿宋_GB2312" w:hAnsi="仿宋_GB2312" w:cs="仿宋_GB2312" w:eastAsia="仿宋_GB2312"/>
                <w:sz w:val="20"/>
              </w:rPr>
              <w:t>5.应急响应及应急处理要求：服务商在测评项目结束后，要提供至少自合同签订之日起一年的信息安全应急处理保障，一旦采购单位出现任何安全事件，服务商必须提供完善高效的应急保障支撑，快速安排人员到场处理，本要求要在响应文件做出响应说明，详细说明响应的时间等。</w:t>
            </w:r>
          </w:p>
          <w:p>
            <w:pPr>
              <w:pStyle w:val="null3"/>
              <w:ind w:firstLine="400"/>
              <w:jc w:val="both"/>
            </w:pPr>
            <w:r>
              <w:rPr>
                <w:rFonts w:ascii="仿宋_GB2312" w:hAnsi="仿宋_GB2312" w:cs="仿宋_GB2312" w:eastAsia="仿宋_GB2312"/>
                <w:sz w:val="20"/>
              </w:rPr>
              <w:t>6.安全咨询服务：服务商在测评项目结束后，要提供至少自合同签订之日起一年的安全咨询服务，包括但不限于安全技术咨询、安全整改建设咨询、管理制度及国家法规等，服务商需提供咨询建议和方案建议。</w:t>
            </w:r>
          </w:p>
          <w:p>
            <w:pPr>
              <w:pStyle w:val="null3"/>
              <w:ind w:firstLine="400"/>
              <w:jc w:val="both"/>
            </w:pPr>
            <w:r>
              <w:rPr>
                <w:rFonts w:ascii="仿宋_GB2312" w:hAnsi="仿宋_GB2312" w:cs="仿宋_GB2312" w:eastAsia="仿宋_GB2312"/>
                <w:sz w:val="20"/>
              </w:rPr>
              <w:t>7.最小影响原则：测评工作应尽可能小的影响系统和网络的正常运行，不能对现网的运行和业务产生任何影响。</w:t>
            </w:r>
          </w:p>
          <w:p>
            <w:pPr>
              <w:pStyle w:val="null3"/>
              <w:ind w:firstLine="400"/>
              <w:jc w:val="both"/>
            </w:pPr>
            <w:r>
              <w:rPr>
                <w:rFonts w:ascii="仿宋_GB2312" w:hAnsi="仿宋_GB2312" w:cs="仿宋_GB2312" w:eastAsia="仿宋_GB2312"/>
                <w:sz w:val="20"/>
              </w:rPr>
              <w:t>8.保密原则：测评过程对信息系统情况、架构及各类资料等完全保密，测评结束后形成的各类文档移交采购人，并删除服务商计算机、存储介质等上一切相关资料。</w:t>
            </w:r>
          </w:p>
          <w:p>
            <w:pPr>
              <w:pStyle w:val="null3"/>
              <w:jc w:val="both"/>
            </w:pPr>
            <w:r>
              <w:rPr>
                <w:rFonts w:ascii="仿宋_GB2312" w:hAnsi="仿宋_GB2312" w:cs="仿宋_GB2312" w:eastAsia="仿宋_GB2312"/>
                <w:sz w:val="20"/>
                <w:b/>
              </w:rPr>
              <w:t>二、商务及其他要求</w:t>
            </w:r>
          </w:p>
          <w:p>
            <w:pPr>
              <w:pStyle w:val="null3"/>
              <w:jc w:val="both"/>
            </w:pPr>
            <w:r>
              <w:rPr>
                <w:rFonts w:ascii="仿宋_GB2312" w:hAnsi="仿宋_GB2312" w:cs="仿宋_GB2312" w:eastAsia="仿宋_GB2312"/>
                <w:sz w:val="20"/>
                <w:b/>
              </w:rPr>
              <w:t>（一）质量要求：</w:t>
            </w:r>
            <w:r>
              <w:rPr>
                <w:rFonts w:ascii="仿宋_GB2312" w:hAnsi="仿宋_GB2312" w:cs="仿宋_GB2312" w:eastAsia="仿宋_GB2312"/>
                <w:sz w:val="20"/>
              </w:rPr>
              <w:t>合格</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（二）服务期：</w:t>
            </w:r>
            <w:r>
              <w:rPr>
                <w:rFonts w:ascii="仿宋_GB2312" w:hAnsi="仿宋_GB2312" w:cs="仿宋_GB2312" w:eastAsia="仿宋_GB2312"/>
                <w:sz w:val="20"/>
                <w:b/>
              </w:rPr>
              <w:t>合同签订后</w:t>
            </w:r>
            <w:r>
              <w:rPr>
                <w:rFonts w:ascii="仿宋_GB2312" w:hAnsi="仿宋_GB2312" w:cs="仿宋_GB2312" w:eastAsia="仿宋_GB2312"/>
                <w:sz w:val="20"/>
                <w:b/>
              </w:rPr>
              <w:t>4个月内完成等级保护测评工作</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b/>
              </w:rPr>
              <w:t>（三）合同价款：</w:t>
            </w:r>
          </w:p>
          <w:p>
            <w:pPr>
              <w:pStyle w:val="null3"/>
              <w:ind w:firstLine="240"/>
              <w:jc w:val="both"/>
            </w:pPr>
            <w:r>
              <w:rPr>
                <w:rFonts w:ascii="仿宋_GB2312" w:hAnsi="仿宋_GB2312" w:cs="仿宋_GB2312" w:eastAsia="仿宋_GB2312"/>
                <w:sz w:val="20"/>
              </w:rPr>
              <w:t>3.1合同总价包括：项目实施费及其他费用等从项目实施至验收合格等所有其他有关各项的含税费用。</w:t>
            </w:r>
          </w:p>
          <w:p>
            <w:pPr>
              <w:pStyle w:val="null3"/>
              <w:ind w:firstLine="240"/>
              <w:jc w:val="both"/>
            </w:pPr>
            <w:r>
              <w:rPr>
                <w:rFonts w:ascii="仿宋_GB2312" w:hAnsi="仿宋_GB2312" w:cs="仿宋_GB2312" w:eastAsia="仿宋_GB2312"/>
                <w:sz w:val="20"/>
              </w:rPr>
              <w:t>3.2合同总价一次包死，不受市场价格、工作量变化等其它因素的影响。</w:t>
            </w:r>
          </w:p>
          <w:p>
            <w:pPr>
              <w:pStyle w:val="null3"/>
              <w:jc w:val="both"/>
            </w:pPr>
            <w:r>
              <w:rPr>
                <w:rFonts w:ascii="仿宋_GB2312" w:hAnsi="仿宋_GB2312" w:cs="仿宋_GB2312" w:eastAsia="仿宋_GB2312"/>
                <w:sz w:val="20"/>
                <w:b/>
              </w:rPr>
              <w:t>（四）付款方式：</w:t>
            </w:r>
          </w:p>
          <w:p>
            <w:pPr>
              <w:pStyle w:val="null3"/>
              <w:ind w:firstLine="240"/>
              <w:jc w:val="both"/>
            </w:pPr>
            <w:r>
              <w:rPr>
                <w:rFonts w:ascii="仿宋_GB2312" w:hAnsi="仿宋_GB2312" w:cs="仿宋_GB2312" w:eastAsia="仿宋_GB2312"/>
                <w:sz w:val="20"/>
              </w:rPr>
              <w:t>4.1、付款方式</w:t>
            </w:r>
            <w:r>
              <w:rPr>
                <w:rFonts w:ascii="仿宋_GB2312" w:hAnsi="仿宋_GB2312" w:cs="仿宋_GB2312" w:eastAsia="仿宋_GB2312"/>
                <w:sz w:val="20"/>
                <w:b/>
              </w:rPr>
              <w:t>：</w:t>
            </w:r>
            <w:r>
              <w:rPr>
                <w:rFonts w:ascii="仿宋_GB2312" w:hAnsi="仿宋_GB2312" w:cs="仿宋_GB2312" w:eastAsia="仿宋_GB2312"/>
                <w:sz w:val="20"/>
              </w:rPr>
              <w:t>1）合同签订后支付40%，验收合格后支付60%。</w:t>
            </w:r>
          </w:p>
          <w:p>
            <w:pPr>
              <w:pStyle w:val="null3"/>
              <w:ind w:firstLine="240"/>
              <w:jc w:val="both"/>
            </w:pPr>
            <w:r>
              <w:rPr>
                <w:rFonts w:ascii="仿宋_GB2312" w:hAnsi="仿宋_GB2312" w:cs="仿宋_GB2312" w:eastAsia="仿宋_GB2312"/>
                <w:sz w:val="20"/>
              </w:rPr>
              <w:t>4.</w:t>
            </w:r>
            <w:r>
              <w:rPr>
                <w:rFonts w:ascii="仿宋_GB2312" w:hAnsi="仿宋_GB2312" w:cs="仿宋_GB2312" w:eastAsia="仿宋_GB2312"/>
                <w:sz w:val="20"/>
              </w:rPr>
              <w:t>2</w:t>
            </w:r>
            <w:r>
              <w:rPr>
                <w:rFonts w:ascii="仿宋_GB2312" w:hAnsi="仿宋_GB2312" w:cs="仿宋_GB2312" w:eastAsia="仿宋_GB2312"/>
                <w:sz w:val="20"/>
              </w:rPr>
              <w:t>、支付方式：银行转账。</w:t>
            </w:r>
          </w:p>
          <w:p>
            <w:pPr>
              <w:pStyle w:val="null3"/>
              <w:jc w:val="both"/>
            </w:pPr>
            <w:r>
              <w:rPr>
                <w:rFonts w:ascii="仿宋_GB2312" w:hAnsi="仿宋_GB2312" w:cs="仿宋_GB2312" w:eastAsia="仿宋_GB2312"/>
                <w:sz w:val="20"/>
                <w:b/>
              </w:rPr>
              <w:t>（五）项目检验与验收</w:t>
            </w:r>
          </w:p>
          <w:p>
            <w:pPr>
              <w:pStyle w:val="null3"/>
              <w:ind w:firstLine="240"/>
              <w:jc w:val="both"/>
            </w:pPr>
            <w:r>
              <w:rPr>
                <w:rFonts w:ascii="仿宋_GB2312" w:hAnsi="仿宋_GB2312" w:cs="仿宋_GB2312" w:eastAsia="仿宋_GB2312"/>
                <w:sz w:val="20"/>
              </w:rPr>
              <w:t>5.1、</w:t>
            </w:r>
            <w:r>
              <w:rPr>
                <w:rFonts w:ascii="仿宋_GB2312" w:hAnsi="仿宋_GB2312" w:cs="仿宋_GB2312" w:eastAsia="仿宋_GB2312"/>
                <w:sz w:val="20"/>
              </w:rPr>
              <w:t>完成本项目要求信息系统的安全等级保护测评，并提供《信息系统安全等级保护定级备案证明》、《信息系统安全等级测评报告》、《信息系统整改建议书》及《信息系统渗透测试报告》后进行项目验收</w:t>
            </w:r>
            <w:r>
              <w:rPr>
                <w:rFonts w:ascii="仿宋_GB2312" w:hAnsi="仿宋_GB2312" w:cs="仿宋_GB2312" w:eastAsia="仿宋_GB2312"/>
                <w:sz w:val="20"/>
              </w:rPr>
              <w:t>。</w:t>
            </w:r>
          </w:p>
          <w:p>
            <w:pPr>
              <w:pStyle w:val="null3"/>
              <w:ind w:firstLine="240"/>
              <w:jc w:val="both"/>
            </w:pPr>
            <w:r>
              <w:rPr>
                <w:rFonts w:ascii="仿宋_GB2312" w:hAnsi="仿宋_GB2312" w:cs="仿宋_GB2312" w:eastAsia="仿宋_GB2312"/>
                <w:sz w:val="20"/>
              </w:rPr>
              <w:t>5.2、</w:t>
            </w:r>
            <w:r>
              <w:rPr>
                <w:rFonts w:ascii="仿宋_GB2312" w:hAnsi="仿宋_GB2312" w:cs="仿宋_GB2312" w:eastAsia="仿宋_GB2312"/>
                <w:sz w:val="20"/>
              </w:rPr>
              <w:t>知识产权归属和处理方式</w:t>
            </w:r>
            <w:r>
              <w:rPr>
                <w:rFonts w:ascii="仿宋_GB2312" w:hAnsi="仿宋_GB2312" w:cs="仿宋_GB2312" w:eastAsia="仿宋_GB2312"/>
                <w:sz w:val="20"/>
              </w:rPr>
              <w:t>:测评过程中形成的各类文档完全属于采购人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（六）合同争议的解决</w:t>
            </w:r>
          </w:p>
          <w:p>
            <w:pPr>
              <w:pStyle w:val="null3"/>
              <w:ind w:firstLine="240"/>
              <w:jc w:val="both"/>
            </w:pPr>
            <w:r>
              <w:rPr>
                <w:rFonts w:ascii="仿宋_GB2312" w:hAnsi="仿宋_GB2312" w:cs="仿宋_GB2312" w:eastAsia="仿宋_GB2312"/>
                <w:sz w:val="20"/>
              </w:rPr>
              <w:t>6.1、合同一经签订，不得擅自变更、中止或者终止合同。对确需变更、调整或者中止、终止合同的，应按规定履行相应的手续。</w:t>
            </w:r>
          </w:p>
          <w:p>
            <w:pPr>
              <w:pStyle w:val="null3"/>
              <w:ind w:firstLine="240"/>
              <w:jc w:val="both"/>
            </w:pPr>
            <w:r>
              <w:rPr>
                <w:rFonts w:ascii="仿宋_GB2312" w:hAnsi="仿宋_GB2312" w:cs="仿宋_GB2312" w:eastAsia="仿宋_GB2312"/>
                <w:sz w:val="20"/>
              </w:rPr>
              <w:t>6.2、采购人在合同的履行期间以及履行期后，可以随时检查项目的执行情况，对磋商响应标准、磋商响应内容进行调查核实，并对发现的问题进行处理。</w:t>
            </w:r>
          </w:p>
          <w:p>
            <w:pPr>
              <w:pStyle w:val="null3"/>
              <w:ind w:firstLine="240"/>
              <w:jc w:val="both"/>
            </w:pPr>
            <w:r>
              <w:rPr>
                <w:rFonts w:ascii="仿宋_GB2312" w:hAnsi="仿宋_GB2312" w:cs="仿宋_GB2312" w:eastAsia="仿宋_GB2312"/>
                <w:sz w:val="20"/>
              </w:rPr>
              <w:t>6.3、合同争议的解决：合同在履行过程中发生的争议，当事人双方应协商解决，协商达不成一致时，可向当地向人民法院提请诉讼。</w:t>
            </w:r>
          </w:p>
          <w:p>
            <w:pPr>
              <w:pStyle w:val="null3"/>
              <w:jc w:val="both"/>
            </w:pPr>
            <w:r>
              <w:rPr>
                <w:rFonts w:ascii="仿宋_GB2312" w:hAnsi="仿宋_GB2312" w:cs="仿宋_GB2312" w:eastAsia="仿宋_GB2312"/>
                <w:sz w:val="20"/>
                <w:b/>
              </w:rPr>
              <w:t>（七）违约责任</w:t>
            </w:r>
          </w:p>
          <w:p>
            <w:pPr>
              <w:pStyle w:val="null3"/>
              <w:ind w:firstLine="240"/>
              <w:jc w:val="both"/>
            </w:pPr>
            <w:r>
              <w:rPr>
                <w:rFonts w:ascii="仿宋_GB2312" w:hAnsi="仿宋_GB2312" w:cs="仿宋_GB2312" w:eastAsia="仿宋_GB2312"/>
                <w:sz w:val="20"/>
              </w:rPr>
              <w:t>7.1、依据《中华人民共和国民法典》、《中华人民共和国政府采购法》的相关条款和本合同约定的相关条款执行。</w:t>
            </w:r>
          </w:p>
          <w:p>
            <w:pPr>
              <w:pStyle w:val="null3"/>
            </w:pPr>
            <w:r>
              <w:rPr>
                <w:rFonts w:ascii="仿宋_GB2312" w:hAnsi="仿宋_GB2312" w:cs="仿宋_GB2312" w:eastAsia="仿宋_GB2312"/>
                <w:sz w:val="20"/>
              </w:rPr>
              <w:t>7.2、成交供应商未按合同要求履行，不符合磋商技术要求，成交供应商必须无条件更换人员或设备，提高技术，完善质量，否则，采购人有权终止合同，并对成交供应商的违约行为进行追究。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四个月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满足采购人和采购文件需求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法定代表人授权书、被授权人身份证及授权代表在本单位的社保缴纳证明（法定代表人直接参与，只须提交其身份证明）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税收缴纳证明：供应商提供已缴纳的2025年6月至今至少一个月的纳税证明或完税证明（任意税种）；依法免税的供应商应提供相关文件证明；供应商为零申报企业提供证明材料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社会保障资金缴纳证明：供应商提供已缴存的2025年6月至今至少一个月的社会保障资金缴存单据或社保机构开具的社会保险参保缴费情况证明，依法不需要缴纳社会保障资金的单位应提供相关证明材料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磋商保证金交纳凭证（附开户许可证或基本账户存款信息）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证书</w:t>
            </w:r>
          </w:p>
        </w:tc>
        <w:tc>
          <w:tcPr>
            <w:tcW w:type="dxa" w:w="3322"/>
          </w:tcPr>
          <w:p>
            <w:pPr>
              <w:pStyle w:val="null3"/>
            </w:pPr>
            <w:r>
              <w:rPr>
                <w:rFonts w:ascii="仿宋_GB2312" w:hAnsi="仿宋_GB2312" w:cs="仿宋_GB2312" w:eastAsia="仿宋_GB2312"/>
              </w:rPr>
              <w:t>供应商具备《网络安全等级测评与检测评估机构服务认证证书》或《网络安全服务认证证书等级保护测评服务认证》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w:t>
            </w:r>
          </w:p>
        </w:tc>
        <w:tc>
          <w:tcPr>
            <w:tcW w:type="dxa" w:w="3322"/>
          </w:tcPr>
          <w:p>
            <w:pPr>
              <w:pStyle w:val="null3"/>
            </w:pPr>
            <w:r>
              <w:rPr>
                <w:rFonts w:ascii="仿宋_GB2312" w:hAnsi="仿宋_GB2312" w:cs="仿宋_GB2312" w:eastAsia="仿宋_GB2312"/>
              </w:rPr>
              <w:t>供应商名称与获取磋商文件的单位名称一致</w:t>
            </w:r>
          </w:p>
        </w:tc>
        <w:tc>
          <w:tcPr>
            <w:tcW w:type="dxa" w:w="1661"/>
          </w:tcPr>
          <w:p>
            <w:pPr>
              <w:pStyle w:val="null3"/>
            </w:pPr>
            <w:r>
              <w:rPr>
                <w:rFonts w:ascii="仿宋_GB2312" w:hAnsi="仿宋_GB2312" w:cs="仿宋_GB2312" w:eastAsia="仿宋_GB2312"/>
              </w:rPr>
              <w:t>响应文件封面 磋商要求偏离表.docx 分项报价表.docx 中小企业声明函 残疾人福利性单位声明函 标的清单 其他资料.docx 响应函 提供符合政府采购政策的证明材料.docx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w:t>
            </w:r>
          </w:p>
        </w:tc>
        <w:tc>
          <w:tcPr>
            <w:tcW w:type="dxa" w:w="3322"/>
          </w:tcPr>
          <w:p>
            <w:pPr>
              <w:pStyle w:val="null3"/>
            </w:pPr>
            <w:r>
              <w:rPr>
                <w:rFonts w:ascii="仿宋_GB2312" w:hAnsi="仿宋_GB2312" w:cs="仿宋_GB2312" w:eastAsia="仿宋_GB2312"/>
              </w:rPr>
              <w:t>磋商响应文件按照磋商文件规定要求签署、盖章</w:t>
            </w:r>
          </w:p>
        </w:tc>
        <w:tc>
          <w:tcPr>
            <w:tcW w:type="dxa" w:w="1661"/>
          </w:tcPr>
          <w:p>
            <w:pPr>
              <w:pStyle w:val="null3"/>
            </w:pPr>
            <w:r>
              <w:rPr>
                <w:rFonts w:ascii="仿宋_GB2312" w:hAnsi="仿宋_GB2312" w:cs="仿宋_GB2312" w:eastAsia="仿宋_GB2312"/>
              </w:rPr>
              <w:t>响应文件封面 磋商要求偏离表.docx 分项报价表.docx 中小企业声明函 残疾人福利性单位声明函 标的清单 其他资料.docx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响应有效期是否满足采购文件要求的</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报价是否超过磋商文件中规定的预算金额或者最高限价的</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磋商要求偏离表.docx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项目测评方案</w:t>
            </w:r>
          </w:p>
        </w:tc>
        <w:tc>
          <w:tcPr>
            <w:tcW w:type="dxa" w:w="2492"/>
          </w:tcPr>
          <w:p>
            <w:pPr>
              <w:pStyle w:val="null3"/>
            </w:pPr>
            <w:r>
              <w:rPr>
                <w:rFonts w:ascii="仿宋_GB2312" w:hAnsi="仿宋_GB2312" w:cs="仿宋_GB2312" w:eastAsia="仿宋_GB2312"/>
              </w:rPr>
              <w:t>结合本项目实际情况，提供项目测评方案，方案包括①定级备案②系统调研③初测评、差距测评、复测评； 一、评审标准 1.完整性：方案必须全面，对评审内容中的各项要求有详细描述； 2.针对性：方案能够紧扣项目实际情况，内容科学合理； 3.可实施性：方案切合本项目实际情况，步骤清晰、专业性强 二、赋分标准 1.定级备案：每满足一个评审标准得2分，存在1处缺陷扣1分，不满足得0分，满分6分； 2.系统调研：每满足一个评审标准得2分，存在1处缺陷扣1分，不满足得0分，满分6分； 3.初测评、差距测评、复测评：每满足一个评审标准得2分，存在1处缺陷扣1分，不满足得0分，满分6分； （缺陷是指：内容不完整、缺少关键点、针对性不强、内容表述前后不一致、现有技术条件下不可能出现的及其他不利于项目实施的情形等任意一种情形）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项目组织计划方案</w:t>
            </w:r>
          </w:p>
        </w:tc>
        <w:tc>
          <w:tcPr>
            <w:tcW w:type="dxa" w:w="2492"/>
          </w:tcPr>
          <w:p>
            <w:pPr>
              <w:pStyle w:val="null3"/>
            </w:pPr>
            <w:r>
              <w:rPr>
                <w:rFonts w:ascii="仿宋_GB2312" w:hAnsi="仿宋_GB2312" w:cs="仿宋_GB2312" w:eastAsia="仿宋_GB2312"/>
              </w:rPr>
              <w:t>结合本项目实际情况，提供项目组织计划方案，方案包括①项目组织架构及任务分工②人员配备③项目实施周期和进度计划表④进度保障措施； 一、评审标准 1.完整性：方案必须全面，对评审内容中的各项要求有详细描述； 2.针对性：方案能够紧扣项目实际情况，内容科学合理； 3.可实施性：方案切合本项目实际情况，步骤清晰、专业性强 二、赋分标准 1.项目组织架构及任务分工：每满足一个评审标准得1分，存在1处缺陷扣0.5分，不满足得0分，满分3分； 2.人员配备：每满足一个评审标准得1分，存在1处缺陷扣0.5分，不满足得0分，满分3分； 3.项目实施周期和进度计划表：每满足一个评审标准得1分，存在1处缺陷扣0.5分，不满足得0分，满分3分； 4.进度保障措施：每满足一个评审标准得1分，存在1处缺陷扣0.5分，不满足得0分，满分3分。 （缺陷是指：内容不完整、缺少关键点、针对性不强、内容表述前后不一致、现有技术条件下不可能出现的及其他不利于项目实施的情形等任意一种情形）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结合本项目实际情况，提供质量保证方案，方案包括①项目质量管控措施②过程控制及监控手段； 一、评审标准 1.完整性：方案必须全面，对评审内容中的各项要求有详细描述； 2.针对性：方案能够紧扣项目实际情况，内容科学合理； 3.可实施性：方案切合本项目实际情况，步骤清晰、专业性强； 二、赋分标准 1.项目质量管控措施：每满足一个评审标准得2分，存在1处缺陷扣1分，不满足得0分，满分6分； 2.过程控制及监控手段：每满足一个评审标准得2分，存在1处缺陷扣1分，不满足得0分，满分6分。 （缺陷是指：内容不完整、缺少关键点、针对性不强、内容表述前后不一致、现有技术条件下不可能出现的及其他不利于项目实施的情形等任意一种情形）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供应商针对本项目提供测评过程的保密承诺及保密措施； 措施内容完整、可实施、且有针对性得5分；内容完整、可实施得3分；措施基本完整得1分；未提供不得分。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供应商针对本项目突发情况有具体可行的应急措施和解决方案； 措施内容完整、可实施、且有针对性得5分；内容完整、可实施得3分；措施基本完整得1分；未提供不得分。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团队技术能力</w:t>
            </w:r>
          </w:p>
        </w:tc>
        <w:tc>
          <w:tcPr>
            <w:tcW w:type="dxa" w:w="2492"/>
          </w:tcPr>
          <w:p>
            <w:pPr>
              <w:pStyle w:val="null3"/>
            </w:pPr>
            <w:r>
              <w:rPr>
                <w:rFonts w:ascii="仿宋_GB2312" w:hAnsi="仿宋_GB2312" w:cs="仿宋_GB2312" w:eastAsia="仿宋_GB2312"/>
              </w:rPr>
              <w:t>1.针对本项目的测评团队中至少包含2名高级测评师，4名中级测评师，满足条件的计2分；不满足不计分。在满足条件基础上，每增加1名高级测评师加1分；本项最多计4分。 2.项目经理在高级测评师基础上具备以下证书：项目经理-PMP证书、网络安全架构师（高级）证书、数据安全管理师（高级）证书，每提供1个证书计1分，满分3分。 3.项目测评组长在高级测评师证书基础上具备以下证书：中级信息安全工程师证书、云计算技术（高级）证书、CISP-PTE证书，每提供1个证书计1分，满分3分。 （以近三个月内任意一个月社保缴纳证明及全国网络安全等级保护网查询结果为准）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企业技术实力</w:t>
            </w:r>
          </w:p>
        </w:tc>
        <w:tc>
          <w:tcPr>
            <w:tcW w:type="dxa" w:w="2492"/>
          </w:tcPr>
          <w:p>
            <w:pPr>
              <w:pStyle w:val="null3"/>
            </w:pPr>
            <w:r>
              <w:rPr>
                <w:rFonts w:ascii="仿宋_GB2312" w:hAnsi="仿宋_GB2312" w:cs="仿宋_GB2312" w:eastAsia="仿宋_GB2312"/>
              </w:rPr>
              <w:t>供应商应具备提供本项目相关服务的技术能力。 1.供应商具有中国网络安全审查技术与认证中心或中国网络安全审查认证和市场监管大数据中心颁发的信息安全风险评估资质证书，计2分；未提供不计分。 2.供应商具有中国网络安全审查技术与认证中心或中国网络安全审查认证和市场监管大数据中心颁发的信息安全应急处理资质证书，计2分；未提供不计分。 3.供应商具有中国网络安全审查技术与认证中心或中国网络安全审查认证和市场监管大数据中心颁发的信息系统灾难备份与恢复服务资质证书，计2分；未提供不计分。 4.服务商具有CMA检验检测机构资质认定证书，计2分；未提供不计分。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为保障测评项目结束后的网络信息安全，服务商须提供完善的售后服务。包括①应急响应服务②电话支持服务③配合检查服务④安全咨询服务⑤安全培训服务内容； 一、评审标准 1.完整性：方案必须全面，对评审内容中的各项要求有详细描述； 2.针对性：方案能够紧扣项目实际情况，内容科学合理； 二、赋分标准 1.应急响应服务：每满足一个评审标准得1分，存在1处缺陷扣1分，不满足得0分，满分2分； 2.电话支持服务：每满足一个评审标准得1分，存在1处缺陷扣1分，不满足得0分，满分2分； 3.配合检查服务：每满足一个评审标准得1分，存在1处缺陷扣1分，不满足得0分，满分2分； 4.安全咨询服务：每满足一个评审标准得1分，存在1处缺陷扣1分，不满足得0分，满分2分； 5.安全培训服务内容：每满足一个评审标准得1分，存在1处缺陷扣1分，不满足得0分，满分2分； （缺陷是指：内容不完整、缺少关键点、针对性不强、内容表述前后不一致、现有技术条件下不可能出现的及其他不利于项目实施的情形等任意一种情形）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供应商提供2022年1月1日至今实施的同类业绩证明资料（须提供同类合同或验收文件的复印件并加盖公章，时间以合同或验收文件为准），每份业绩计2分，最高10分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满足竞争性磋商文件要求且最终报价价格最低的报价为评标基准价，其价格分为满分。其他供应商的价格分统一按照下列公式计算：价格分=(评标基准价／最终报价)×10注：计算分数时四舍五入取小数点后两位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提供符合政府采购政策的证明材料.docx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详见附件：磋商要求偏离表.docx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详见附件：提供符合政府采购政策的证明材料.docx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