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552F4">
      <w:pPr>
        <w:pStyle w:val="2"/>
        <w:ind w:firstLine="1285" w:firstLineChars="400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法定代表人证明书与法定代表人授权书</w:t>
      </w:r>
    </w:p>
    <w:p w14:paraId="7562BDB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 w14:paraId="654581AD"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755114C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820C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50808A5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致：陕西国创招标有限公司</w:t>
            </w:r>
          </w:p>
        </w:tc>
      </w:tr>
      <w:tr w14:paraId="407B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BDA4F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52674E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E4194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3D616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3DDC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7CDE46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24BE22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058751A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3253A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E59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8AE629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9E185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FFA6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736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CD6DF7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5E40A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439A6E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498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0060E2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66BD1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A36B2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125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CE980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9C3CA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9D5B5F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7EBA1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8DC733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E04A2B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9C369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EC9D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238D75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DF2B9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13E7CE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762949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0E8C82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FF3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5FD1C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6A5A4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13EB973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0EC22E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1184E73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3B9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09FE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C333B5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39B61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F6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0ABC6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32ECED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A821D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580E7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A6272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A5DEA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A953D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459742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677BB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05A3D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2FED3DF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48601282">
      <w:pPr>
        <w:tabs>
          <w:tab w:val="left" w:pos="210"/>
        </w:tabs>
        <w:spacing w:line="360" w:lineRule="auto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6311BA0A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陕西国创招标有限公司：</w:t>
      </w:r>
    </w:p>
    <w:p w14:paraId="0EE7E52A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（谈判项目名称）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）的谈判、洽谈、执行等具体事务，签署全部有关文件、文书、协议、合同，本公司对被授权人在本项目中的签名承担全部法律责任。本授权书自谈判大会之日起计算有效期为    </w:t>
      </w:r>
      <w:r>
        <w:rPr>
          <w:rFonts w:hint="eastAsia" w:hAnsi="宋体"/>
          <w:sz w:val="24"/>
          <w:szCs w:val="24"/>
          <w:lang w:val="en-US" w:eastAsia="zh-CN"/>
        </w:rPr>
        <w:t>90</w:t>
      </w:r>
      <w:r>
        <w:rPr>
          <w:rFonts w:hint="eastAsia" w:hAnsi="宋体"/>
          <w:sz w:val="24"/>
          <w:szCs w:val="24"/>
        </w:rPr>
        <w:t>天。</w:t>
      </w:r>
    </w:p>
    <w:p w14:paraId="29E5D3B9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6BB12F07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41AAB573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485872F3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0EB251A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3A9C2FC1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0"/>
        <w:gridCol w:w="4070"/>
      </w:tblGrid>
      <w:tr w14:paraId="7A40F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  <w:jc w:val="center"/>
        </w:trPr>
        <w:tc>
          <w:tcPr>
            <w:tcW w:w="4070" w:type="dxa"/>
            <w:shd w:val="clear" w:color="auto" w:fill="E0E0E0"/>
            <w:noWrap w:val="0"/>
            <w:vAlign w:val="center"/>
          </w:tcPr>
          <w:p w14:paraId="25002C6A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070" w:type="dxa"/>
            <w:shd w:val="clear" w:color="auto" w:fill="E0E0E0"/>
            <w:noWrap w:val="0"/>
            <w:vAlign w:val="center"/>
          </w:tcPr>
          <w:p w14:paraId="695A47F4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11B5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4070" w:type="dxa"/>
            <w:shd w:val="clear" w:color="auto" w:fill="E0E0E0"/>
            <w:noWrap w:val="0"/>
            <w:vAlign w:val="center"/>
          </w:tcPr>
          <w:p w14:paraId="77A0104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070" w:type="dxa"/>
            <w:shd w:val="clear" w:color="auto" w:fill="E0E0E0"/>
            <w:noWrap w:val="0"/>
            <w:vAlign w:val="center"/>
          </w:tcPr>
          <w:p w14:paraId="5A1BCD5B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CF94F88">
      <w:pPr>
        <w:pStyle w:val="2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36CBE14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1．本授权书有效期自谈判大会之日计算不得少于九十天。</w:t>
      </w:r>
    </w:p>
    <w:p w14:paraId="593E8E08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6828A3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4454"/>
    <w:rsid w:val="5DB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2025-12-19T02:47:00Z</dcterms:created>
  <dc:creator>rq</dc:creator>
  <cp:lastModifiedBy>rq</cp:lastModifiedBy>
  <dcterms:modified xsi:type="dcterms:W3CDTF">2025-12-19T02:47:47Z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D82B3356960D472AA0E4498B36402E3D_11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