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版本号：ZMZB2025GCDX-31420260130002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同步热分析仪、3D超景深显微镜采购项目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ZMZB2025GCDX-314</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同步热分析仪、3D超景深显微镜采购项目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ZMZB2025GCDX-314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同步热分析仪、3D超景深显微镜采购项目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同步热分析仪、3D超景深显微镜采购项目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进口授权：所投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进口授权：所投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说明：（1）供应商中标后凭中标通知书向采购人缴纳合同金额的5%作为履约保证金； （2）履约保证金应使用人民币，可选择使用银行转账、支票、汇票、本票或者金融机构、担保机构出具的保函等非现金形式缴纳或提交； （3）采购人验收合格后，供应商提出书面申请，采购人将履约保证金（无息）退还供应商。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说明：（1）供应商中标后凭中标通知书向采购人缴纳合同金额的5%作为履约保证金； （2）履约保证金应使用人民币，可选择使用银行转账、支票、汇票、本票或者金融机构、担保机构出具的保函等非现金形式缴纳或提交； （3）采购人验收合格后，供应商提出书面申请，采购人将履约保证金（无息）退还供应商。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标准计算。 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同步热分析仪、3D超景深显微镜采购项目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同步热分析仪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3D超景深显微镜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标的名称：同步热分析仪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b/>
              </w:rPr>
              <w:t>一、主机</w:t>
            </w:r>
          </w:p>
          <w:p>
            <w:pPr>
              <w:pStyle w:val="null3"/>
              <w:spacing w:after="105"/>
              <w:jc w:val="both"/>
            </w:pPr>
            <w:r>
              <w:rPr>
                <w:rFonts w:ascii="仿宋_GB2312" w:hAnsi="仿宋_GB2312" w:cs="仿宋_GB2312" w:eastAsia="仿宋_GB2312"/>
                <w:sz w:val="21"/>
              </w:rPr>
              <w:t>▲1、炉体：立式炉体或水平炉体，铂/铑合金发热体材质，抗高温氧化；</w:t>
            </w:r>
          </w:p>
          <w:p>
            <w:pPr>
              <w:pStyle w:val="null3"/>
              <w:spacing w:after="105"/>
              <w:jc w:val="both"/>
            </w:pPr>
            <w:r>
              <w:rPr>
                <w:rFonts w:ascii="仿宋_GB2312" w:hAnsi="仿宋_GB2312" w:cs="仿宋_GB2312" w:eastAsia="仿宋_GB2312"/>
                <w:sz w:val="21"/>
              </w:rPr>
              <w:t>▲2、气流控制：≥3路气体的质量流量计，用于气流量的数字化精确控制和切换，热分析软件同步记录流量流速曲线；</w:t>
            </w:r>
          </w:p>
          <w:p>
            <w:pPr>
              <w:pStyle w:val="null3"/>
              <w:spacing w:after="105"/>
              <w:jc w:val="both"/>
            </w:pPr>
            <w:r>
              <w:rPr>
                <w:rFonts w:ascii="仿宋_GB2312" w:hAnsi="仿宋_GB2312" w:cs="仿宋_GB2312" w:eastAsia="仿宋_GB2312"/>
                <w:sz w:val="21"/>
              </w:rPr>
              <w:t>3、真空度：≤10</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mbar，真空密闭结构，真空泵由热分析软件自动控制，主机具有独立的真空法兰接口；</w:t>
            </w:r>
          </w:p>
          <w:p>
            <w:pPr>
              <w:pStyle w:val="null3"/>
              <w:spacing w:after="105"/>
              <w:jc w:val="both"/>
            </w:pPr>
            <w:r>
              <w:rPr>
                <w:rFonts w:ascii="仿宋_GB2312" w:hAnsi="仿宋_GB2312" w:cs="仿宋_GB2312" w:eastAsia="仿宋_GB2312"/>
                <w:sz w:val="21"/>
              </w:rPr>
              <w:t>▲4、温度范围：RT～1600℃；</w:t>
            </w:r>
          </w:p>
          <w:p>
            <w:pPr>
              <w:pStyle w:val="null3"/>
              <w:spacing w:after="105"/>
              <w:jc w:val="both"/>
            </w:pPr>
            <w:r>
              <w:rPr>
                <w:rFonts w:ascii="仿宋_GB2312" w:hAnsi="仿宋_GB2312" w:cs="仿宋_GB2312" w:eastAsia="仿宋_GB2312"/>
                <w:sz w:val="21"/>
              </w:rPr>
              <w:t>▲5、升温速率：优于0.1℃/min～50℃/min；</w:t>
            </w:r>
          </w:p>
          <w:p>
            <w:pPr>
              <w:pStyle w:val="null3"/>
              <w:spacing w:after="105"/>
              <w:jc w:val="both"/>
            </w:pPr>
            <w:r>
              <w:rPr>
                <w:rFonts w:ascii="仿宋_GB2312" w:hAnsi="仿宋_GB2312" w:cs="仿宋_GB2312" w:eastAsia="仿宋_GB2312"/>
                <w:sz w:val="21"/>
              </w:rPr>
              <w:t>▲6、降温速率：1600℃～室温＠45分钟；</w:t>
            </w:r>
          </w:p>
          <w:p>
            <w:pPr>
              <w:pStyle w:val="null3"/>
              <w:spacing w:after="105"/>
              <w:jc w:val="both"/>
            </w:pPr>
            <w:r>
              <w:rPr>
                <w:rFonts w:ascii="仿宋_GB2312" w:hAnsi="仿宋_GB2312" w:cs="仿宋_GB2312" w:eastAsia="仿宋_GB2312"/>
                <w:sz w:val="21"/>
              </w:rPr>
              <w:t>▲7、最大称重量：≥30000mg；</w:t>
            </w:r>
          </w:p>
          <w:p>
            <w:pPr>
              <w:pStyle w:val="null3"/>
              <w:spacing w:after="105"/>
              <w:jc w:val="both"/>
            </w:pPr>
            <w:r>
              <w:rPr>
                <w:rFonts w:ascii="仿宋_GB2312" w:hAnsi="仿宋_GB2312" w:cs="仿宋_GB2312" w:eastAsia="仿宋_GB2312"/>
                <w:sz w:val="21"/>
              </w:rPr>
              <w:t>★8、天平分辨率：≤0.1μg；</w:t>
            </w:r>
          </w:p>
          <w:p>
            <w:pPr>
              <w:pStyle w:val="null3"/>
              <w:spacing w:after="105"/>
              <w:jc w:val="both"/>
            </w:pPr>
            <w:r>
              <w:rPr>
                <w:rFonts w:ascii="仿宋_GB2312" w:hAnsi="仿宋_GB2312" w:cs="仿宋_GB2312" w:eastAsia="仿宋_GB2312"/>
                <w:sz w:val="21"/>
              </w:rPr>
              <w:t>9、量热准确度：±1%（标准金属）；</w:t>
            </w:r>
          </w:p>
          <w:p>
            <w:pPr>
              <w:pStyle w:val="null3"/>
              <w:spacing w:after="105"/>
              <w:jc w:val="both"/>
            </w:pPr>
            <w:r>
              <w:rPr>
                <w:rFonts w:ascii="仿宋_GB2312" w:hAnsi="仿宋_GB2312" w:cs="仿宋_GB2312" w:eastAsia="仿宋_GB2312"/>
                <w:sz w:val="21"/>
              </w:rPr>
              <w:t>10、温度精度：±0.1℃（标准金属），多点温度校正；</w:t>
            </w:r>
          </w:p>
          <w:p>
            <w:pPr>
              <w:pStyle w:val="null3"/>
              <w:spacing w:after="105"/>
              <w:jc w:val="both"/>
            </w:pPr>
            <w:r>
              <w:rPr>
                <w:rFonts w:ascii="仿宋_GB2312" w:hAnsi="仿宋_GB2312" w:cs="仿宋_GB2312" w:eastAsia="仿宋_GB2312"/>
                <w:sz w:val="21"/>
              </w:rPr>
              <w:t>11、气氛：惰性，氧化，还原，静态，动态；</w:t>
            </w:r>
          </w:p>
          <w:p>
            <w:pPr>
              <w:pStyle w:val="null3"/>
              <w:spacing w:after="105"/>
              <w:jc w:val="both"/>
            </w:pPr>
            <w:r>
              <w:rPr>
                <w:rFonts w:ascii="仿宋_GB2312" w:hAnsi="仿宋_GB2312" w:cs="仿宋_GB2312" w:eastAsia="仿宋_GB2312"/>
                <w:sz w:val="21"/>
              </w:rPr>
              <w:t>▲12、天平室恒温：采用电子自动恒温，非水冷；</w:t>
            </w:r>
          </w:p>
          <w:p>
            <w:pPr>
              <w:pStyle w:val="null3"/>
              <w:spacing w:after="105"/>
              <w:jc w:val="both"/>
            </w:pPr>
            <w:r>
              <w:rPr>
                <w:rFonts w:ascii="仿宋_GB2312" w:hAnsi="仿宋_GB2312" w:cs="仿宋_GB2312" w:eastAsia="仿宋_GB2312"/>
                <w:sz w:val="21"/>
              </w:rPr>
              <w:t>13、标配LED状态栏，可实时显示仪器运行状态或故障警报；</w:t>
            </w:r>
          </w:p>
          <w:p>
            <w:pPr>
              <w:pStyle w:val="null3"/>
              <w:spacing w:after="105"/>
              <w:jc w:val="both"/>
            </w:pPr>
            <w:r>
              <w:rPr>
                <w:rFonts w:ascii="仿宋_GB2312" w:hAnsi="仿宋_GB2312" w:cs="仿宋_GB2312" w:eastAsia="仿宋_GB2312"/>
                <w:sz w:val="21"/>
              </w:rPr>
              <w:t>14、软件：内核汉化的中文及英文多功能控制与数据分析软件，系统标配智能化热重基线技术，可自动进行热重基线校正；</w:t>
            </w:r>
          </w:p>
          <w:p>
            <w:pPr>
              <w:pStyle w:val="null3"/>
              <w:spacing w:before="105" w:after="105"/>
              <w:jc w:val="both"/>
            </w:pPr>
            <w:r>
              <w:rPr>
                <w:rFonts w:ascii="仿宋_GB2312" w:hAnsi="仿宋_GB2312" w:cs="仿宋_GB2312" w:eastAsia="仿宋_GB2312"/>
                <w:sz w:val="24"/>
                <w:b/>
              </w:rPr>
              <w:t>二、其他配套设备</w:t>
            </w:r>
          </w:p>
          <w:p>
            <w:pPr>
              <w:pStyle w:val="null3"/>
              <w:spacing w:after="105"/>
              <w:jc w:val="both"/>
            </w:pPr>
            <w:r>
              <w:rPr>
                <w:rFonts w:ascii="仿宋_GB2312" w:hAnsi="仿宋_GB2312" w:cs="仿宋_GB2312" w:eastAsia="仿宋_GB2312"/>
                <w:sz w:val="21"/>
              </w:rPr>
              <w:t>15、标样：标配用于标定温度和热焓的金属标样（≥7种：In、Sn、Zn、Al、Ag、Au、Ni等），带证书；</w:t>
            </w:r>
          </w:p>
          <w:p>
            <w:pPr>
              <w:pStyle w:val="null3"/>
              <w:spacing w:after="105"/>
              <w:jc w:val="both"/>
            </w:pPr>
            <w:r>
              <w:rPr>
                <w:rFonts w:ascii="仿宋_GB2312" w:hAnsi="仿宋_GB2312" w:cs="仿宋_GB2312" w:eastAsia="仿宋_GB2312"/>
                <w:sz w:val="21"/>
              </w:rPr>
              <w:t>▲16、TG-DSC同步检测样品支架：配备高灵敏度铂金导热盘；</w:t>
            </w:r>
          </w:p>
          <w:p>
            <w:pPr>
              <w:pStyle w:val="null3"/>
              <w:spacing w:after="105"/>
              <w:jc w:val="both"/>
            </w:pPr>
            <w:r>
              <w:rPr>
                <w:rFonts w:ascii="仿宋_GB2312" w:hAnsi="仿宋_GB2312" w:cs="仿宋_GB2312" w:eastAsia="仿宋_GB2312"/>
                <w:sz w:val="21"/>
              </w:rPr>
              <w:t>17、TG大样品支架：可容纳≥5ml的大样品坩埚，适用于纤维状样品；</w:t>
            </w:r>
          </w:p>
          <w:p>
            <w:pPr>
              <w:pStyle w:val="null3"/>
              <w:spacing w:after="105"/>
              <w:jc w:val="both"/>
            </w:pPr>
            <w:r>
              <w:rPr>
                <w:rFonts w:ascii="仿宋_GB2312" w:hAnsi="仿宋_GB2312" w:cs="仿宋_GB2312" w:eastAsia="仿宋_GB2312"/>
                <w:sz w:val="21"/>
              </w:rPr>
              <w:t>18、另外配备精度为0.01mg/50g的外置天平；</w:t>
            </w:r>
          </w:p>
          <w:p>
            <w:pPr>
              <w:pStyle w:val="null3"/>
              <w:spacing w:after="105"/>
              <w:jc w:val="both"/>
            </w:pPr>
            <w:r>
              <w:rPr>
                <w:rFonts w:ascii="仿宋_GB2312" w:hAnsi="仿宋_GB2312" w:cs="仿宋_GB2312" w:eastAsia="仿宋_GB2312"/>
                <w:sz w:val="21"/>
              </w:rPr>
              <w:t>▲19、配备≥30位的自动进样器；</w:t>
            </w:r>
          </w:p>
          <w:p>
            <w:pPr>
              <w:pStyle w:val="null3"/>
            </w:pPr>
            <w:r>
              <w:rPr>
                <w:rFonts w:ascii="仿宋_GB2312" w:hAnsi="仿宋_GB2312" w:cs="仿宋_GB2312" w:eastAsia="仿宋_GB2312"/>
                <w:sz w:val="21"/>
              </w:rPr>
              <w:t>20、控制系统不低于以下要求：i7；16G ；1T 固态硬盘；独立显卡；27 吋显示器；键盘鼠标1套。</w:t>
            </w:r>
          </w:p>
          <w:p>
            <w:pPr>
              <w:pStyle w:val="null3"/>
            </w:pPr>
            <w:r>
              <w:rPr>
                <w:rFonts w:ascii="仿宋_GB2312" w:hAnsi="仿宋_GB2312" w:cs="仿宋_GB2312" w:eastAsia="仿宋_GB2312"/>
                <w:sz w:val="24"/>
              </w:rPr>
              <w:t>配置要求</w:t>
            </w:r>
          </w:p>
          <w:p>
            <w:pPr>
              <w:pStyle w:val="null3"/>
              <w:spacing w:before="105" w:after="105"/>
              <w:jc w:val="both"/>
            </w:pPr>
            <w:r>
              <w:rPr>
                <w:rFonts w:ascii="仿宋_GB2312" w:hAnsi="仿宋_GB2312" w:cs="仿宋_GB2312" w:eastAsia="仿宋_GB2312"/>
                <w:sz w:val="21"/>
              </w:rPr>
              <w:t>1、热分析仪主机1台；</w:t>
            </w:r>
          </w:p>
          <w:p>
            <w:pPr>
              <w:pStyle w:val="null3"/>
              <w:spacing w:before="105" w:after="105"/>
              <w:jc w:val="both"/>
            </w:pPr>
            <w:r>
              <w:rPr>
                <w:rFonts w:ascii="仿宋_GB2312" w:hAnsi="仿宋_GB2312" w:cs="仿宋_GB2312" w:eastAsia="仿宋_GB2312"/>
                <w:sz w:val="21"/>
              </w:rPr>
              <w:t>2、气体质量流量计1套；</w:t>
            </w:r>
          </w:p>
          <w:p>
            <w:pPr>
              <w:pStyle w:val="null3"/>
              <w:spacing w:before="105" w:after="105"/>
              <w:jc w:val="both"/>
            </w:pPr>
            <w:r>
              <w:rPr>
                <w:rFonts w:ascii="仿宋_GB2312" w:hAnsi="仿宋_GB2312" w:cs="仿宋_GB2312" w:eastAsia="仿宋_GB2312"/>
                <w:sz w:val="21"/>
              </w:rPr>
              <w:t>3、自动真空泵1套；</w:t>
            </w:r>
          </w:p>
          <w:p>
            <w:pPr>
              <w:pStyle w:val="null3"/>
              <w:spacing w:before="105" w:after="105"/>
              <w:jc w:val="both"/>
            </w:pPr>
            <w:r>
              <w:rPr>
                <w:rFonts w:ascii="仿宋_GB2312" w:hAnsi="仿宋_GB2312" w:cs="仿宋_GB2312" w:eastAsia="仿宋_GB2312"/>
                <w:sz w:val="21"/>
              </w:rPr>
              <w:t>4、中文基本操作与分析软件（可切换英文）系统1套；</w:t>
            </w:r>
          </w:p>
          <w:p>
            <w:pPr>
              <w:pStyle w:val="null3"/>
              <w:spacing w:before="105" w:after="105"/>
              <w:jc w:val="both"/>
            </w:pPr>
            <w:r>
              <w:rPr>
                <w:rFonts w:ascii="仿宋_GB2312" w:hAnsi="仿宋_GB2312" w:cs="仿宋_GB2312" w:eastAsia="仿宋_GB2312"/>
                <w:sz w:val="21"/>
              </w:rPr>
              <w:t>5、金属标样1套；</w:t>
            </w:r>
          </w:p>
          <w:p>
            <w:pPr>
              <w:pStyle w:val="null3"/>
              <w:spacing w:before="105" w:after="105"/>
              <w:jc w:val="both"/>
            </w:pPr>
            <w:r>
              <w:rPr>
                <w:rFonts w:ascii="仿宋_GB2312" w:hAnsi="仿宋_GB2312" w:cs="仿宋_GB2312" w:eastAsia="仿宋_GB2312"/>
                <w:sz w:val="21"/>
              </w:rPr>
              <w:t>6、TG-DSC样品支架2套；</w:t>
            </w:r>
          </w:p>
          <w:p>
            <w:pPr>
              <w:pStyle w:val="null3"/>
              <w:spacing w:before="105" w:after="105"/>
              <w:jc w:val="both"/>
            </w:pPr>
            <w:r>
              <w:rPr>
                <w:rFonts w:ascii="仿宋_GB2312" w:hAnsi="仿宋_GB2312" w:cs="仿宋_GB2312" w:eastAsia="仿宋_GB2312"/>
                <w:sz w:val="21"/>
              </w:rPr>
              <w:t>7、TG大样品支架1套；</w:t>
            </w:r>
          </w:p>
          <w:p>
            <w:pPr>
              <w:pStyle w:val="null3"/>
              <w:spacing w:before="105" w:after="105"/>
              <w:jc w:val="both"/>
            </w:pPr>
            <w:r>
              <w:rPr>
                <w:rFonts w:ascii="仿宋_GB2312" w:hAnsi="仿宋_GB2312" w:cs="仿宋_GB2312" w:eastAsia="仿宋_GB2312"/>
                <w:sz w:val="21"/>
              </w:rPr>
              <w:t>8、外置天平1台；</w:t>
            </w:r>
          </w:p>
          <w:p>
            <w:pPr>
              <w:pStyle w:val="null3"/>
              <w:spacing w:before="105" w:after="105"/>
              <w:jc w:val="both"/>
            </w:pPr>
            <w:r>
              <w:rPr>
                <w:rFonts w:ascii="仿宋_GB2312" w:hAnsi="仿宋_GB2312" w:cs="仿宋_GB2312" w:eastAsia="仿宋_GB2312"/>
                <w:sz w:val="21"/>
              </w:rPr>
              <w:t>9、自动进样系统1套；</w:t>
            </w:r>
          </w:p>
          <w:p>
            <w:pPr>
              <w:pStyle w:val="null3"/>
              <w:spacing w:before="105" w:after="105"/>
              <w:jc w:val="both"/>
            </w:pPr>
            <w:r>
              <w:rPr>
                <w:rFonts w:ascii="仿宋_GB2312" w:hAnsi="仿宋_GB2312" w:cs="仿宋_GB2312" w:eastAsia="仿宋_GB2312"/>
                <w:sz w:val="21"/>
              </w:rPr>
              <w:t>10、样品坩埚：≥80ul氧化铝坩埚（带盖子）1000套；铂铑合金坩埚罩（用于氧化铝坩埚外部）5个；≥80ul铂金坩埚（带盖子）10套，≥5ml氧化铝大样品坩埚10个，蓝宝石垫片2个；</w:t>
            </w:r>
          </w:p>
          <w:p>
            <w:pPr>
              <w:pStyle w:val="null3"/>
              <w:spacing w:before="105" w:after="105"/>
              <w:jc w:val="both"/>
            </w:pPr>
            <w:r>
              <w:rPr>
                <w:rFonts w:ascii="仿宋_GB2312" w:hAnsi="仿宋_GB2312" w:cs="仿宋_GB2312" w:eastAsia="仿宋_GB2312"/>
                <w:sz w:val="21"/>
              </w:rPr>
              <w:t>11、常用工具包 1套；</w:t>
            </w:r>
          </w:p>
          <w:p>
            <w:pPr>
              <w:pStyle w:val="null3"/>
            </w:pPr>
            <w:r>
              <w:rPr>
                <w:rFonts w:ascii="仿宋_GB2312" w:hAnsi="仿宋_GB2312" w:cs="仿宋_GB2312" w:eastAsia="仿宋_GB2312"/>
                <w:sz w:val="21"/>
              </w:rPr>
              <w:t>12、控制系统1台。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标记</w:t>
            </w:r>
            <w:r>
              <w:rPr>
                <w:rFonts w:ascii="仿宋_GB2312" w:hAnsi="仿宋_GB2312" w:cs="仿宋_GB2312" w:eastAsia="仿宋_GB2312"/>
                <w:sz w:val="21"/>
                <w:b/>
                <w:color w:val="000000"/>
              </w:rPr>
              <w:t>★和▲参数必须提供佐证材料（包括但不限于产品彩页、检测报告、功能截图、盖章的说明书等），未提供佐证材料或提供的佐证材料低于招标要求时按负偏离处理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标的名称：3D超景深显微镜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1、光学数码显微镜，远心光学系统，调焦、变倍、照明、显微观察法切换、样品移动、图像处理都由控制器与软件控制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★2、观察方式不少于以下几种：明场、暗场、斜射照明、偏光、透射照明、混合照明（MIX）、阴影浮雕等；</w:t>
            </w:r>
          </w:p>
          <w:p>
            <w:pPr>
              <w:pStyle w:val="null3"/>
              <w:jc w:val="both"/>
            </w:pPr>
            <w:r>
              <w:rPr>
                <w:rFonts w:ascii="仿宋_GB2312" w:hAnsi="仿宋_GB2312" w:cs="仿宋_GB2312" w:eastAsia="仿宋_GB2312"/>
                <w:sz w:val="20"/>
              </w:rPr>
              <w:t>▲3、放大倍率：不窄于30倍～9000倍，光学变焦比不低于：10：1，可连续可变；</w:t>
            </w:r>
          </w:p>
          <w:p>
            <w:pPr>
              <w:pStyle w:val="null3"/>
              <w:jc w:val="both"/>
            </w:pPr>
            <w:r>
              <w:rPr>
                <w:rFonts w:ascii="仿宋_GB2312" w:hAnsi="仿宋_GB2312" w:cs="仿宋_GB2312" w:eastAsia="仿宋_GB2312"/>
                <w:sz w:val="20"/>
              </w:rPr>
              <w:t>4、配备物镜不少于4个：镜头NA值≥0.9；</w:t>
            </w:r>
          </w:p>
          <w:p>
            <w:pPr>
              <w:pStyle w:val="null3"/>
              <w:jc w:val="both"/>
            </w:pPr>
            <w:r>
              <w:rPr>
                <w:rFonts w:ascii="仿宋_GB2312" w:hAnsi="仿宋_GB2312" w:cs="仿宋_GB2312" w:eastAsia="仿宋_GB2312"/>
                <w:sz w:val="20"/>
              </w:rPr>
              <w:t>4.1  20倍物镜 /1个 ，工作距离≥25mm；</w:t>
            </w:r>
          </w:p>
          <w:p>
            <w:pPr>
              <w:pStyle w:val="null3"/>
              <w:jc w:val="both"/>
            </w:pPr>
            <w:r>
              <w:rPr>
                <w:rFonts w:ascii="仿宋_GB2312" w:hAnsi="仿宋_GB2312" w:cs="仿宋_GB2312" w:eastAsia="仿宋_GB2312"/>
                <w:sz w:val="20"/>
              </w:rPr>
              <w:t>4.2  100倍物镜/1个，工作距离≥22mm；</w:t>
            </w:r>
          </w:p>
          <w:p>
            <w:pPr>
              <w:pStyle w:val="null3"/>
              <w:jc w:val="both"/>
            </w:pPr>
            <w:r>
              <w:rPr>
                <w:rFonts w:ascii="仿宋_GB2312" w:hAnsi="仿宋_GB2312" w:cs="仿宋_GB2312" w:eastAsia="仿宋_GB2312"/>
                <w:sz w:val="20"/>
              </w:rPr>
              <w:t>4.3  500倍物镜/1个，工作距离≥6mm；</w:t>
            </w:r>
          </w:p>
          <w:p>
            <w:pPr>
              <w:pStyle w:val="null3"/>
              <w:jc w:val="both"/>
            </w:pPr>
            <w:r>
              <w:rPr>
                <w:rFonts w:ascii="仿宋_GB2312" w:hAnsi="仿宋_GB2312" w:cs="仿宋_GB2312" w:eastAsia="仿宋_GB2312"/>
                <w:sz w:val="20"/>
              </w:rPr>
              <w:t>4.4  2500倍物镜/1个，工作距离≥1mm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5、电动调焦与全自动聚焦，电动调焦行程≥90mm，手动调焦行程≥50mm；</w:t>
            </w:r>
          </w:p>
          <w:p>
            <w:pPr>
              <w:pStyle w:val="null3"/>
              <w:jc w:val="both"/>
            </w:pPr>
            <w:r>
              <w:rPr>
                <w:rFonts w:ascii="仿宋_GB2312" w:hAnsi="仿宋_GB2312" w:cs="仿宋_GB2312" w:eastAsia="仿宋_GB2312"/>
                <w:sz w:val="20"/>
              </w:rPr>
              <w:t>▲6、内置CMOS传感器，传感器尺寸≥1/1英寸，帧速率≥60帧/秒，物理像素≥1230W，4K模式，带帕尔贴制冷</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7、电动载物台行程≥100mm×100mm，最大承重≥5KG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8、光源：≥4段可调LED照明，可单段或多段独立使用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可进行2D、3D测量所需的各种项目（包括平面测量、高度测量、3D剖面测量、粗糙度测量等）；全景拍照功能：全自动拍摄超越单视场的全景图像（支持设置起始点位置自动拍摄，也可通过手指在显示器上的指向全自动拍摄全景图像）全景拍照可拍摄2D、3D图像，通过全景图像可进行大范围的2D、3D测量；</w:t>
            </w:r>
          </w:p>
          <w:p>
            <w:pPr>
              <w:pStyle w:val="null3"/>
              <w:jc w:val="both"/>
            </w:pPr>
            <w:r>
              <w:rPr>
                <w:rFonts w:ascii="仿宋_GB2312" w:hAnsi="仿宋_GB2312" w:cs="仿宋_GB2312" w:eastAsia="仿宋_GB2312"/>
                <w:sz w:val="20"/>
              </w:rPr>
              <w:t>10、全自动拍摄超越单视场的全景图像，包括2D、3D图像，通过全景图像可进行大范围的2D、3D测量；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11</w:t>
            </w:r>
            <w:r>
              <w:rPr>
                <w:rFonts w:ascii="仿宋_GB2312" w:hAnsi="仿宋_GB2312" w:cs="仿宋_GB2312" w:eastAsia="仿宋_GB2312"/>
                <w:sz w:val="21"/>
              </w:rPr>
              <w:t>、</w:t>
            </w:r>
            <w:r>
              <w:rPr>
                <w:rFonts w:ascii="仿宋_GB2312" w:hAnsi="仿宋_GB2312" w:cs="仿宋_GB2312" w:eastAsia="仿宋_GB2312"/>
                <w:sz w:val="20"/>
              </w:rPr>
              <w:t>精确度：</w:t>
            </w:r>
            <w:r>
              <w:rPr>
                <w:rFonts w:ascii="仿宋_GB2312" w:hAnsi="仿宋_GB2312" w:cs="仿宋_GB2312" w:eastAsia="仿宋_GB2312"/>
                <w:sz w:val="20"/>
              </w:rPr>
              <w:t>XY方向准确度≤±3%；Z轴方向重复性≤1μm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▲12、图像拼接，可进行一键式2D、3D图像拼接，拼接像素≥100000*100000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▲13.支持巡航观测，实现平台根据所选任意路径自动匀速移动，且设备在移动过程中能进行实时自动对焦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14、可一键式生成结果报告，报告格式可选或自定义，支持PDF、Excel和TIF格式等；</w:t>
            </w:r>
          </w:p>
          <w:p>
            <w:pPr>
              <w:pStyle w:val="null3"/>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、控制系统配置不低于</w:t>
            </w:r>
            <w:r>
              <w:rPr>
                <w:rFonts w:ascii="仿宋_GB2312" w:hAnsi="仿宋_GB2312" w:cs="仿宋_GB2312" w:eastAsia="仿宋_GB2312"/>
                <w:sz w:val="20"/>
              </w:rPr>
              <w:t>i7，硬盘:512GB-SSD+1T-HDD，32GB DDR5 ECC；专业独立显卡，27吋显示器，键盘鼠标1套。</w:t>
            </w:r>
          </w:p>
          <w:p>
            <w:pPr>
              <w:pStyle w:val="null3"/>
              <w:jc w:val="both"/>
            </w:pPr>
            <w:r>
              <w:rPr>
                <w:rFonts w:ascii="仿宋_GB2312" w:hAnsi="仿宋_GB2312" w:cs="仿宋_GB2312" w:eastAsia="仿宋_GB2312"/>
                <w:sz w:val="20"/>
              </w:rPr>
              <w:t>配置要求</w:t>
            </w:r>
          </w:p>
          <w:p>
            <w:pPr>
              <w:pStyle w:val="null3"/>
              <w:jc w:val="both"/>
            </w:pPr>
            <w:r>
              <w:rPr>
                <w:rFonts w:ascii="仿宋_GB2312" w:hAnsi="仿宋_GB2312" w:cs="仿宋_GB2312" w:eastAsia="仿宋_GB2312"/>
                <w:sz w:val="20"/>
                <w:color w:val="000000"/>
              </w:rPr>
              <w:t>1、显微镜主体1个</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2、机架1套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3、电动载物台1个</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4、操控手柄1个</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5、基础软件1套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6、分析软件（含离线版数据处理模块）1套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7、控制系统1套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8、高分辨率远心低倍镜头1个</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9、高分辨率远心中倍镜头1个</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10、高分辨率远心高倍镜头1个</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11、高分辨率远心超高倍镜头1个</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标记</w:t>
            </w:r>
            <w:r>
              <w:rPr>
                <w:rFonts w:ascii="仿宋_GB2312" w:hAnsi="仿宋_GB2312" w:cs="仿宋_GB2312" w:eastAsia="仿宋_GB2312"/>
                <w:sz w:val="21"/>
                <w:b/>
                <w:color w:val="000000"/>
              </w:rPr>
              <w:t>★和▲参数必须提供佐证材料（包括但不限于产品彩页、检测报告、功能截图、盖章的说明书等），未提供佐证材料或提供的佐证材料低于招标要求时按负偏离处理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交货期：进口设备：合同签订之日起90日历天内完成交付、安装及调试，国产设备：合同签订之日起60日历天内完成交付、安装及调试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交货期：进口设备：合同签订之日起 90日历天内完成交付、安装及调试，国产设备：合同签订之日起 60日历天内完成交付、安装及调试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西安工程大学金花校区纺织学院指定地点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西安工程大学金花校区纺织学院指定地点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口设备：合同生效后，由采购人通过指定的进口业务代理公司向中标人开出全额信用证（100%信用证），信用证100%凭学校出具的正式验收报告解付。最终结算时，中标人应通过采购人指定的进口业务代理公司向采购人开具符合采购人要求的合同总价款发票。 国产设备：合同签订前，中标人须在采购人指定的银行开立一般结算账户。合同签订后，采购人通过银行电汇付给中标人合同总价100%的预付款。设备到货、安装、调试、运行并经验收合格后、最终结算时，中标人须向采购人出具合同总价款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进口设备：合同生效后，由采购人通过指定的进口业务代理公司向中标人开出全额信用证（100%信用证），信用证100%凭学校出具的正式验收报告解付。最终结算时，中标人应通过采购人指定的进口业务代理公司向采购人开具符合采购人要求的合同总价款发票。 国产设备：合同签订前，中标人须在采购人指定的银行开立一般结算账户。合同签订后，采购人通过银行电汇付给中标人合同总价100%的预付款。设备到货、安装、调试、运行并经验收合格后、最终结算时，中标人须向采购人出具合同总价款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质保期：验收合格通过之日起2年。售后服务响应时间（质保期内）：售后服务响应不得超出4小时，制定解决方案， 1 个工作日内派人到现场维修。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质保期：验收合格通过之日起 2年。售后服务响应时间（质保期内）：售后服务响应不得超出 8小时，制定解决方案，3个工作日内派人到现场维修。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2、培训内容及要求：由制造商在设备使用现场提供专业的设备操作、数据分析、维护保养等，直至使用人能熟练操作为止，并终身技术支持。3、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进口授权</w:t>
            </w:r>
          </w:p>
        </w:tc>
        <w:tc>
          <w:tcPr>
            <w:tcW w:type="dxa" w:w="3322"/>
          </w:tcPr>
          <w:p>
            <w:pPr>
              <w:pStyle w:val="null3"/>
            </w:pPr>
            <w:r>
              <w:rPr>
                <w:rFonts w:ascii="仿宋_GB2312" w:hAnsi="仿宋_GB2312" w:cs="仿宋_GB2312" w:eastAsia="仿宋_GB2312"/>
              </w:rPr>
              <w:t>所投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进口授权</w:t>
            </w:r>
          </w:p>
        </w:tc>
        <w:tc>
          <w:tcPr>
            <w:tcW w:type="dxa" w:w="3322"/>
          </w:tcPr>
          <w:p>
            <w:pPr>
              <w:pStyle w:val="null3"/>
            </w:pPr>
            <w:r>
              <w:rPr>
                <w:rFonts w:ascii="仿宋_GB2312" w:hAnsi="仿宋_GB2312" w:cs="仿宋_GB2312" w:eastAsia="仿宋_GB2312"/>
              </w:rPr>
              <w:t>所投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投标文件的交货期、质保期</w:t>
            </w:r>
          </w:p>
        </w:tc>
        <w:tc>
          <w:tcPr>
            <w:tcW w:type="dxa" w:w="3322"/>
          </w:tcPr>
          <w:p>
            <w:pPr>
              <w:pStyle w:val="null3"/>
            </w:pPr>
            <w:r>
              <w:rPr>
                <w:rFonts w:ascii="仿宋_GB2312" w:hAnsi="仿宋_GB2312" w:cs="仿宋_GB2312" w:eastAsia="仿宋_GB2312"/>
              </w:rPr>
              <w:t>投标文件的交货期、质保期不满足招标文件要求 不合格 投标文件的交货期、质保期满足招标文件要求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投标函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投标文件的交货期、质保期</w:t>
            </w:r>
          </w:p>
        </w:tc>
        <w:tc>
          <w:tcPr>
            <w:tcW w:type="dxa" w:w="3322"/>
          </w:tcPr>
          <w:p>
            <w:pPr>
              <w:pStyle w:val="null3"/>
            </w:pPr>
            <w:r>
              <w:rPr>
                <w:rFonts w:ascii="仿宋_GB2312" w:hAnsi="仿宋_GB2312" w:cs="仿宋_GB2312" w:eastAsia="仿宋_GB2312"/>
              </w:rPr>
              <w:t>投标文件的交货期、质保期不满足招标文件要求 不合格 投标文件的交货期、质保期满足招标文件要求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投标函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基本分（36分）：完全符合、响应招标文件要求，没有负偏离计36分，“▲”参数每负偏离一项扣2分，未带标识参数每负偏离一项扣0.82分，扣完为止。 备注：标记★和▲参数必须提供佐证材料（包括但不限于产品彩页、检测报告、功能截图、盖章的说明书等），未提供佐证材料或提供的佐证材料低于招标要求时按负偏离处理。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提供供应商2022年11月1日至今同类项目合同（以合同签订日期为准），每提供1个得1分，最高得5分。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基本分（36分）：完全符合、响应招标文件要求，没有负偏离计36分，“▲”参数每负偏离一项扣3分，未带标识参数每负偏离一项扣0.88分，扣完为止。 备注：标记★和▲参数必须提供佐证材料（包括但不限于产品彩页、检测报告、功能截图、盖章的说明书等），未提供佐证材料或提供的佐证材料低于招标要求时按负偏离处理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提供供应商2022年11月1日至今同类项目合同（以合同签订日期为准），每提供1个得1分，最高得5分。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