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版本号：HXTDJC2025181320251202001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校园网设备维保服务采购项目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HXTDJC20251813</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校园网设备维保服务采购项目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HXTDJC20251813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校园网设备维保服务采购项目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学校信息化的快速发展，学校应用系统总量逐年增加，现有虚拟化平台、移动校园平台、数据治理平台、校园网基础设施等系统已陆续超过原厂保修期限，各系统内包含软件、及数据库、服务器、存储、备份、网络等设备；确保各项业务正常运转，校内数据流转持续稳定，避免因系统故障导致数据流转中断，需购买各项专业保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采购包1（校园网设备维保服务采购项目）：属于专门面向中小企业采购。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2、信用记录：供应商未被列入“信用中国”（www.creditchina.gov.cn）记录的“严重失信主体名单”和“重大税收违法失信主体”名单；未被列入“中国政府采购网”（www.ccgp.gov.cn）中的“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韩燕子、方湖、赵磊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采购包1：1,779,500.00元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开户名称：陕西鸿信泰鼎建设项目管理有限公司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银行账号：103694624495000072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说明：成交供应商在收到成交通知书后3个工作日、签订合同前向采购人提交合同总价5%的履约保证金，待项目终验合格后予以退还（无息）。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代理服务费收费标准：中标(或成交)服务费以中标（成交）价为基数，参照《招标代理服务收费管理暂行办法》计价格[2002]1980号文和发改价格[2011]534号文件规定下浮20%收取。由成交供应商支付。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西安外国语大学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学校信息化的快速发展，学校应用系统总量逐年增加，现有虚拟化平台、移动校园平台、数据治理平台、校园网基础设施等系统已陆续超过原厂保修期限，各系统内包含软件、及数据库、服务器、存储、备份、网络等设备；确保各项业务正常运转，校内数据流转持续稳定，避免因系统故障导致数据流转中断，需购买各项专业保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1,779,500.00</w:t>
      </w:r>
    </w:p>
    <w:p>
      <w:pPr>
        <w:pStyle w:val="null3"/>
      </w:pPr>
      <w:r>
        <w:rPr>
          <w:rFonts w:ascii="仿宋_GB2312" w:hAnsi="仿宋_GB2312" w:cs="仿宋_GB2312" w:eastAsia="仿宋_GB2312"/>
        </w:rPr>
        <w:t>采购包最高限价（元）: 1,779,500.00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校园网网络设备维保服务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1,779,500.00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标的名称：校园网网络设备维保服务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（一）项目简介</w:t>
            </w:r>
          </w:p>
          <w:p>
            <w:pPr>
              <w:pStyle w:val="null3"/>
            </w:pPr>
            <w:r>
              <w:rPr>
                <w:rFonts w:ascii="仿宋_GB2312" w:hAnsi="仿宋_GB2312" w:cs="仿宋_GB2312" w:eastAsia="仿宋_GB2312"/>
              </w:rPr>
              <w:t>1.项目建设必要性</w:t>
            </w:r>
          </w:p>
          <w:p>
            <w:pPr>
              <w:pStyle w:val="null3"/>
            </w:pPr>
            <w:r>
              <w:rPr>
                <w:rFonts w:ascii="仿宋_GB2312" w:hAnsi="仿宋_GB2312" w:cs="仿宋_GB2312" w:eastAsia="仿宋_GB2312"/>
              </w:rPr>
              <w:t>随着学校信息化的快速发展，学校应用系统总量逐年增加，现有虚拟化平台、移动校园平台、数据治理平台、校园网基础设施等系统已陆续超过原厂保修期限，各系统内包含软件、及数据库、服务器、存储、备份、网络等设备；确保各项业务正常运转，校内数据流转持续稳定，避免因系统故障导致数据流转中断，需购买各项专业保修服务。</w:t>
            </w:r>
          </w:p>
          <w:p>
            <w:pPr>
              <w:pStyle w:val="null3"/>
            </w:pPr>
            <w:r>
              <w:rPr>
                <w:rFonts w:ascii="仿宋_GB2312" w:hAnsi="仿宋_GB2312" w:cs="仿宋_GB2312" w:eastAsia="仿宋_GB2312"/>
              </w:rPr>
              <w:t>2.项目建设可行性</w:t>
            </w:r>
          </w:p>
          <w:p>
            <w:pPr>
              <w:pStyle w:val="null3"/>
            </w:pPr>
            <w:r>
              <w:rPr>
                <w:rFonts w:ascii="仿宋_GB2312" w:hAnsi="仿宋_GB2312" w:cs="仿宋_GB2312" w:eastAsia="仿宋_GB2312"/>
              </w:rPr>
              <w:t>自2016年起学校一直购买专业的维保服务，以确保学校各信息系统业务正常运转。</w:t>
            </w:r>
          </w:p>
          <w:p>
            <w:pPr>
              <w:pStyle w:val="null3"/>
            </w:pPr>
            <w:r>
              <w:rPr>
                <w:rFonts w:ascii="仿宋_GB2312" w:hAnsi="仿宋_GB2312" w:cs="仿宋_GB2312" w:eastAsia="仿宋_GB2312"/>
              </w:rPr>
              <w:t>3.项目建设目标</w:t>
            </w:r>
          </w:p>
          <w:p>
            <w:pPr>
              <w:pStyle w:val="null3"/>
            </w:pPr>
            <w:r>
              <w:rPr>
                <w:rFonts w:ascii="仿宋_GB2312" w:hAnsi="仿宋_GB2312" w:cs="仿宋_GB2312" w:eastAsia="仿宋_GB2312"/>
              </w:rPr>
              <w:t>拟通过专业的 IT 服务外包公司提供稳定高效的校园网、数据中心、业务系统的运维，确保校园网、数据中心、数据治理平台、移动校园的各项业务正常运转，提高工作效率，实现IT服务管理的标准化、专业化、规范化，确保服务质量，提高用户满意度。</w:t>
            </w:r>
          </w:p>
          <w:p>
            <w:pPr>
              <w:pStyle w:val="null3"/>
            </w:pPr>
            <w:r>
              <w:rPr>
                <w:rFonts w:ascii="仿宋_GB2312" w:hAnsi="仿宋_GB2312" w:cs="仿宋_GB2312" w:eastAsia="仿宋_GB2312"/>
              </w:rPr>
              <w:t>（二）项目建设方案</w:t>
            </w:r>
          </w:p>
          <w:p>
            <w:pPr>
              <w:pStyle w:val="null3"/>
            </w:pPr>
            <w:r>
              <w:rPr>
                <w:rFonts w:ascii="仿宋_GB2312" w:hAnsi="仿宋_GB2312" w:cs="仿宋_GB2312" w:eastAsia="仿宋_GB2312"/>
              </w:rPr>
              <w:t>1.项目建设及服务内容</w:t>
            </w:r>
          </w:p>
          <w:p>
            <w:pPr>
              <w:pStyle w:val="null3"/>
            </w:pPr>
            <w:r>
              <w:rPr>
                <w:rFonts w:ascii="仿宋_GB2312" w:hAnsi="仿宋_GB2312" w:cs="仿宋_GB2312" w:eastAsia="仿宋_GB2312"/>
              </w:rPr>
              <w:t>服务内容（附维保设备清单）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2556"/>
                  <w:gridSpan w:val="6"/>
                </w:tcPr>
                <w:p>
                  <w:pPr>
                    <w:pStyle w:val="null3"/>
                  </w:pPr>
                  <w:r>
                    <w:rPr>
                      <w:rFonts w:ascii="仿宋_GB2312" w:hAnsi="仿宋_GB2312" w:cs="仿宋_GB2312" w:eastAsia="仿宋_GB2312"/>
                    </w:rPr>
                    <w:t>维保服务清单</w:t>
                  </w:r>
                </w:p>
              </w:tc>
            </w:tr>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型号及要求</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备注</w:t>
                  </w:r>
                </w:p>
              </w:tc>
            </w:tr>
            <w:tr>
              <w:tc>
                <w:tcPr>
                  <w:tcW w:type="dxa" w:w="1278"/>
                  <w:gridSpan w:val="3"/>
                </w:tcPr>
                <w:p>
                  <w:pPr>
                    <w:pStyle w:val="null3"/>
                  </w:pPr>
                  <w:r>
                    <w:rPr>
                      <w:rFonts w:ascii="仿宋_GB2312" w:hAnsi="仿宋_GB2312" w:cs="仿宋_GB2312" w:eastAsia="仿宋_GB2312"/>
                    </w:rPr>
                    <w:t>校园网设备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出口防火墙（含模块）</w:t>
                  </w:r>
                </w:p>
              </w:tc>
              <w:tc>
                <w:tcPr>
                  <w:tcW w:type="dxa" w:w="426"/>
                </w:tcPr>
                <w:p>
                  <w:pPr>
                    <w:pStyle w:val="null3"/>
                  </w:pPr>
                  <w:r>
                    <w:rPr>
                      <w:rFonts w:ascii="仿宋_GB2312" w:hAnsi="仿宋_GB2312" w:cs="仿宋_GB2312" w:eastAsia="仿宋_GB2312"/>
                    </w:rPr>
                    <w:t>H3C SecPath M9008-S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原厂</w:t>
                  </w:r>
                </w:p>
                <w:p>
                  <w:pPr>
                    <w:pStyle w:val="null3"/>
                  </w:pPr>
                  <w:r>
                    <w:rPr>
                      <w:rFonts w:ascii="仿宋_GB2312" w:hAnsi="仿宋_GB2312" w:cs="仿宋_GB2312" w:eastAsia="仿宋_GB2312"/>
                    </w:rPr>
                    <w:t>维保</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核心交换机（含模块）</w:t>
                  </w:r>
                </w:p>
              </w:tc>
              <w:tc>
                <w:tcPr>
                  <w:tcW w:type="dxa" w:w="426"/>
                </w:tcPr>
                <w:p>
                  <w:pPr>
                    <w:pStyle w:val="null3"/>
                  </w:pPr>
                  <w:r>
                    <w:rPr>
                      <w:rFonts w:ascii="仿宋_GB2312" w:hAnsi="仿宋_GB2312" w:cs="仿宋_GB2312" w:eastAsia="仿宋_GB2312"/>
                    </w:rPr>
                    <w:t>H3C S10510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数据中心交换机（含模块）</w:t>
                  </w:r>
                </w:p>
              </w:tc>
              <w:tc>
                <w:tcPr>
                  <w:tcW w:type="dxa" w:w="426"/>
                </w:tcPr>
                <w:p>
                  <w:pPr>
                    <w:pStyle w:val="null3"/>
                  </w:pPr>
                  <w:r>
                    <w:rPr>
                      <w:rFonts w:ascii="仿宋_GB2312" w:hAnsi="仿宋_GB2312" w:cs="仿宋_GB2312" w:eastAsia="仿宋_GB2312"/>
                    </w:rPr>
                    <w:t>H3C S6800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用户认证计费平台</w:t>
                  </w:r>
                </w:p>
              </w:tc>
              <w:tc>
                <w:tcPr>
                  <w:tcW w:type="dxa" w:w="426"/>
                </w:tcPr>
                <w:p>
                  <w:pPr>
                    <w:pStyle w:val="null3"/>
                  </w:pPr>
                  <w:r>
                    <w:rPr>
                      <w:rFonts w:ascii="仿宋_GB2312" w:hAnsi="仿宋_GB2312" w:cs="仿宋_GB2312" w:eastAsia="仿宋_GB2312"/>
                    </w:rPr>
                    <w:t>Dr.COM 2166-16000-10G</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DNS</w:t>
                  </w:r>
                </w:p>
              </w:tc>
              <w:tc>
                <w:tcPr>
                  <w:tcW w:type="dxa" w:w="426"/>
                </w:tcPr>
                <w:p>
                  <w:pPr>
                    <w:pStyle w:val="null3"/>
                  </w:pPr>
                  <w:r>
                    <w:rPr>
                      <w:rFonts w:ascii="仿宋_GB2312" w:hAnsi="仿宋_GB2312" w:cs="仿宋_GB2312" w:eastAsia="仿宋_GB2312"/>
                    </w:rPr>
                    <w:t>ZDNS T7100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汇聚交换机（含模块）</w:t>
                  </w:r>
                </w:p>
              </w:tc>
              <w:tc>
                <w:tcPr>
                  <w:tcW w:type="dxa" w:w="426"/>
                </w:tcPr>
                <w:p>
                  <w:pPr>
                    <w:pStyle w:val="null3"/>
                  </w:pPr>
                  <w:r>
                    <w:rPr>
                      <w:rFonts w:ascii="仿宋_GB2312" w:hAnsi="仿宋_GB2312" w:cs="仿宋_GB2312" w:eastAsia="仿宋_GB2312"/>
                    </w:rPr>
                    <w:t>H3C S9810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第三</w:t>
                  </w:r>
                </w:p>
                <w:p>
                  <w:pPr>
                    <w:pStyle w:val="null3"/>
                  </w:pPr>
                  <w:r>
                    <w:rPr>
                      <w:rFonts w:ascii="仿宋_GB2312" w:hAnsi="仿宋_GB2312" w:cs="仿宋_GB2312" w:eastAsia="仿宋_GB2312"/>
                    </w:rPr>
                    <w:t>方维保</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面板AP</w:t>
                  </w:r>
                </w:p>
              </w:tc>
              <w:tc>
                <w:tcPr>
                  <w:tcW w:type="dxa" w:w="426"/>
                </w:tcPr>
                <w:p>
                  <w:pPr>
                    <w:pStyle w:val="null3"/>
                  </w:pPr>
                  <w:r>
                    <w:rPr>
                      <w:rFonts w:ascii="仿宋_GB2312" w:hAnsi="仿宋_GB2312" w:cs="仿宋_GB2312" w:eastAsia="仿宋_GB2312"/>
                    </w:rPr>
                    <w:t>H3C WA4320H-CAN</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341</w:t>
                  </w:r>
                </w:p>
              </w:tc>
              <w:tc>
                <w:tcPr>
                  <w:tcW w:type="dxa" w:w="426"/>
                  <w:vMerge/>
                </w:tcP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放装AP</w:t>
                  </w:r>
                </w:p>
              </w:tc>
              <w:tc>
                <w:tcPr>
                  <w:tcW w:type="dxa" w:w="426"/>
                </w:tcPr>
                <w:p>
                  <w:pPr>
                    <w:pStyle w:val="null3"/>
                  </w:pPr>
                  <w:r>
                    <w:rPr>
                      <w:rFonts w:ascii="仿宋_GB2312" w:hAnsi="仿宋_GB2312" w:cs="仿宋_GB2312" w:eastAsia="仿宋_GB2312"/>
                    </w:rPr>
                    <w:t>H3C WA4320i-CAN</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311</w:t>
                  </w:r>
                </w:p>
              </w:tc>
              <w:tc>
                <w:tcPr>
                  <w:tcW w:type="dxa" w:w="426"/>
                  <w:vMerge/>
                </w:tcP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高密AP</w:t>
                  </w:r>
                </w:p>
              </w:tc>
              <w:tc>
                <w:tcPr>
                  <w:tcW w:type="dxa" w:w="426"/>
                </w:tcPr>
                <w:p>
                  <w:pPr>
                    <w:pStyle w:val="null3"/>
                  </w:pPr>
                  <w:r>
                    <w:rPr>
                      <w:rFonts w:ascii="仿宋_GB2312" w:hAnsi="仿宋_GB2312" w:cs="仿宋_GB2312" w:eastAsia="仿宋_GB2312"/>
                    </w:rPr>
                    <w:t>H3C WA4330- CAN</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254</w:t>
                  </w:r>
                </w:p>
              </w:tc>
              <w:tc>
                <w:tcPr>
                  <w:tcW w:type="dxa" w:w="426"/>
                  <w:vMerge/>
                </w:tcP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POE交换机（含模块）</w:t>
                  </w:r>
                </w:p>
              </w:tc>
              <w:tc>
                <w:tcPr>
                  <w:tcW w:type="dxa" w:w="426"/>
                </w:tcPr>
                <w:p>
                  <w:pPr>
                    <w:pStyle w:val="null3"/>
                  </w:pPr>
                  <w:r>
                    <w:rPr>
                      <w:rFonts w:ascii="仿宋_GB2312" w:hAnsi="仿宋_GB2312" w:cs="仿宋_GB2312" w:eastAsia="仿宋_GB2312"/>
                    </w:rPr>
                    <w:t>H3C S5130-28s-HPWR-EI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102</w:t>
                  </w:r>
                </w:p>
              </w:tc>
              <w:tc>
                <w:tcPr>
                  <w:tcW w:type="dxa" w:w="426"/>
                  <w:vMerge/>
                </w:tcP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本体AP</w:t>
                  </w:r>
                </w:p>
              </w:tc>
              <w:tc>
                <w:tcPr>
                  <w:tcW w:type="dxa" w:w="426"/>
                </w:tcPr>
                <w:p>
                  <w:pPr>
                    <w:pStyle w:val="null3"/>
                  </w:pPr>
                  <w:r>
                    <w:rPr>
                      <w:rFonts w:ascii="仿宋_GB2312" w:hAnsi="仿宋_GB2312" w:cs="仿宋_GB2312" w:eastAsia="仿宋_GB2312"/>
                    </w:rPr>
                    <w:t>H3C WT1024-X-Q</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52</w:t>
                  </w:r>
                </w:p>
              </w:tc>
              <w:tc>
                <w:tcPr>
                  <w:tcW w:type="dxa" w:w="426"/>
                  <w:vMerge/>
                </w:tcP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分体AP</w:t>
                  </w:r>
                </w:p>
              </w:tc>
              <w:tc>
                <w:tcPr>
                  <w:tcW w:type="dxa" w:w="426"/>
                </w:tcPr>
                <w:p>
                  <w:pPr>
                    <w:pStyle w:val="null3"/>
                  </w:pPr>
                  <w:r>
                    <w:rPr>
                      <w:rFonts w:ascii="仿宋_GB2312" w:hAnsi="仿宋_GB2312" w:cs="仿宋_GB2312" w:eastAsia="仿宋_GB2312"/>
                    </w:rPr>
                    <w:t>H3C WTU630H</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1364</w:t>
                  </w:r>
                </w:p>
              </w:tc>
              <w:tc>
                <w:tcPr>
                  <w:tcW w:type="dxa" w:w="426"/>
                  <w:vMerge/>
                </w:tcP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汇聚交换机1</w:t>
                  </w:r>
                </w:p>
              </w:tc>
              <w:tc>
                <w:tcPr>
                  <w:tcW w:type="dxa" w:w="426"/>
                </w:tcPr>
                <w:p>
                  <w:pPr>
                    <w:pStyle w:val="null3"/>
                  </w:pPr>
                  <w:r>
                    <w:rPr>
                      <w:rFonts w:ascii="仿宋_GB2312" w:hAnsi="仿宋_GB2312" w:cs="仿宋_GB2312" w:eastAsia="仿宋_GB2312"/>
                    </w:rPr>
                    <w:t>H3C-S6520X-54QC-EI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汇聚交换机2</w:t>
                  </w:r>
                </w:p>
              </w:tc>
              <w:tc>
                <w:tcPr>
                  <w:tcW w:type="dxa" w:w="426"/>
                </w:tcPr>
                <w:p>
                  <w:pPr>
                    <w:pStyle w:val="null3"/>
                  </w:pPr>
                  <w:r>
                    <w:rPr>
                      <w:rFonts w:ascii="仿宋_GB2312" w:hAnsi="仿宋_GB2312" w:cs="仿宋_GB2312" w:eastAsia="仿宋_GB2312"/>
                    </w:rPr>
                    <w:t>H3C-S10504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AP</w:t>
                  </w:r>
                </w:p>
              </w:tc>
              <w:tc>
                <w:tcPr>
                  <w:tcW w:type="dxa" w:w="426"/>
                </w:tcPr>
                <w:p>
                  <w:pPr>
                    <w:pStyle w:val="null3"/>
                  </w:pPr>
                  <w:r>
                    <w:rPr>
                      <w:rFonts w:ascii="仿宋_GB2312" w:hAnsi="仿宋_GB2312" w:cs="仿宋_GB2312" w:eastAsia="仿宋_GB2312"/>
                    </w:rPr>
                    <w:t>H3C EWP-WA6322-FIT</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71</w:t>
                  </w:r>
                </w:p>
              </w:tc>
              <w:tc>
                <w:tcPr>
                  <w:tcW w:type="dxa" w:w="426"/>
                  <w:vMerge/>
                </w:tcP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AP</w:t>
                  </w:r>
                </w:p>
              </w:tc>
              <w:tc>
                <w:tcPr>
                  <w:tcW w:type="dxa" w:w="426"/>
                </w:tcPr>
                <w:p>
                  <w:pPr>
                    <w:pStyle w:val="null3"/>
                  </w:pPr>
                  <w:r>
                    <w:rPr>
                      <w:rFonts w:ascii="仿宋_GB2312" w:hAnsi="仿宋_GB2312" w:cs="仿宋_GB2312" w:eastAsia="仿宋_GB2312"/>
                    </w:rPr>
                    <w:t>H3C EWP-WA6338-FIT</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vMerge/>
                </w:tcP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AP</w:t>
                  </w:r>
                </w:p>
              </w:tc>
              <w:tc>
                <w:tcPr>
                  <w:tcW w:type="dxa" w:w="426"/>
                </w:tcPr>
                <w:p>
                  <w:pPr>
                    <w:pStyle w:val="null3"/>
                  </w:pPr>
                  <w:r>
                    <w:rPr>
                      <w:rFonts w:ascii="仿宋_GB2312" w:hAnsi="仿宋_GB2312" w:cs="仿宋_GB2312" w:eastAsia="仿宋_GB2312"/>
                    </w:rPr>
                    <w:t>H3C WT1024-X-Q-24</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29</w:t>
                  </w:r>
                </w:p>
              </w:tc>
              <w:tc>
                <w:tcPr>
                  <w:tcW w:type="dxa" w:w="426"/>
                  <w:vMerge/>
                </w:tcP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48口汇聚交换机（万兆）</w:t>
                  </w:r>
                </w:p>
              </w:tc>
              <w:tc>
                <w:tcPr>
                  <w:tcW w:type="dxa" w:w="426"/>
                </w:tcPr>
                <w:p>
                  <w:pPr>
                    <w:pStyle w:val="null3"/>
                  </w:pPr>
                  <w:r>
                    <w:rPr>
                      <w:rFonts w:ascii="仿宋_GB2312" w:hAnsi="仿宋_GB2312" w:cs="仿宋_GB2312" w:eastAsia="仿宋_GB2312"/>
                    </w:rPr>
                    <w:t>H3C S6520X-EI</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24口POE交换机</w:t>
                  </w:r>
                </w:p>
              </w:tc>
              <w:tc>
                <w:tcPr>
                  <w:tcW w:type="dxa" w:w="426"/>
                </w:tcPr>
                <w:p>
                  <w:pPr>
                    <w:pStyle w:val="null3"/>
                  </w:pPr>
                  <w:r>
                    <w:rPr>
                      <w:rFonts w:ascii="仿宋_GB2312" w:hAnsi="仿宋_GB2312" w:cs="仿宋_GB2312" w:eastAsia="仿宋_GB2312"/>
                    </w:rPr>
                    <w:t>H3C S5135S-24FP4S4X-E1</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8口POE交换机</w:t>
                  </w:r>
                </w:p>
              </w:tc>
              <w:tc>
                <w:tcPr>
                  <w:tcW w:type="dxa" w:w="426"/>
                </w:tcPr>
                <w:p>
                  <w:pPr>
                    <w:pStyle w:val="null3"/>
                  </w:pPr>
                  <w:r>
                    <w:rPr>
                      <w:rFonts w:ascii="仿宋_GB2312" w:hAnsi="仿宋_GB2312" w:cs="仿宋_GB2312" w:eastAsia="仿宋_GB2312"/>
                    </w:rPr>
                    <w:t>H3C LS-5130S-10P-HPWR-EI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vMerge/>
                </w:tcP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16口POE交换机</w:t>
                  </w:r>
                </w:p>
              </w:tc>
              <w:tc>
                <w:tcPr>
                  <w:tcW w:type="dxa" w:w="426"/>
                </w:tcPr>
                <w:p>
                  <w:pPr>
                    <w:pStyle w:val="null3"/>
                  </w:pPr>
                  <w:r>
                    <w:rPr>
                      <w:rFonts w:ascii="仿宋_GB2312" w:hAnsi="仿宋_GB2312" w:cs="仿宋_GB2312" w:eastAsia="仿宋_GB2312"/>
                    </w:rPr>
                    <w:t>H3C LS-5130S-20P-PWR-EI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3</w:t>
                  </w:r>
                </w:p>
              </w:tc>
              <w:tc>
                <w:tcPr>
                  <w:tcW w:type="dxa" w:w="426"/>
                  <w:vMerge/>
                </w:tcP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放装AP</w:t>
                  </w:r>
                </w:p>
              </w:tc>
              <w:tc>
                <w:tcPr>
                  <w:tcW w:type="dxa" w:w="426"/>
                </w:tcPr>
                <w:p>
                  <w:pPr>
                    <w:pStyle w:val="null3"/>
                  </w:pPr>
                  <w:r>
                    <w:rPr>
                      <w:rFonts w:ascii="仿宋_GB2312" w:hAnsi="仿宋_GB2312" w:cs="仿宋_GB2312" w:eastAsia="仿宋_GB2312"/>
                    </w:rPr>
                    <w:t>H3C WA6520-HI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10</w:t>
                  </w:r>
                </w:p>
              </w:tc>
              <w:tc>
                <w:tcPr>
                  <w:tcW w:type="dxa" w:w="426"/>
                  <w:vMerge/>
                </w:tcP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技术服务</w:t>
                  </w:r>
                </w:p>
              </w:tc>
              <w:tc>
                <w:tcPr>
                  <w:tcW w:type="dxa" w:w="426"/>
                </w:tcPr>
                <w:p>
                  <w:pPr>
                    <w:pStyle w:val="null3"/>
                  </w:pPr>
                  <w:r>
                    <w:rPr>
                      <w:rFonts w:ascii="仿宋_GB2312" w:hAnsi="仿宋_GB2312" w:cs="仿宋_GB2312" w:eastAsia="仿宋_GB2312"/>
                    </w:rPr>
                    <w:t>技术服务：</w:t>
                  </w:r>
                  <w:r>
                    <w:br/>
                  </w:r>
                  <w:r>
                    <w:rPr>
                      <w:rFonts w:ascii="仿宋_GB2312" w:hAnsi="仿宋_GB2312" w:cs="仿宋_GB2312" w:eastAsia="仿宋_GB2312"/>
                    </w:rPr>
                    <w:t xml:space="preserve"> 派遣3名5*8一线技术支持人员驻场服务（含项目经理一名），驻场项目经理具有PMP或ITSS服务项目经理证书，提供简历和社保证明文件，工作日驻场；提供系统运维的日常事务处理，完成现场最紧急和重复性较大的日常事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1278"/>
                  <w:gridSpan w:val="3"/>
                </w:tcPr>
                <w:p>
                  <w:pPr>
                    <w:pStyle w:val="null3"/>
                  </w:pPr>
                  <w:r>
                    <w:rPr>
                      <w:rFonts w:ascii="仿宋_GB2312" w:hAnsi="仿宋_GB2312" w:cs="仿宋_GB2312" w:eastAsia="仿宋_GB2312"/>
                    </w:rPr>
                    <w:t>图书馆背景广播设备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音响</w:t>
                  </w:r>
                </w:p>
              </w:tc>
              <w:tc>
                <w:tcPr>
                  <w:tcW w:type="dxa" w:w="426"/>
                </w:tcPr>
                <w:p>
                  <w:pPr>
                    <w:pStyle w:val="null3"/>
                  </w:pPr>
                  <w:r>
                    <w:rPr>
                      <w:rFonts w:ascii="仿宋_GB2312" w:hAnsi="仿宋_GB2312" w:cs="仿宋_GB2312" w:eastAsia="仿宋_GB2312"/>
                    </w:rPr>
                    <w:t>T-105</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10</w:t>
                  </w:r>
                </w:p>
              </w:tc>
              <w:tc>
                <w:tcPr>
                  <w:tcW w:type="dxa" w:w="426"/>
                  <w:vMerge w:val="restart"/>
                </w:tcPr>
                <w:p>
                  <w:pPr>
                    <w:pStyle w:val="null3"/>
                  </w:pPr>
                  <w:r>
                    <w:rPr>
                      <w:rFonts w:ascii="仿宋_GB2312" w:hAnsi="仿宋_GB2312" w:cs="仿宋_GB2312" w:eastAsia="仿宋_GB2312"/>
                    </w:rPr>
                    <w:t>第三</w:t>
                  </w:r>
                </w:p>
                <w:p>
                  <w:pPr>
                    <w:pStyle w:val="null3"/>
                  </w:pPr>
                  <w:r>
                    <w:rPr>
                      <w:rFonts w:ascii="仿宋_GB2312" w:hAnsi="仿宋_GB2312" w:cs="仿宋_GB2312" w:eastAsia="仿宋_GB2312"/>
                    </w:rPr>
                    <w:t>方维保</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音响</w:t>
                  </w:r>
                </w:p>
              </w:tc>
              <w:tc>
                <w:tcPr>
                  <w:tcW w:type="dxa" w:w="426"/>
                </w:tcPr>
                <w:p>
                  <w:pPr>
                    <w:pStyle w:val="null3"/>
                  </w:pPr>
                  <w:r>
                    <w:rPr>
                      <w:rFonts w:ascii="仿宋_GB2312" w:hAnsi="仿宋_GB2312" w:cs="仿宋_GB2312" w:eastAsia="仿宋_GB2312"/>
                    </w:rPr>
                    <w:t>T-601S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111</w:t>
                  </w:r>
                </w:p>
              </w:tc>
              <w:tc>
                <w:tcPr>
                  <w:tcW w:type="dxa" w:w="426"/>
                  <w:vMerge/>
                </w:tcP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定压功放</w:t>
                  </w:r>
                </w:p>
              </w:tc>
              <w:tc>
                <w:tcPr>
                  <w:tcW w:type="dxa" w:w="426"/>
                </w:tcPr>
                <w:p>
                  <w:pPr>
                    <w:pStyle w:val="null3"/>
                  </w:pPr>
                  <w:r>
                    <w:rPr>
                      <w:rFonts w:ascii="仿宋_GB2312" w:hAnsi="仿宋_GB2312" w:cs="仿宋_GB2312" w:eastAsia="仿宋_GB2312"/>
                    </w:rPr>
                    <w:t>T-61500</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智能控制播放器</w:t>
                  </w:r>
                </w:p>
              </w:tc>
              <w:tc>
                <w:tcPr>
                  <w:tcW w:type="dxa" w:w="426"/>
                </w:tcPr>
                <w:p>
                  <w:pPr>
                    <w:pStyle w:val="null3"/>
                  </w:pPr>
                  <w:r>
                    <w:rPr>
                      <w:rFonts w:ascii="仿宋_GB2312" w:hAnsi="仿宋_GB2312" w:cs="仿宋_GB2312" w:eastAsia="仿宋_GB2312"/>
                    </w:rPr>
                    <w:t>T-6232A</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智能分区器</w:t>
                  </w:r>
                </w:p>
              </w:tc>
              <w:tc>
                <w:tcPr>
                  <w:tcW w:type="dxa" w:w="426"/>
                </w:tcPr>
                <w:p>
                  <w:pPr>
                    <w:pStyle w:val="null3"/>
                  </w:pPr>
                  <w:r>
                    <w:rPr>
                      <w:rFonts w:ascii="仿宋_GB2312" w:hAnsi="仿宋_GB2312" w:cs="仿宋_GB2312" w:eastAsia="仿宋_GB2312"/>
                    </w:rPr>
                    <w:t>T-6212</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DVD机</w:t>
                  </w:r>
                </w:p>
              </w:tc>
              <w:tc>
                <w:tcPr>
                  <w:tcW w:type="dxa" w:w="426"/>
                </w:tcPr>
                <w:p>
                  <w:pPr>
                    <w:pStyle w:val="null3"/>
                  </w:pPr>
                  <w:r>
                    <w:rPr>
                      <w:rFonts w:ascii="仿宋_GB2312" w:hAnsi="仿宋_GB2312" w:cs="仿宋_GB2312" w:eastAsia="仿宋_GB2312"/>
                    </w:rPr>
                    <w:t>T-6221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带钟声广播话筒</w:t>
                  </w:r>
                </w:p>
              </w:tc>
              <w:tc>
                <w:tcPr>
                  <w:tcW w:type="dxa" w:w="426"/>
                </w:tcPr>
                <w:p>
                  <w:pPr>
                    <w:pStyle w:val="null3"/>
                  </w:pPr>
                  <w:r>
                    <w:rPr>
                      <w:rFonts w:ascii="仿宋_GB2312" w:hAnsi="仿宋_GB2312" w:cs="仿宋_GB2312" w:eastAsia="仿宋_GB2312"/>
                    </w:rPr>
                    <w:t>ITC T-621A</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电源时序器</w:t>
                  </w:r>
                </w:p>
              </w:tc>
              <w:tc>
                <w:tcPr>
                  <w:tcW w:type="dxa" w:w="426"/>
                </w:tcPr>
                <w:p>
                  <w:pPr>
                    <w:pStyle w:val="null3"/>
                  </w:pPr>
                  <w:r>
                    <w:rPr>
                      <w:rFonts w:ascii="仿宋_GB2312" w:hAnsi="仿宋_GB2312" w:cs="仿宋_GB2312" w:eastAsia="仿宋_GB2312"/>
                    </w:rPr>
                    <w:t>T-6216</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前置放大器</w:t>
                  </w:r>
                </w:p>
              </w:tc>
              <w:tc>
                <w:tcPr>
                  <w:tcW w:type="dxa" w:w="426"/>
                </w:tcPr>
                <w:p>
                  <w:pPr>
                    <w:pStyle w:val="null3"/>
                  </w:pPr>
                  <w:r>
                    <w:rPr>
                      <w:rFonts w:ascii="仿宋_GB2312" w:hAnsi="仿宋_GB2312" w:cs="仿宋_GB2312" w:eastAsia="仿宋_GB2312"/>
                    </w:rPr>
                    <w:t>T-6201</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1278"/>
                  <w:gridSpan w:val="3"/>
                </w:tcPr>
                <w:p>
                  <w:pPr>
                    <w:pStyle w:val="null3"/>
                  </w:pPr>
                  <w:r>
                    <w:rPr>
                      <w:rFonts w:ascii="仿宋_GB2312" w:hAnsi="仿宋_GB2312" w:cs="仿宋_GB2312" w:eastAsia="仿宋_GB2312"/>
                    </w:rPr>
                    <w:t>图书馆监控设备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汇聚交换机</w:t>
                  </w:r>
                </w:p>
              </w:tc>
              <w:tc>
                <w:tcPr>
                  <w:tcW w:type="dxa" w:w="426"/>
                </w:tcPr>
                <w:p>
                  <w:pPr>
                    <w:pStyle w:val="null3"/>
                  </w:pPr>
                  <w:r>
                    <w:rPr>
                      <w:rFonts w:ascii="仿宋_GB2312" w:hAnsi="仿宋_GB2312" w:cs="仿宋_GB2312" w:eastAsia="仿宋_GB2312"/>
                    </w:rPr>
                    <w:t>LS-S6520X-54QC-EI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第三</w:t>
                  </w:r>
                </w:p>
                <w:p>
                  <w:pPr>
                    <w:pStyle w:val="null3"/>
                  </w:pPr>
                  <w:r>
                    <w:rPr>
                      <w:rFonts w:ascii="仿宋_GB2312" w:hAnsi="仿宋_GB2312" w:cs="仿宋_GB2312" w:eastAsia="仿宋_GB2312"/>
                    </w:rPr>
                    <w:t>方维保</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POE交换机</w:t>
                  </w:r>
                </w:p>
              </w:tc>
              <w:tc>
                <w:tcPr>
                  <w:tcW w:type="dxa" w:w="426"/>
                </w:tcPr>
                <w:p>
                  <w:pPr>
                    <w:pStyle w:val="null3"/>
                  </w:pPr>
                  <w:r>
                    <w:rPr>
                      <w:rFonts w:ascii="仿宋_GB2312" w:hAnsi="仿宋_GB2312" w:cs="仿宋_GB2312" w:eastAsia="仿宋_GB2312"/>
                    </w:rPr>
                    <w:t>LS-S5130S-28S-PWR-EI</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5</w:t>
                  </w:r>
                </w:p>
              </w:tc>
              <w:tc>
                <w:tcPr>
                  <w:tcW w:type="dxa" w:w="426"/>
                  <w:vMerge/>
                </w:tcP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红外摄像机</w:t>
                  </w:r>
                </w:p>
              </w:tc>
              <w:tc>
                <w:tcPr>
                  <w:tcW w:type="dxa" w:w="426"/>
                </w:tcPr>
                <w:p>
                  <w:pPr>
                    <w:pStyle w:val="null3"/>
                  </w:pPr>
                  <w:r>
                    <w:rPr>
                      <w:rFonts w:ascii="仿宋_GB2312" w:hAnsi="仿宋_GB2312" w:cs="仿宋_GB2312" w:eastAsia="仿宋_GB2312"/>
                    </w:rPr>
                    <w:t>DS-2CD5A47EFWD-IZS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75</w:t>
                  </w:r>
                </w:p>
              </w:tc>
              <w:tc>
                <w:tcPr>
                  <w:tcW w:type="dxa" w:w="426"/>
                  <w:vMerge/>
                </w:tcP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客流统计摄像机</w:t>
                  </w:r>
                </w:p>
              </w:tc>
              <w:tc>
                <w:tcPr>
                  <w:tcW w:type="dxa" w:w="426"/>
                </w:tcPr>
                <w:p>
                  <w:pPr>
                    <w:pStyle w:val="null3"/>
                  </w:pPr>
                  <w:r>
                    <w:rPr>
                      <w:rFonts w:ascii="仿宋_GB2312" w:hAnsi="仿宋_GB2312" w:cs="仿宋_GB2312" w:eastAsia="仿宋_GB2312"/>
                    </w:rPr>
                    <w:t>iDS-2CD6810F/C</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2</w:t>
                  </w:r>
                </w:p>
              </w:tc>
              <w:tc>
                <w:tcPr>
                  <w:tcW w:type="dxa" w:w="426"/>
                  <w:vMerge/>
                </w:tcPr>
                <w:p/>
              </w:tc>
            </w:tr>
            <w:tr>
              <w:tc>
                <w:tcPr>
                  <w:tcW w:type="dxa" w:w="426"/>
                </w:tcPr>
                <w:p>
                  <w:pPr>
                    <w:pStyle w:val="null3"/>
                  </w:pPr>
                  <w:r>
                    <w:rPr>
                      <w:rFonts w:ascii="仿宋_GB2312" w:hAnsi="仿宋_GB2312" w:cs="仿宋_GB2312" w:eastAsia="仿宋_GB2312"/>
                    </w:rPr>
                    <w:t>37</w:t>
                  </w:r>
                </w:p>
              </w:tc>
              <w:tc>
                <w:tcPr>
                  <w:tcW w:type="dxa" w:w="426"/>
                </w:tcPr>
                <w:p>
                  <w:pPr>
                    <w:pStyle w:val="null3"/>
                  </w:pPr>
                  <w:r>
                    <w:rPr>
                      <w:rFonts w:ascii="仿宋_GB2312" w:hAnsi="仿宋_GB2312" w:cs="仿宋_GB2312" w:eastAsia="仿宋_GB2312"/>
                    </w:rPr>
                    <w:t>磁盘阵列</w:t>
                  </w:r>
                </w:p>
              </w:tc>
              <w:tc>
                <w:tcPr>
                  <w:tcW w:type="dxa" w:w="426"/>
                </w:tcPr>
                <w:p>
                  <w:pPr>
                    <w:pStyle w:val="null3"/>
                  </w:pPr>
                  <w:r>
                    <w:rPr>
                      <w:rFonts w:ascii="仿宋_GB2312" w:hAnsi="仿宋_GB2312" w:cs="仿宋_GB2312" w:eastAsia="仿宋_GB2312"/>
                    </w:rPr>
                    <w:t>DS-AT1000S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人脸识别服务器</w:t>
                  </w:r>
                </w:p>
              </w:tc>
              <w:tc>
                <w:tcPr>
                  <w:tcW w:type="dxa" w:w="426"/>
                </w:tcPr>
                <w:p>
                  <w:pPr>
                    <w:pStyle w:val="null3"/>
                  </w:pPr>
                  <w:r>
                    <w:rPr>
                      <w:rFonts w:ascii="仿宋_GB2312" w:hAnsi="仿宋_GB2312" w:cs="仿宋_GB2312" w:eastAsia="仿宋_GB2312"/>
                    </w:rPr>
                    <w:t>iDS-9632NX-I8/FA</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39</w:t>
                  </w:r>
                </w:p>
              </w:tc>
              <w:tc>
                <w:tcPr>
                  <w:tcW w:type="dxa" w:w="426"/>
                </w:tcPr>
                <w:p>
                  <w:pPr>
                    <w:pStyle w:val="null3"/>
                  </w:pPr>
                  <w:r>
                    <w:rPr>
                      <w:rFonts w:ascii="仿宋_GB2312" w:hAnsi="仿宋_GB2312" w:cs="仿宋_GB2312" w:eastAsia="仿宋_GB2312"/>
                    </w:rPr>
                    <w:t>人脸识别摄像机</w:t>
                  </w:r>
                </w:p>
              </w:tc>
              <w:tc>
                <w:tcPr>
                  <w:tcW w:type="dxa" w:w="426"/>
                </w:tcPr>
                <w:p>
                  <w:pPr>
                    <w:pStyle w:val="null3"/>
                  </w:pPr>
                  <w:r>
                    <w:rPr>
                      <w:rFonts w:ascii="仿宋_GB2312" w:hAnsi="仿宋_GB2312" w:cs="仿宋_GB2312" w:eastAsia="仿宋_GB2312"/>
                    </w:rPr>
                    <w:t>DS-2CD7647HWD-LZS</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4</w:t>
                  </w:r>
                </w:p>
              </w:tc>
              <w:tc>
                <w:tcPr>
                  <w:tcW w:type="dxa" w:w="426"/>
                  <w:vMerge/>
                </w:tcPr>
                <w:p/>
              </w:tc>
            </w:tr>
            <w:tr>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管理服务器</w:t>
                  </w:r>
                </w:p>
              </w:tc>
              <w:tc>
                <w:tcPr>
                  <w:tcW w:type="dxa" w:w="426"/>
                </w:tcPr>
                <w:p>
                  <w:pPr>
                    <w:pStyle w:val="null3"/>
                  </w:pPr>
                  <w:r>
                    <w:rPr>
                      <w:rFonts w:ascii="仿宋_GB2312" w:hAnsi="仿宋_GB2312" w:cs="仿宋_GB2312" w:eastAsia="仿宋_GB2312"/>
                    </w:rPr>
                    <w:t>RH2288HV3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41</w:t>
                  </w:r>
                </w:p>
              </w:tc>
              <w:tc>
                <w:tcPr>
                  <w:tcW w:type="dxa" w:w="426"/>
                </w:tcPr>
                <w:p>
                  <w:pPr>
                    <w:pStyle w:val="null3"/>
                  </w:pPr>
                  <w:r>
                    <w:rPr>
                      <w:rFonts w:ascii="仿宋_GB2312" w:hAnsi="仿宋_GB2312" w:cs="仿宋_GB2312" w:eastAsia="仿宋_GB2312"/>
                    </w:rPr>
                    <w:t>管理平台软件</w:t>
                  </w:r>
                </w:p>
              </w:tc>
              <w:tc>
                <w:tcPr>
                  <w:tcW w:type="dxa" w:w="426"/>
                </w:tcPr>
                <w:p>
                  <w:pPr>
                    <w:pStyle w:val="null3"/>
                  </w:pPr>
                  <w:r>
                    <w:rPr>
                      <w:rFonts w:ascii="仿宋_GB2312" w:hAnsi="仿宋_GB2312" w:cs="仿宋_GB2312" w:eastAsia="仿宋_GB2312"/>
                    </w:rPr>
                    <w:t>iVMS-9600PAMS</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1278"/>
                  <w:gridSpan w:val="3"/>
                </w:tcPr>
                <w:p>
                  <w:pPr>
                    <w:pStyle w:val="null3"/>
                  </w:pPr>
                  <w:r>
                    <w:rPr>
                      <w:rFonts w:ascii="仿宋_GB2312" w:hAnsi="仿宋_GB2312" w:cs="仿宋_GB2312" w:eastAsia="仿宋_GB2312"/>
                    </w:rPr>
                    <w:t>数据中心设备</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42</w:t>
                  </w:r>
                </w:p>
              </w:tc>
              <w:tc>
                <w:tcPr>
                  <w:tcW w:type="dxa" w:w="426"/>
                </w:tcPr>
                <w:p>
                  <w:pPr>
                    <w:pStyle w:val="null3"/>
                  </w:pPr>
                  <w:r>
                    <w:rPr>
                      <w:rFonts w:ascii="仿宋_GB2312" w:hAnsi="仿宋_GB2312" w:cs="仿宋_GB2312" w:eastAsia="仿宋_GB2312"/>
                    </w:rPr>
                    <w:t>备份一体机</w:t>
                  </w:r>
                </w:p>
              </w:tc>
              <w:tc>
                <w:tcPr>
                  <w:tcW w:type="dxa" w:w="426"/>
                </w:tcPr>
                <w:p>
                  <w:pPr>
                    <w:pStyle w:val="null3"/>
                  </w:pPr>
                  <w:r>
                    <w:rPr>
                      <w:rFonts w:ascii="仿宋_GB2312" w:hAnsi="仿宋_GB2312" w:cs="仿宋_GB2312" w:eastAsia="仿宋_GB2312"/>
                    </w:rPr>
                    <w:t>爱数VX2400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原厂</w:t>
                  </w:r>
                </w:p>
                <w:p>
                  <w:pPr>
                    <w:pStyle w:val="null3"/>
                  </w:pPr>
                  <w:r>
                    <w:rPr>
                      <w:rFonts w:ascii="仿宋_GB2312" w:hAnsi="仿宋_GB2312" w:cs="仿宋_GB2312" w:eastAsia="仿宋_GB2312"/>
                    </w:rPr>
                    <w:t>维保</w:t>
                  </w:r>
                </w:p>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43</w:t>
                  </w:r>
                </w:p>
              </w:tc>
              <w:tc>
                <w:tcPr>
                  <w:tcW w:type="dxa" w:w="426"/>
                </w:tcPr>
                <w:p>
                  <w:pPr>
                    <w:pStyle w:val="null3"/>
                  </w:pPr>
                  <w:r>
                    <w:rPr>
                      <w:rFonts w:ascii="仿宋_GB2312" w:hAnsi="仿宋_GB2312" w:cs="仿宋_GB2312" w:eastAsia="仿宋_GB2312"/>
                    </w:rPr>
                    <w:t>云共享平台系统</w:t>
                  </w:r>
                </w:p>
              </w:tc>
              <w:tc>
                <w:tcPr>
                  <w:tcW w:type="dxa" w:w="426"/>
                </w:tcPr>
                <w:p>
                  <w:pPr>
                    <w:pStyle w:val="null3"/>
                  </w:pPr>
                  <w:r>
                    <w:rPr>
                      <w:rFonts w:ascii="仿宋_GB2312" w:hAnsi="仿宋_GB2312" w:cs="仿宋_GB2312" w:eastAsia="仿宋_GB2312"/>
                    </w:rPr>
                    <w:t>爱数Anyshare3.5 RX4000</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44</w:t>
                  </w:r>
                </w:p>
              </w:tc>
              <w:tc>
                <w:tcPr>
                  <w:tcW w:type="dxa" w:w="426"/>
                </w:tcPr>
                <w:p>
                  <w:pPr>
                    <w:pStyle w:val="null3"/>
                  </w:pPr>
                  <w:r>
                    <w:rPr>
                      <w:rFonts w:ascii="仿宋_GB2312" w:hAnsi="仿宋_GB2312" w:cs="仿宋_GB2312" w:eastAsia="仿宋_GB2312"/>
                    </w:rPr>
                    <w:t>数据治理平台</w:t>
                  </w:r>
                </w:p>
              </w:tc>
              <w:tc>
                <w:tcPr>
                  <w:tcW w:type="dxa" w:w="426"/>
                </w:tcPr>
                <w:p>
                  <w:pPr>
                    <w:pStyle w:val="null3"/>
                  </w:pPr>
                  <w:r>
                    <w:rPr>
                      <w:rFonts w:ascii="仿宋_GB2312" w:hAnsi="仿宋_GB2312" w:cs="仿宋_GB2312" w:eastAsia="仿宋_GB2312"/>
                    </w:rPr>
                    <w:t>详见备注要求</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45</w:t>
                  </w:r>
                </w:p>
              </w:tc>
              <w:tc>
                <w:tcPr>
                  <w:tcW w:type="dxa" w:w="426"/>
                </w:tcPr>
                <w:p>
                  <w:pPr>
                    <w:pStyle w:val="null3"/>
                  </w:pPr>
                  <w:r>
                    <w:rPr>
                      <w:rFonts w:ascii="仿宋_GB2312" w:hAnsi="仿宋_GB2312" w:cs="仿宋_GB2312" w:eastAsia="仿宋_GB2312"/>
                    </w:rPr>
                    <w:t>移动校园平台</w:t>
                  </w:r>
                </w:p>
              </w:tc>
              <w:tc>
                <w:tcPr>
                  <w:tcW w:type="dxa" w:w="426"/>
                </w:tcPr>
                <w:p>
                  <w:pPr>
                    <w:pStyle w:val="null3"/>
                  </w:pPr>
                  <w:r>
                    <w:rPr>
                      <w:rFonts w:ascii="仿宋_GB2312" w:hAnsi="仿宋_GB2312" w:cs="仿宋_GB2312" w:eastAsia="仿宋_GB2312"/>
                    </w:rPr>
                    <w:t>详见备注要求</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46</w:t>
                  </w:r>
                </w:p>
              </w:tc>
              <w:tc>
                <w:tcPr>
                  <w:tcW w:type="dxa" w:w="426"/>
                </w:tcPr>
                <w:p>
                  <w:pPr>
                    <w:pStyle w:val="null3"/>
                  </w:pPr>
                  <w:r>
                    <w:rPr>
                      <w:rFonts w:ascii="仿宋_GB2312" w:hAnsi="仿宋_GB2312" w:cs="仿宋_GB2312" w:eastAsia="仿宋_GB2312"/>
                    </w:rPr>
                    <w:t>数据中心服务器</w:t>
                  </w:r>
                </w:p>
              </w:tc>
              <w:tc>
                <w:tcPr>
                  <w:tcW w:type="dxa" w:w="426"/>
                </w:tcPr>
                <w:p>
                  <w:pPr>
                    <w:pStyle w:val="null3"/>
                  </w:pPr>
                  <w:r>
                    <w:rPr>
                      <w:rFonts w:ascii="仿宋_GB2312" w:hAnsi="仿宋_GB2312" w:cs="仿宋_GB2312" w:eastAsia="仿宋_GB2312"/>
                    </w:rPr>
                    <w:t>H3CUIS-Cell3000 G3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vMerge w:val="restart"/>
                </w:tcPr>
                <w:p>
                  <w:pPr>
                    <w:pStyle w:val="null3"/>
                  </w:pPr>
                  <w:r>
                    <w:rPr>
                      <w:rFonts w:ascii="仿宋_GB2312" w:hAnsi="仿宋_GB2312" w:cs="仿宋_GB2312" w:eastAsia="仿宋_GB2312"/>
                    </w:rPr>
                    <w:t>第三</w:t>
                  </w:r>
                </w:p>
                <w:p>
                  <w:pPr>
                    <w:pStyle w:val="null3"/>
                  </w:pPr>
                  <w:r>
                    <w:rPr>
                      <w:rFonts w:ascii="仿宋_GB2312" w:hAnsi="仿宋_GB2312" w:cs="仿宋_GB2312" w:eastAsia="仿宋_GB2312"/>
                    </w:rPr>
                    <w:t>方维保</w:t>
                  </w:r>
                </w:p>
              </w:tc>
            </w:tr>
            <w:tr>
              <w:tc>
                <w:tcPr>
                  <w:tcW w:type="dxa" w:w="426"/>
                </w:tcPr>
                <w:p>
                  <w:pPr>
                    <w:pStyle w:val="null3"/>
                  </w:pPr>
                  <w:r>
                    <w:rPr>
                      <w:rFonts w:ascii="仿宋_GB2312" w:hAnsi="仿宋_GB2312" w:cs="仿宋_GB2312" w:eastAsia="仿宋_GB2312"/>
                    </w:rPr>
                    <w:t>47</w:t>
                  </w:r>
                </w:p>
              </w:tc>
              <w:tc>
                <w:tcPr>
                  <w:tcW w:type="dxa" w:w="426"/>
                </w:tcPr>
                <w:p>
                  <w:pPr>
                    <w:pStyle w:val="null3"/>
                  </w:pPr>
                  <w:r>
                    <w:rPr>
                      <w:rFonts w:ascii="仿宋_GB2312" w:hAnsi="仿宋_GB2312" w:cs="仿宋_GB2312" w:eastAsia="仿宋_GB2312"/>
                    </w:rPr>
                    <w:t>数据中心服务器</w:t>
                  </w:r>
                </w:p>
              </w:tc>
              <w:tc>
                <w:tcPr>
                  <w:tcW w:type="dxa" w:w="426"/>
                </w:tcPr>
                <w:p>
                  <w:pPr>
                    <w:pStyle w:val="null3"/>
                  </w:pPr>
                  <w:r>
                    <w:rPr>
                      <w:rFonts w:ascii="仿宋_GB2312" w:hAnsi="仿宋_GB2312" w:cs="仿宋_GB2312" w:eastAsia="仿宋_GB2312"/>
                    </w:rPr>
                    <w:t>华为E9000（机箱2台、刀片CH40，14台）</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14</w:t>
                  </w:r>
                </w:p>
              </w:tc>
              <w:tc>
                <w:tcPr>
                  <w:tcW w:type="dxa" w:w="426"/>
                  <w:vMerge/>
                </w:tcPr>
                <w:p/>
              </w:tc>
            </w:tr>
            <w:tr>
              <w:tc>
                <w:tcPr>
                  <w:tcW w:type="dxa" w:w="426"/>
                </w:tcPr>
                <w:p>
                  <w:pPr>
                    <w:pStyle w:val="null3"/>
                  </w:pPr>
                  <w:r>
                    <w:rPr>
                      <w:rFonts w:ascii="仿宋_GB2312" w:hAnsi="仿宋_GB2312" w:cs="仿宋_GB2312" w:eastAsia="仿宋_GB2312"/>
                    </w:rPr>
                    <w:t>48</w:t>
                  </w:r>
                </w:p>
              </w:tc>
              <w:tc>
                <w:tcPr>
                  <w:tcW w:type="dxa" w:w="426"/>
                </w:tcPr>
                <w:p>
                  <w:pPr>
                    <w:pStyle w:val="null3"/>
                  </w:pPr>
                  <w:r>
                    <w:rPr>
                      <w:rFonts w:ascii="仿宋_GB2312" w:hAnsi="仿宋_GB2312" w:cs="仿宋_GB2312" w:eastAsia="仿宋_GB2312"/>
                    </w:rPr>
                    <w:t>数据治理服务器</w:t>
                  </w:r>
                </w:p>
              </w:tc>
              <w:tc>
                <w:tcPr>
                  <w:tcW w:type="dxa" w:w="426"/>
                </w:tcPr>
                <w:p>
                  <w:pPr>
                    <w:pStyle w:val="null3"/>
                  </w:pPr>
                  <w:r>
                    <w:rPr>
                      <w:rFonts w:ascii="仿宋_GB2312" w:hAnsi="仿宋_GB2312" w:cs="仿宋_GB2312" w:eastAsia="仿宋_GB2312"/>
                    </w:rPr>
                    <w:t>华为2288HV3</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6</w:t>
                  </w:r>
                </w:p>
              </w:tc>
              <w:tc>
                <w:tcPr>
                  <w:tcW w:type="dxa" w:w="426"/>
                  <w:vMerge/>
                </w:tcPr>
                <w:p/>
              </w:tc>
            </w:tr>
            <w:tr>
              <w:tc>
                <w:tcPr>
                  <w:tcW w:type="dxa" w:w="426"/>
                </w:tcPr>
                <w:p>
                  <w:pPr>
                    <w:pStyle w:val="null3"/>
                  </w:pPr>
                  <w:r>
                    <w:rPr>
                      <w:rFonts w:ascii="仿宋_GB2312" w:hAnsi="仿宋_GB2312" w:cs="仿宋_GB2312" w:eastAsia="仿宋_GB2312"/>
                    </w:rPr>
                    <w:t>49</w:t>
                  </w:r>
                </w:p>
              </w:tc>
              <w:tc>
                <w:tcPr>
                  <w:tcW w:type="dxa" w:w="426"/>
                </w:tcPr>
                <w:p>
                  <w:pPr>
                    <w:pStyle w:val="null3"/>
                  </w:pPr>
                  <w:r>
                    <w:rPr>
                      <w:rFonts w:ascii="仿宋_GB2312" w:hAnsi="仿宋_GB2312" w:cs="仿宋_GB2312" w:eastAsia="仿宋_GB2312"/>
                    </w:rPr>
                    <w:t>数据中心存储</w:t>
                  </w:r>
                </w:p>
              </w:tc>
              <w:tc>
                <w:tcPr>
                  <w:tcW w:type="dxa" w:w="426"/>
                </w:tcPr>
                <w:p>
                  <w:pPr>
                    <w:pStyle w:val="null3"/>
                  </w:pPr>
                  <w:r>
                    <w:rPr>
                      <w:rFonts w:ascii="仿宋_GB2312" w:hAnsi="仿宋_GB2312" w:cs="仿宋_GB2312" w:eastAsia="仿宋_GB2312"/>
                    </w:rPr>
                    <w:t>宏杉MS5580G2</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数据中心存储</w:t>
                  </w:r>
                </w:p>
              </w:tc>
              <w:tc>
                <w:tcPr>
                  <w:tcW w:type="dxa" w:w="426"/>
                </w:tcPr>
                <w:p>
                  <w:pPr>
                    <w:pStyle w:val="null3"/>
                  </w:pPr>
                  <w:r>
                    <w:rPr>
                      <w:rFonts w:ascii="仿宋_GB2312" w:hAnsi="仿宋_GB2312" w:cs="仿宋_GB2312" w:eastAsia="仿宋_GB2312"/>
                    </w:rPr>
                    <w:t xml:space="preserve"> EMC VNX5600 5600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51</w:t>
                  </w:r>
                </w:p>
              </w:tc>
              <w:tc>
                <w:tcPr>
                  <w:tcW w:type="dxa" w:w="426"/>
                </w:tcPr>
                <w:p>
                  <w:pPr>
                    <w:pStyle w:val="null3"/>
                  </w:pPr>
                  <w:r>
                    <w:rPr>
                      <w:rFonts w:ascii="仿宋_GB2312" w:hAnsi="仿宋_GB2312" w:cs="仿宋_GB2312" w:eastAsia="仿宋_GB2312"/>
                    </w:rPr>
                    <w:t>光纤交换机</w:t>
                  </w:r>
                </w:p>
              </w:tc>
              <w:tc>
                <w:tcPr>
                  <w:tcW w:type="dxa" w:w="426"/>
                </w:tcPr>
                <w:p>
                  <w:pPr>
                    <w:pStyle w:val="null3"/>
                  </w:pPr>
                  <w:r>
                    <w:rPr>
                      <w:rFonts w:ascii="仿宋_GB2312" w:hAnsi="仿宋_GB2312" w:cs="仿宋_GB2312" w:eastAsia="仿宋_GB2312"/>
                    </w:rPr>
                    <w:t>EMC DS6510</w:t>
                  </w:r>
                </w:p>
              </w:tc>
              <w:tc>
                <w:tcPr>
                  <w:tcW w:type="dxa" w:w="426"/>
                </w:tcPr>
                <w:p>
                  <w:pPr>
                    <w:pStyle w:val="null3"/>
                  </w:pPr>
                  <w:r>
                    <w:rPr>
                      <w:rFonts w:ascii="仿宋_GB2312" w:hAnsi="仿宋_GB2312" w:cs="仿宋_GB2312" w:eastAsia="仿宋_GB2312"/>
                    </w:rPr>
                    <w:t>台</w:t>
                  </w:r>
                </w:p>
              </w:tc>
              <w:tc>
                <w:tcPr>
                  <w:tcW w:type="dxa" w:w="426"/>
                </w:tcPr>
                <w:p>
                  <w:pPr>
                    <w:pStyle w:val="null3"/>
                  </w:pPr>
                  <w:r>
                    <w:rPr>
                      <w:rFonts w:ascii="仿宋_GB2312" w:hAnsi="仿宋_GB2312" w:cs="仿宋_GB2312" w:eastAsia="仿宋_GB2312"/>
                    </w:rPr>
                    <w:t>1</w:t>
                  </w:r>
                </w:p>
              </w:tc>
              <w:tc>
                <w:tcPr>
                  <w:tcW w:type="dxa" w:w="426"/>
                  <w:vMerge/>
                </w:tcPr>
                <w:p/>
              </w:tc>
            </w:tr>
            <w:tr>
              <w:tc>
                <w:tcPr>
                  <w:tcW w:type="dxa" w:w="426"/>
                </w:tcPr>
                <w:p>
                  <w:pPr>
                    <w:pStyle w:val="null3"/>
                  </w:pPr>
                  <w:r>
                    <w:rPr>
                      <w:rFonts w:ascii="仿宋_GB2312" w:hAnsi="仿宋_GB2312" w:cs="仿宋_GB2312" w:eastAsia="仿宋_GB2312"/>
                    </w:rPr>
                    <w:t>52</w:t>
                  </w:r>
                </w:p>
              </w:tc>
              <w:tc>
                <w:tcPr>
                  <w:tcW w:type="dxa" w:w="426"/>
                </w:tcPr>
                <w:p>
                  <w:pPr>
                    <w:pStyle w:val="null3"/>
                  </w:pPr>
                  <w:r>
                    <w:rPr>
                      <w:rFonts w:ascii="仿宋_GB2312" w:hAnsi="仿宋_GB2312" w:cs="仿宋_GB2312" w:eastAsia="仿宋_GB2312"/>
                    </w:rPr>
                    <w:t>Oracle</w:t>
                  </w:r>
                </w:p>
              </w:tc>
              <w:tc>
                <w:tcPr>
                  <w:tcW w:type="dxa" w:w="426"/>
                </w:tcPr>
                <w:p>
                  <w:pPr>
                    <w:pStyle w:val="null3"/>
                  </w:pPr>
                  <w:r>
                    <w:rPr>
                      <w:rFonts w:ascii="仿宋_GB2312" w:hAnsi="仿宋_GB2312" w:cs="仿宋_GB2312" w:eastAsia="仿宋_GB2312"/>
                    </w:rPr>
                    <w:t>Oracle 11G RAC技术服务及运维</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第三</w:t>
                  </w:r>
                </w:p>
                <w:p>
                  <w:pPr>
                    <w:pStyle w:val="null3"/>
                  </w:pPr>
                  <w:r>
                    <w:rPr>
                      <w:rFonts w:ascii="仿宋_GB2312" w:hAnsi="仿宋_GB2312" w:cs="仿宋_GB2312" w:eastAsia="仿宋_GB2312"/>
                    </w:rPr>
                    <w:t>方服务</w:t>
                  </w:r>
                </w:p>
              </w:tc>
            </w:tr>
            <w:tr>
              <w:tc>
                <w:tcPr>
                  <w:tcW w:type="dxa" w:w="426"/>
                </w:tcPr>
                <w:p>
                  <w:pPr>
                    <w:pStyle w:val="null3"/>
                  </w:pPr>
                  <w:r>
                    <w:rPr>
                      <w:rFonts w:ascii="仿宋_GB2312" w:hAnsi="仿宋_GB2312" w:cs="仿宋_GB2312" w:eastAsia="仿宋_GB2312"/>
                    </w:rPr>
                    <w:t>53</w:t>
                  </w:r>
                </w:p>
              </w:tc>
              <w:tc>
                <w:tcPr>
                  <w:tcW w:type="dxa" w:w="426"/>
                </w:tcPr>
                <w:p>
                  <w:pPr>
                    <w:pStyle w:val="null3"/>
                  </w:pPr>
                  <w:r>
                    <w:rPr>
                      <w:rFonts w:ascii="仿宋_GB2312" w:hAnsi="仿宋_GB2312" w:cs="仿宋_GB2312" w:eastAsia="仿宋_GB2312"/>
                    </w:rPr>
                    <w:t>虚拟化平台</w:t>
                  </w:r>
                </w:p>
              </w:tc>
              <w:tc>
                <w:tcPr>
                  <w:tcW w:type="dxa" w:w="426"/>
                </w:tcPr>
                <w:p>
                  <w:pPr>
                    <w:pStyle w:val="null3"/>
                  </w:pPr>
                  <w:r>
                    <w:rPr>
                      <w:rFonts w:ascii="仿宋_GB2312" w:hAnsi="仿宋_GB2312" w:cs="仿宋_GB2312" w:eastAsia="仿宋_GB2312"/>
                    </w:rPr>
                    <w:t>VMware虚拟化平台技术服务及巡检</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c>
                <w:tcPr>
                  <w:tcW w:type="dxa" w:w="426"/>
                  <w:vMerge/>
                </w:tcPr>
                <w:p/>
              </w:tc>
            </w:tr>
          </w:tbl>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1、数据治理原厂维保服务内容：</w:t>
            </w:r>
          </w:p>
          <w:p>
            <w:pPr>
              <w:pStyle w:val="null3"/>
            </w:pPr>
            <w:r>
              <w:rPr>
                <w:rFonts w:ascii="仿宋_GB2312" w:hAnsi="仿宋_GB2312" w:cs="仿宋_GB2312" w:eastAsia="仿宋_GB2312"/>
              </w:rPr>
              <w:t>根据我校对数据治理与管理平台软件运维服务相关需求，运维服务包括但不限于如下内容：</w:t>
            </w:r>
          </w:p>
          <w:p>
            <w:pPr>
              <w:pStyle w:val="null3"/>
            </w:pPr>
            <w:r>
              <w:rPr>
                <w:rFonts w:ascii="仿宋_GB2312" w:hAnsi="仿宋_GB2312" w:cs="仿宋_GB2312" w:eastAsia="仿宋_GB2312"/>
              </w:rPr>
              <w:t>（1）Bug修改：代码错误，程序代码隐藏的、未能在测试中发现的代码本身错误；模块功能错误，统计数据显示不准确，造成系统无法完成预定需求功能；因厂商原因造成系统配置参数错误、程序修改错误；修改系统、集成其他业务系统而导致系统发生Bug；原有平台开发部分的技术缺陷、设计缺陷造成的Bug；因修改Bug需要对相关系统功能模块做出的功能性、界面美观性和性能调整的修改工作；因环境变化、硬件和软件设备调整、相关集成系统调整、通讯协议和方式变化而导致系统产生的Bug等。</w:t>
            </w:r>
          </w:p>
          <w:p>
            <w:pPr>
              <w:pStyle w:val="null3"/>
            </w:pPr>
            <w:r>
              <w:rPr>
                <w:rFonts w:ascii="仿宋_GB2312" w:hAnsi="仿宋_GB2312" w:cs="仿宋_GB2312" w:eastAsia="仿宋_GB2312"/>
              </w:rPr>
              <w:t>（2）重大业务现场保障：在关键业务期系统存在严重Bug的情况；在对系统环境、平台、网络等重要参数进行调整的情况；在系统升级上线等的重要情况下，根据学校要求，须安排专业技术人员到现场进行运维保障。</w:t>
            </w:r>
          </w:p>
          <w:p>
            <w:pPr>
              <w:pStyle w:val="null3"/>
            </w:pPr>
            <w:r>
              <w:rPr>
                <w:rFonts w:ascii="仿宋_GB2312" w:hAnsi="仿宋_GB2312" w:cs="仿宋_GB2312" w:eastAsia="仿宋_GB2312"/>
              </w:rPr>
              <w:t>（3）安全性保障</w:t>
            </w:r>
          </w:p>
          <w:p>
            <w:pPr>
              <w:pStyle w:val="null3"/>
            </w:pPr>
            <w:r>
              <w:rPr>
                <w:rFonts w:ascii="仿宋_GB2312" w:hAnsi="仿宋_GB2312" w:cs="仿宋_GB2312" w:eastAsia="仿宋_GB2312"/>
              </w:rPr>
              <w:t>确保系统整体的安全性，维护数据中台现有数据访问权限控制、数据申请权限控制、数据接口限制等方面提高系统的安全性。配合完成系统网络安全等级保护测评及整改工作。配合完成网络安全漏扫及整改工作，按照学校重保要求，配合完成相关巡检及整改工作。</w:t>
            </w:r>
            <w:r>
              <w:br/>
            </w:r>
            <w:r>
              <w:rPr>
                <w:rFonts w:ascii="仿宋_GB2312" w:hAnsi="仿宋_GB2312" w:cs="仿宋_GB2312" w:eastAsia="仿宋_GB2312"/>
              </w:rPr>
              <w:t xml:space="preserve">    （4）数据流转稳定性保障：持续调整优化调度任务，确保每天的数据同步正常平稳。</w:t>
            </w:r>
          </w:p>
          <w:p>
            <w:pPr>
              <w:pStyle w:val="null3"/>
            </w:pPr>
            <w:r>
              <w:rPr>
                <w:rFonts w:ascii="仿宋_GB2312" w:hAnsi="仿宋_GB2312" w:cs="仿宋_GB2312" w:eastAsia="仿宋_GB2312"/>
              </w:rPr>
              <w:t>（5）数据接口管理服务：提供数据中台现有数据接口的异常处理服务，维护数据正常流转。</w:t>
            </w:r>
          </w:p>
          <w:p>
            <w:pPr>
              <w:pStyle w:val="null3"/>
            </w:pPr>
            <w:r>
              <w:rPr>
                <w:rFonts w:ascii="仿宋_GB2312" w:hAnsi="仿宋_GB2312" w:cs="仿宋_GB2312" w:eastAsia="仿宋_GB2312"/>
              </w:rPr>
              <w:t>（6）巡检服务：定期进行系统测试和问题诊断；每季度进行一次全面深度巡检并提交巡检报告；每学期开学前开展专项人工巡检工作并提交巡检报告；重保期间或其他特殊时期，须按照学校要求进行巡检、及时反馈并处置问题按学校要求提交巡检报告。</w:t>
            </w:r>
          </w:p>
          <w:p>
            <w:pPr>
              <w:pStyle w:val="null3"/>
            </w:pPr>
            <w:r>
              <w:rPr>
                <w:rFonts w:ascii="仿宋_GB2312" w:hAnsi="仿宋_GB2312" w:cs="仿宋_GB2312" w:eastAsia="仿宋_GB2312"/>
              </w:rPr>
              <w:t>（7）毕业画像数据服务：按照学校要求为每年的毕业生（本科生及研究生）提供个人数据梳理、整合服务，为毕业画像应用提供数据支撑。</w:t>
            </w:r>
          </w:p>
          <w:p>
            <w:pPr>
              <w:pStyle w:val="null3"/>
            </w:pPr>
            <w:r>
              <w:rPr>
                <w:rFonts w:ascii="仿宋_GB2312" w:hAnsi="仿宋_GB2312" w:cs="仿宋_GB2312" w:eastAsia="仿宋_GB2312"/>
              </w:rPr>
              <w:t>（8）其他服务：提供系统修改更新的文档及用户手册，按学校要求完成相关人员进行平台应用培训，进行系统升级与迁移工作，做好系统数据备份、系统恢复工作。</w:t>
            </w:r>
          </w:p>
          <w:p>
            <w:pPr>
              <w:pStyle w:val="null3"/>
            </w:pPr>
            <w:r>
              <w:rPr>
                <w:rFonts w:ascii="仿宋_GB2312" w:hAnsi="仿宋_GB2312" w:cs="仿宋_GB2312" w:eastAsia="仿宋_GB2312"/>
              </w:rPr>
              <w:t>【巡检 保障】</w:t>
            </w:r>
          </w:p>
          <w:p>
            <w:pPr>
              <w:pStyle w:val="null3"/>
            </w:pPr>
            <w:r>
              <w:rPr>
                <w:rFonts w:ascii="仿宋_GB2312" w:hAnsi="仿宋_GB2312" w:cs="仿宋_GB2312" w:eastAsia="仿宋_GB2312"/>
              </w:rPr>
              <w:t>维护保障响应时间要求如下：</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问题级别</w:t>
                  </w:r>
                </w:p>
              </w:tc>
              <w:tc>
                <w:tcPr>
                  <w:tcW w:type="dxa" w:w="851"/>
                </w:tcPr>
                <w:p>
                  <w:pPr>
                    <w:pStyle w:val="null3"/>
                  </w:pPr>
                  <w:r>
                    <w:rPr>
                      <w:rFonts w:ascii="仿宋_GB2312" w:hAnsi="仿宋_GB2312" w:cs="仿宋_GB2312" w:eastAsia="仿宋_GB2312"/>
                    </w:rPr>
                    <w:t>响应时间要求</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紧急问题</w:t>
                  </w:r>
                </w:p>
              </w:tc>
              <w:tc>
                <w:tcPr>
                  <w:tcW w:type="dxa" w:w="851"/>
                </w:tcPr>
                <w:p>
                  <w:pPr>
                    <w:pStyle w:val="null3"/>
                  </w:pPr>
                  <w:r>
                    <w:rPr>
                      <w:rFonts w:ascii="仿宋_GB2312" w:hAnsi="仿宋_GB2312" w:cs="仿宋_GB2312" w:eastAsia="仿宋_GB2312"/>
                    </w:rPr>
                    <w:t>立即响应，2时内到达现场</w:t>
                  </w:r>
                </w:p>
              </w:tc>
              <w:tc>
                <w:tcPr>
                  <w:tcW w:type="dxa" w:w="851"/>
                </w:tcPr>
                <w:p>
                  <w:pPr>
                    <w:pStyle w:val="null3"/>
                  </w:pPr>
                  <w:r>
                    <w:rPr>
                      <w:rFonts w:ascii="仿宋_GB2312" w:hAnsi="仿宋_GB2312" w:cs="仿宋_GB2312" w:eastAsia="仿宋_GB2312"/>
                    </w:rPr>
                    <w:t>紧急问题包括：系统出现严重故障、出现数据丢失等情况。</w:t>
                  </w:r>
                </w:p>
              </w:tc>
            </w:tr>
            <w:tr>
              <w:tc>
                <w:tcPr>
                  <w:tcW w:type="dxa" w:w="851"/>
                </w:tcPr>
                <w:p>
                  <w:pPr>
                    <w:pStyle w:val="null3"/>
                  </w:pPr>
                  <w:r>
                    <w:rPr>
                      <w:rFonts w:ascii="仿宋_GB2312" w:hAnsi="仿宋_GB2312" w:cs="仿宋_GB2312" w:eastAsia="仿宋_GB2312"/>
                    </w:rPr>
                    <w:t>严重问题</w:t>
                  </w:r>
                </w:p>
              </w:tc>
              <w:tc>
                <w:tcPr>
                  <w:tcW w:type="dxa" w:w="851"/>
                </w:tcPr>
                <w:p>
                  <w:pPr>
                    <w:pStyle w:val="null3"/>
                  </w:pPr>
                  <w:r>
                    <w:rPr>
                      <w:rFonts w:ascii="仿宋_GB2312" w:hAnsi="仿宋_GB2312" w:cs="仿宋_GB2312" w:eastAsia="仿宋_GB2312"/>
                    </w:rPr>
                    <w:t>1时内响应，4小时内到达现场</w:t>
                  </w:r>
                </w:p>
              </w:tc>
              <w:tc>
                <w:tcPr>
                  <w:tcW w:type="dxa" w:w="851"/>
                </w:tcPr>
                <w:p>
                  <w:pPr>
                    <w:pStyle w:val="null3"/>
                  </w:pPr>
                  <w:r>
                    <w:rPr>
                      <w:rFonts w:ascii="仿宋_GB2312" w:hAnsi="仿宋_GB2312" w:cs="仿宋_GB2312" w:eastAsia="仿宋_GB2312"/>
                    </w:rPr>
                    <w:t>严重问题包括：模块失效、系统性能下降但仍能正常运行，不影响正常业务运作等情况。</w:t>
                  </w:r>
                </w:p>
              </w:tc>
            </w:tr>
            <w:tr>
              <w:tc>
                <w:tcPr>
                  <w:tcW w:type="dxa" w:w="851"/>
                </w:tcPr>
                <w:p>
                  <w:pPr>
                    <w:pStyle w:val="null3"/>
                  </w:pPr>
                  <w:r>
                    <w:rPr>
                      <w:rFonts w:ascii="仿宋_GB2312" w:hAnsi="仿宋_GB2312" w:cs="仿宋_GB2312" w:eastAsia="仿宋_GB2312"/>
                    </w:rPr>
                    <w:t>较严重问题</w:t>
                  </w:r>
                </w:p>
              </w:tc>
              <w:tc>
                <w:tcPr>
                  <w:tcW w:type="dxa" w:w="851"/>
                </w:tcPr>
                <w:p>
                  <w:pPr>
                    <w:pStyle w:val="null3"/>
                  </w:pPr>
                  <w:r>
                    <w:rPr>
                      <w:rFonts w:ascii="仿宋_GB2312" w:hAnsi="仿宋_GB2312" w:cs="仿宋_GB2312" w:eastAsia="仿宋_GB2312"/>
                    </w:rPr>
                    <w:t>2小时内响应，8小时内到现场或远程解决</w:t>
                  </w:r>
                </w:p>
              </w:tc>
              <w:tc>
                <w:tcPr>
                  <w:tcW w:type="dxa" w:w="851"/>
                </w:tcPr>
                <w:p>
                  <w:pPr>
                    <w:pStyle w:val="null3"/>
                  </w:pPr>
                  <w:r>
                    <w:rPr>
                      <w:rFonts w:ascii="仿宋_GB2312" w:hAnsi="仿宋_GB2312" w:cs="仿宋_GB2312" w:eastAsia="仿宋_GB2312"/>
                    </w:rPr>
                    <w:t>较严重问题包括：出现系统报错或警告，系统能正常运行且性能不受影响。</w:t>
                  </w:r>
                </w:p>
              </w:tc>
            </w:tr>
            <w:tr>
              <w:tc>
                <w:tcPr>
                  <w:tcW w:type="dxa" w:w="851"/>
                </w:tcPr>
                <w:p>
                  <w:pPr>
                    <w:pStyle w:val="null3"/>
                  </w:pPr>
                  <w:r>
                    <w:rPr>
                      <w:rFonts w:ascii="仿宋_GB2312" w:hAnsi="仿宋_GB2312" w:cs="仿宋_GB2312" w:eastAsia="仿宋_GB2312"/>
                    </w:rPr>
                    <w:t>普通问题</w:t>
                  </w:r>
                </w:p>
              </w:tc>
              <w:tc>
                <w:tcPr>
                  <w:tcW w:type="dxa" w:w="851"/>
                </w:tcPr>
                <w:p>
                  <w:pPr>
                    <w:pStyle w:val="null3"/>
                  </w:pPr>
                  <w:r>
                    <w:rPr>
                      <w:rFonts w:ascii="仿宋_GB2312" w:hAnsi="仿宋_GB2312" w:cs="仿宋_GB2312" w:eastAsia="仿宋_GB2312"/>
                    </w:rPr>
                    <w:t>按学校相关时间要求</w:t>
                  </w:r>
                </w:p>
              </w:tc>
              <w:tc>
                <w:tcPr>
                  <w:tcW w:type="dxa" w:w="851"/>
                </w:tcPr>
                <w:p>
                  <w:pPr>
                    <w:pStyle w:val="null3"/>
                  </w:pPr>
                  <w:r>
                    <w:rPr>
                      <w:rFonts w:ascii="仿宋_GB2312" w:hAnsi="仿宋_GB2312" w:cs="仿宋_GB2312" w:eastAsia="仿宋_GB2312"/>
                    </w:rPr>
                    <w:t>普通问题包括：需要系统技术支持或相关咨询业务等服务。</w:t>
                  </w:r>
                </w:p>
              </w:tc>
            </w:tr>
          </w:tbl>
          <w:p>
            <w:pPr>
              <w:pStyle w:val="null3"/>
            </w:pPr>
            <w:r>
              <w:rPr>
                <w:rFonts w:ascii="仿宋_GB2312" w:hAnsi="仿宋_GB2312" w:cs="仿宋_GB2312" w:eastAsia="仿宋_GB2312"/>
              </w:rPr>
              <w:t>维护工作流程要求如下：</w:t>
            </w:r>
          </w:p>
          <w:p>
            <w:pPr>
              <w:pStyle w:val="null3"/>
            </w:pPr>
            <w:r>
              <w:rPr>
                <w:rFonts w:ascii="仿宋_GB2312" w:hAnsi="仿宋_GB2312" w:cs="仿宋_GB2312" w:eastAsia="仿宋_GB2312"/>
              </w:rPr>
              <w:t>(1)校方提出系统维护要求，须在合同规定时间内给予响应。系统维护工作结束后，校方对维护工作进行检查，并确认维护工作是否有效。</w:t>
            </w:r>
          </w:p>
          <w:p>
            <w:pPr>
              <w:pStyle w:val="null3"/>
            </w:pPr>
            <w:r>
              <w:rPr>
                <w:rFonts w:ascii="仿宋_GB2312" w:hAnsi="仿宋_GB2312" w:cs="仿宋_GB2312" w:eastAsia="仿宋_GB2312"/>
              </w:rPr>
              <w:t>(2)针对关键业务进行功能和性能测试，提前进行问题排查工作，并出具测试报告。</w:t>
            </w:r>
          </w:p>
          <w:p>
            <w:pPr>
              <w:pStyle w:val="null3"/>
            </w:pPr>
            <w:r>
              <w:rPr>
                <w:rFonts w:ascii="仿宋_GB2312" w:hAnsi="仿宋_GB2312" w:cs="仿宋_GB2312" w:eastAsia="仿宋_GB2312"/>
              </w:rPr>
              <w:t>(3)处于关键业务节点时须主动监控的系统运行情况。</w:t>
            </w:r>
          </w:p>
          <w:p>
            <w:pPr>
              <w:pStyle w:val="null3"/>
            </w:pPr>
            <w:r>
              <w:rPr>
                <w:rFonts w:ascii="仿宋_GB2312" w:hAnsi="仿宋_GB2312" w:cs="仿宋_GB2312" w:eastAsia="仿宋_GB2312"/>
              </w:rPr>
              <w:t>2、移动校园平台原厂维保服务内容：</w:t>
            </w:r>
          </w:p>
          <w:p>
            <w:pPr>
              <w:pStyle w:val="null3"/>
            </w:pPr>
            <w:r>
              <w:rPr>
                <w:rFonts w:ascii="仿宋_GB2312" w:hAnsi="仿宋_GB2312" w:cs="仿宋_GB2312" w:eastAsia="仿宋_GB2312"/>
              </w:rPr>
              <w:t>（1）平台维护</w:t>
            </w:r>
          </w:p>
          <w:p>
            <w:pPr>
              <w:pStyle w:val="null3"/>
            </w:pPr>
            <w:r>
              <w:rPr>
                <w:rFonts w:ascii="仿宋_GB2312" w:hAnsi="仿宋_GB2312" w:cs="仿宋_GB2312" w:eastAsia="仿宋_GB2312"/>
              </w:rPr>
              <w:t>现有平台及模块的日常维护、每月巡检、bug修复、小版本升级、重要时期保障等。</w:t>
            </w:r>
          </w:p>
          <w:p>
            <w:pPr>
              <w:pStyle w:val="null3"/>
            </w:pPr>
            <w:r>
              <w:rPr>
                <w:rFonts w:ascii="仿宋_GB2312" w:hAnsi="仿宋_GB2312" w:cs="仿宋_GB2312" w:eastAsia="仿宋_GB2312"/>
              </w:rPr>
              <w:t>（2）接口调整</w:t>
            </w:r>
          </w:p>
          <w:p>
            <w:pPr>
              <w:pStyle w:val="null3"/>
            </w:pPr>
            <w:r>
              <w:rPr>
                <w:rFonts w:ascii="仿宋_GB2312" w:hAnsi="仿宋_GB2312" w:cs="仿宋_GB2312" w:eastAsia="仿宋_GB2312"/>
              </w:rPr>
              <w:t>针对定制功能，若学校接口发生变化、调整，提供由其产生的开发和修改工作。</w:t>
            </w:r>
          </w:p>
          <w:p>
            <w:pPr>
              <w:pStyle w:val="null3"/>
            </w:pPr>
            <w:r>
              <w:rPr>
                <w:rFonts w:ascii="仿宋_GB2312" w:hAnsi="仿宋_GB2312" w:cs="仿宋_GB2312" w:eastAsia="仿宋_GB2312"/>
              </w:rPr>
              <w:t xml:space="preserve">    （3）在线支持</w:t>
            </w:r>
          </w:p>
          <w:p>
            <w:pPr>
              <w:pStyle w:val="null3"/>
            </w:pPr>
            <w:r>
              <w:rPr>
                <w:rFonts w:ascii="仿宋_GB2312" w:hAnsi="仿宋_GB2312" w:cs="仿宋_GB2312" w:eastAsia="仿宋_GB2312"/>
              </w:rPr>
              <w:t>1)电话支持</w:t>
            </w:r>
          </w:p>
          <w:p>
            <w:pPr>
              <w:pStyle w:val="null3"/>
            </w:pPr>
            <w:r>
              <w:rPr>
                <w:rFonts w:ascii="仿宋_GB2312" w:hAnsi="仿宋_GB2312" w:cs="仿宋_GB2312" w:eastAsia="仿宋_GB2312"/>
              </w:rPr>
              <w:t>提供 24x7的全天候电话咨询服务，解决用户在系统使用、维护中遇到的各类问题。2小时内做出明确响应和安排，在4小时内为建设单位提供维修服务。</w:t>
            </w:r>
          </w:p>
          <w:p>
            <w:pPr>
              <w:pStyle w:val="null3"/>
            </w:pPr>
            <w:r>
              <w:rPr>
                <w:rFonts w:ascii="仿宋_GB2312" w:hAnsi="仿宋_GB2312" w:cs="仿宋_GB2312" w:eastAsia="仿宋_GB2312"/>
              </w:rPr>
              <w:t>2)重大技术问题处理</w:t>
            </w:r>
          </w:p>
          <w:p>
            <w:pPr>
              <w:pStyle w:val="null3"/>
            </w:pPr>
            <w:r>
              <w:rPr>
                <w:rFonts w:ascii="仿宋_GB2312" w:hAnsi="仿宋_GB2312" w:cs="仿宋_GB2312" w:eastAsia="仿宋_GB2312"/>
              </w:rPr>
              <w:t>对重大的技术问题，协调组织技术专家小组，共同会诊，解决问题，保证用户系统正常运行。</w:t>
            </w:r>
          </w:p>
          <w:p>
            <w:pPr>
              <w:pStyle w:val="null3"/>
            </w:pPr>
            <w:r>
              <w:rPr>
                <w:rFonts w:ascii="仿宋_GB2312" w:hAnsi="仿宋_GB2312" w:cs="仿宋_GB2312" w:eastAsia="仿宋_GB2312"/>
              </w:rPr>
              <w:t>（4）应急响应</w:t>
            </w:r>
          </w:p>
          <w:p>
            <w:pPr>
              <w:pStyle w:val="null3"/>
            </w:pPr>
            <w:r>
              <w:rPr>
                <w:rFonts w:ascii="仿宋_GB2312" w:hAnsi="仿宋_GB2312" w:cs="仿宋_GB2312" w:eastAsia="仿宋_GB2312"/>
              </w:rPr>
              <w:t>针对本平台出现的严重问题，提供2小时内上门维护服务。在公司技术人员未到达现场时，由公司内部技术人员提供紧急远程维护，指导学校尽早解决问题，恢复系统运行。</w:t>
            </w:r>
          </w:p>
          <w:p>
            <w:pPr>
              <w:pStyle w:val="null3"/>
            </w:pPr>
            <w:r>
              <w:rPr>
                <w:rFonts w:ascii="仿宋_GB2312" w:hAnsi="仿宋_GB2312" w:cs="仿宋_GB2312" w:eastAsia="仿宋_GB2312"/>
              </w:rPr>
              <w:t>（5）培训</w:t>
            </w:r>
          </w:p>
          <w:p>
            <w:pPr>
              <w:pStyle w:val="null3"/>
            </w:pPr>
            <w:r>
              <w:rPr>
                <w:rFonts w:ascii="仿宋_GB2312" w:hAnsi="仿宋_GB2312" w:cs="仿宋_GB2312" w:eastAsia="仿宋_GB2312"/>
              </w:rPr>
              <w:t>按学校要求提供免费上门培训，不限制人数。</w:t>
            </w:r>
          </w:p>
          <w:p>
            <w:pPr>
              <w:pStyle w:val="null3"/>
            </w:pPr>
            <w:r>
              <w:rPr>
                <w:rFonts w:ascii="仿宋_GB2312" w:hAnsi="仿宋_GB2312" w:cs="仿宋_GB2312" w:eastAsia="仿宋_GB2312"/>
              </w:rPr>
              <w:t>每年提供2次免费上门培训，不限制人数培训内容针对系统管理人员和各类用户分别进行。通过培训使各类用户能独立进行相应应用与管理、故障处理、日常维护等工作，确保系统能正常安全运行。</w:t>
            </w:r>
          </w:p>
          <w:p>
            <w:pPr>
              <w:pStyle w:val="null3"/>
            </w:pPr>
            <w:r>
              <w:rPr>
                <w:rFonts w:ascii="仿宋_GB2312" w:hAnsi="仿宋_GB2312" w:cs="仿宋_GB2312" w:eastAsia="仿宋_GB2312"/>
              </w:rPr>
              <w:t>（6）毕业生画像服务</w:t>
            </w:r>
          </w:p>
          <w:p>
            <w:pPr>
              <w:pStyle w:val="null3"/>
            </w:pPr>
            <w:r>
              <w:rPr>
                <w:rFonts w:ascii="仿宋_GB2312" w:hAnsi="仿宋_GB2312" w:cs="仿宋_GB2312" w:eastAsia="仿宋_GB2312"/>
              </w:rPr>
              <w:t>按照学校要求免费完成毕业生（本科生及研究生）毕业画像前端页面配置。</w:t>
            </w:r>
          </w:p>
          <w:p>
            <w:pPr>
              <w:pStyle w:val="null3"/>
            </w:pPr>
            <w:r>
              <w:rPr>
                <w:rFonts w:ascii="仿宋_GB2312" w:hAnsi="仿宋_GB2312" w:cs="仿宋_GB2312" w:eastAsia="仿宋_GB2312"/>
              </w:rPr>
              <w:t>（7）平台负载均衡业务迁移</w:t>
            </w:r>
          </w:p>
          <w:p>
            <w:pPr>
              <w:pStyle w:val="null3"/>
            </w:pPr>
            <w:r>
              <w:rPr>
                <w:rFonts w:ascii="仿宋_GB2312" w:hAnsi="仿宋_GB2312" w:cs="仿宋_GB2312" w:eastAsia="仿宋_GB2312"/>
              </w:rPr>
              <w:t>免费配合学校完成平台部署的负载均衡业务迁移工作。</w:t>
            </w:r>
          </w:p>
          <w:p>
            <w:pPr>
              <w:pStyle w:val="null3"/>
            </w:pPr>
            <w:r>
              <w:rPr>
                <w:rFonts w:ascii="仿宋_GB2312" w:hAnsi="仿宋_GB2312" w:cs="仿宋_GB2312" w:eastAsia="仿宋_GB2312"/>
              </w:rPr>
              <w:t>（8）配合学校完成移动校园（微信企业号）的企业微信认证，并承担认证费用。</w:t>
            </w:r>
          </w:p>
          <w:p>
            <w:pPr>
              <w:pStyle w:val="null3"/>
            </w:pPr>
            <w:r>
              <w:rPr>
                <w:rFonts w:ascii="仿宋_GB2312" w:hAnsi="仿宋_GB2312" w:cs="仿宋_GB2312" w:eastAsia="仿宋_GB2312"/>
              </w:rPr>
              <w:t>3.西外云盘运维服务内容</w:t>
            </w:r>
          </w:p>
          <w:p>
            <w:pPr>
              <w:pStyle w:val="null3"/>
            </w:pPr>
            <w:r>
              <w:rPr>
                <w:rFonts w:ascii="仿宋_GB2312" w:hAnsi="仿宋_GB2312" w:cs="仿宋_GB2312" w:eastAsia="仿宋_GB2312"/>
              </w:rPr>
              <w:t>（1）平台维护</w:t>
            </w:r>
          </w:p>
          <w:p>
            <w:pPr>
              <w:pStyle w:val="null3"/>
            </w:pPr>
            <w:r>
              <w:rPr>
                <w:rFonts w:ascii="仿宋_GB2312" w:hAnsi="仿宋_GB2312" w:cs="仿宋_GB2312" w:eastAsia="仿宋_GB2312"/>
              </w:rPr>
              <w:t>现有平台及模块的日常维护、每月巡检、bug修复、重要时期保障及3年维保期内必要的版本升级等。</w:t>
            </w:r>
          </w:p>
          <w:p>
            <w:pPr>
              <w:pStyle w:val="null3"/>
            </w:pPr>
            <w:r>
              <w:rPr>
                <w:rFonts w:ascii="仿宋_GB2312" w:hAnsi="仿宋_GB2312" w:cs="仿宋_GB2312" w:eastAsia="仿宋_GB2312"/>
              </w:rPr>
              <w:t>（2）接口调整</w:t>
            </w:r>
          </w:p>
          <w:p>
            <w:pPr>
              <w:pStyle w:val="null3"/>
            </w:pPr>
            <w:r>
              <w:rPr>
                <w:rFonts w:ascii="仿宋_GB2312" w:hAnsi="仿宋_GB2312" w:cs="仿宋_GB2312" w:eastAsia="仿宋_GB2312"/>
              </w:rPr>
              <w:t>针对定制功能，若学校接口发生变化、调整，提供由其产生的开发和修改工作。</w:t>
            </w:r>
          </w:p>
          <w:p>
            <w:pPr>
              <w:pStyle w:val="null3"/>
            </w:pPr>
            <w:r>
              <w:rPr>
                <w:rFonts w:ascii="仿宋_GB2312" w:hAnsi="仿宋_GB2312" w:cs="仿宋_GB2312" w:eastAsia="仿宋_GB2312"/>
              </w:rPr>
              <w:t>（3）在线支持</w:t>
            </w:r>
          </w:p>
          <w:p>
            <w:pPr>
              <w:pStyle w:val="null3"/>
            </w:pPr>
            <w:r>
              <w:rPr>
                <w:rFonts w:ascii="仿宋_GB2312" w:hAnsi="仿宋_GB2312" w:cs="仿宋_GB2312" w:eastAsia="仿宋_GB2312"/>
              </w:rPr>
              <w:t>1)线上支持</w:t>
            </w:r>
          </w:p>
          <w:p>
            <w:pPr>
              <w:pStyle w:val="null3"/>
            </w:pPr>
            <w:r>
              <w:rPr>
                <w:rFonts w:ascii="仿宋_GB2312" w:hAnsi="仿宋_GB2312" w:cs="仿宋_GB2312" w:eastAsia="仿宋_GB2312"/>
              </w:rPr>
              <w:t>提供 24x7的全天候线上咨询服务，解决用户在系统使用、维护中遇到的各类问题。</w:t>
            </w:r>
          </w:p>
          <w:p>
            <w:pPr>
              <w:pStyle w:val="null3"/>
            </w:pPr>
            <w:r>
              <w:rPr>
                <w:rFonts w:ascii="仿宋_GB2312" w:hAnsi="仿宋_GB2312" w:cs="仿宋_GB2312" w:eastAsia="仿宋_GB2312"/>
              </w:rPr>
              <w:t>2)重大技术问题处理</w:t>
            </w:r>
          </w:p>
          <w:p>
            <w:pPr>
              <w:pStyle w:val="null3"/>
            </w:pPr>
            <w:r>
              <w:rPr>
                <w:rFonts w:ascii="仿宋_GB2312" w:hAnsi="仿宋_GB2312" w:cs="仿宋_GB2312" w:eastAsia="仿宋_GB2312"/>
              </w:rPr>
              <w:t>对重大的技术问题，协调组织技术专家小组，共同会诊，解决问题，保证用户系统正常运行。</w:t>
            </w:r>
          </w:p>
          <w:p>
            <w:pPr>
              <w:pStyle w:val="null3"/>
            </w:pPr>
            <w:r>
              <w:rPr>
                <w:rFonts w:ascii="仿宋_GB2312" w:hAnsi="仿宋_GB2312" w:cs="仿宋_GB2312" w:eastAsia="仿宋_GB2312"/>
              </w:rPr>
              <w:t>（4）应急响应</w:t>
            </w:r>
          </w:p>
          <w:p>
            <w:pPr>
              <w:pStyle w:val="null3"/>
            </w:pPr>
            <w:r>
              <w:rPr>
                <w:rFonts w:ascii="仿宋_GB2312" w:hAnsi="仿宋_GB2312" w:cs="仿宋_GB2312" w:eastAsia="仿宋_GB2312"/>
              </w:rPr>
              <w:t>针对本平台出现的严重问题，提供2小时内上门维护服务。在公司技术人员未到达现场时，由公司内部技术人员提供紧急远程维护，指导学校尽早解决问题，恢复系统运行。</w:t>
            </w:r>
          </w:p>
          <w:p>
            <w:pPr>
              <w:pStyle w:val="null3"/>
            </w:pPr>
            <w:r>
              <w:rPr>
                <w:rFonts w:ascii="仿宋_GB2312" w:hAnsi="仿宋_GB2312" w:cs="仿宋_GB2312" w:eastAsia="仿宋_GB2312"/>
              </w:rPr>
              <w:t>（5）培训</w:t>
            </w:r>
          </w:p>
          <w:p>
            <w:pPr>
              <w:pStyle w:val="null3"/>
            </w:pPr>
            <w:r>
              <w:rPr>
                <w:rFonts w:ascii="仿宋_GB2312" w:hAnsi="仿宋_GB2312" w:cs="仿宋_GB2312" w:eastAsia="仿宋_GB2312"/>
              </w:rPr>
              <w:t>按学校要求提供免费上门培训，不限制人数。</w:t>
            </w:r>
          </w:p>
          <w:p>
            <w:pPr>
              <w:pStyle w:val="null3"/>
            </w:pPr>
            <w:r>
              <w:rPr>
                <w:rFonts w:ascii="仿宋_GB2312" w:hAnsi="仿宋_GB2312" w:cs="仿宋_GB2312" w:eastAsia="仿宋_GB2312"/>
              </w:rPr>
              <w:t>每年提供2次免费上门培训，不限制人数培训内容针对系统管理人员和各类用户分别进行。通过培训使各类用户能独立进行相应应用与管理、故障处理、日常维护等工作，确保系统能正常安全运行。</w:t>
            </w:r>
          </w:p>
          <w:p>
            <w:pPr>
              <w:pStyle w:val="null3"/>
            </w:pPr>
            <w:r>
              <w:rPr>
                <w:rFonts w:ascii="仿宋_GB2312" w:hAnsi="仿宋_GB2312" w:cs="仿宋_GB2312" w:eastAsia="仿宋_GB2312"/>
              </w:rPr>
              <w:t>2.系统集成任务</w:t>
            </w:r>
          </w:p>
          <w:p>
            <w:pPr>
              <w:pStyle w:val="null3"/>
            </w:pPr>
            <w:r>
              <w:rPr>
                <w:rFonts w:ascii="仿宋_GB2312" w:hAnsi="仿宋_GB2312" w:cs="仿宋_GB2312" w:eastAsia="仿宋_GB2312"/>
              </w:rPr>
              <w:t>包含但不限于：按学校要求做好相关设备集成的技术支持。</w:t>
            </w:r>
          </w:p>
          <w:p>
            <w:pPr>
              <w:pStyle w:val="null3"/>
            </w:pPr>
            <w:r>
              <w:rPr>
                <w:rFonts w:ascii="仿宋_GB2312" w:hAnsi="仿宋_GB2312" w:cs="仿宋_GB2312" w:eastAsia="仿宋_GB2312"/>
              </w:rPr>
              <w:t>3.安全性要求</w:t>
            </w:r>
          </w:p>
          <w:p>
            <w:pPr>
              <w:pStyle w:val="null3"/>
            </w:pPr>
            <w:r>
              <w:rPr>
                <w:rFonts w:ascii="仿宋_GB2312" w:hAnsi="仿宋_GB2312" w:cs="仿宋_GB2312" w:eastAsia="仿宋_GB2312"/>
              </w:rPr>
              <w:t>包含但不限于：</w:t>
            </w:r>
          </w:p>
          <w:p>
            <w:pPr>
              <w:pStyle w:val="null3"/>
            </w:pPr>
            <w:r>
              <w:rPr>
                <w:rFonts w:ascii="仿宋_GB2312" w:hAnsi="仿宋_GB2312" w:cs="仿宋_GB2312" w:eastAsia="仿宋_GB2312"/>
              </w:rPr>
              <w:t>供应商需与采购人签署数据保密协议，严格遵循保密协议，凡涉及客户的机型配置、IP地址、生产经营数据、软件等信息不得向第三方泄露，维护过程中如需涉及客户系统的数据信息，必须先通过用户认可，维护工作的数据信息（无论是打印或介质上的数据信息）不得带离客户工作现场，不得随意复制和传播。</w:t>
            </w:r>
          </w:p>
          <w:p>
            <w:pPr>
              <w:pStyle w:val="null3"/>
            </w:pPr>
            <w:r>
              <w:rPr>
                <w:rFonts w:ascii="仿宋_GB2312" w:hAnsi="仿宋_GB2312" w:cs="仿宋_GB2312" w:eastAsia="仿宋_GB2312"/>
              </w:rPr>
              <w:t>4.技术要求</w:t>
            </w:r>
          </w:p>
          <w:p>
            <w:pPr>
              <w:pStyle w:val="null3"/>
            </w:pPr>
            <w:r>
              <w:rPr>
                <w:rFonts w:ascii="仿宋_GB2312" w:hAnsi="仿宋_GB2312" w:cs="仿宋_GB2312" w:eastAsia="仿宋_GB2312"/>
              </w:rPr>
              <w:t>包含但不限于：</w:t>
            </w:r>
          </w:p>
          <w:p>
            <w:pPr>
              <w:pStyle w:val="null3"/>
              <w:outlineLvl w:val="2"/>
            </w:pPr>
            <w:r>
              <w:rPr>
                <w:rFonts w:ascii="仿宋_GB2312" w:hAnsi="仿宋_GB2312" w:cs="仿宋_GB2312" w:eastAsia="仿宋_GB2312"/>
                <w:sz w:val="28"/>
                <w:b/>
              </w:rPr>
              <w:t>1、服务管理要求</w:t>
            </w:r>
          </w:p>
          <w:p>
            <w:pPr>
              <w:pStyle w:val="null3"/>
            </w:pPr>
            <w:r>
              <w:rPr>
                <w:rFonts w:ascii="仿宋_GB2312" w:hAnsi="仿宋_GB2312" w:cs="仿宋_GB2312" w:eastAsia="仿宋_GB2312"/>
              </w:rPr>
              <w:t>需熟悉我校业务、技术实力强、具有专业服务资质的运维服务团队来承担我校信息系统运维工作，保障系统的正常工作及业务的可靠性和连续性。</w:t>
            </w:r>
          </w:p>
          <w:p>
            <w:pPr>
              <w:pStyle w:val="null3"/>
            </w:pPr>
            <w:r>
              <w:rPr>
                <w:rFonts w:ascii="仿宋_GB2312" w:hAnsi="仿宋_GB2312" w:cs="仿宋_GB2312" w:eastAsia="仿宋_GB2312"/>
              </w:rPr>
              <w:t>信息系统运维需要从管理和技术两个角度衡量服务质量，从管理角度来说，建立基于国家标准或者是国际实践的运维管理体系非常重要，管理人员需要通过ITIL等服务认证，建立体系/流程+技术人员+专业工具的服务框架才能保证运维服务的服务质量，从而保证信息系统实现业务价值。</w:t>
            </w:r>
          </w:p>
          <w:p>
            <w:pPr>
              <w:pStyle w:val="null3"/>
            </w:pPr>
            <w:r>
              <w:rPr>
                <w:rFonts w:ascii="仿宋_GB2312" w:hAnsi="仿宋_GB2312" w:cs="仿宋_GB2312" w:eastAsia="仿宋_GB2312"/>
              </w:rPr>
              <w:t>2、保修要求</w:t>
            </w:r>
          </w:p>
          <w:p>
            <w:pPr>
              <w:pStyle w:val="null3"/>
            </w:pPr>
            <w:r>
              <w:rPr>
                <w:rFonts w:ascii="仿宋_GB2312" w:hAnsi="仿宋_GB2312" w:cs="仿宋_GB2312" w:eastAsia="仿宋_GB2312"/>
              </w:rPr>
              <w:t>对维保清单的设备提供保修服务、技术支持，要求对故障部件进行替换。</w:t>
            </w:r>
          </w:p>
          <w:p>
            <w:pPr>
              <w:pStyle w:val="null3"/>
            </w:pPr>
            <w:r>
              <w:rPr>
                <w:rFonts w:ascii="仿宋_GB2312" w:hAnsi="仿宋_GB2312" w:cs="仿宋_GB2312" w:eastAsia="仿宋_GB2312"/>
              </w:rPr>
              <w:t>为了保证原厂服务（原厂维保和原厂支持），供应商在投标时必须出具原厂服务承诺函，按照评分标准进行评审。</w:t>
            </w:r>
          </w:p>
          <w:p>
            <w:pPr>
              <w:pStyle w:val="null3"/>
            </w:pPr>
            <w:r>
              <w:rPr>
                <w:rFonts w:ascii="仿宋_GB2312" w:hAnsi="仿宋_GB2312" w:cs="仿宋_GB2312" w:eastAsia="仿宋_GB2312"/>
              </w:rPr>
              <w:t>在设备开始进入维保时间之前，对系统运行状况、连接环境等进行全面核查，并提交核查报告以排除隐患。</w:t>
            </w:r>
          </w:p>
          <w:p>
            <w:pPr>
              <w:pStyle w:val="null3"/>
            </w:pPr>
            <w:r>
              <w:rPr>
                <w:rFonts w:ascii="仿宋_GB2312" w:hAnsi="仿宋_GB2312" w:cs="仿宋_GB2312" w:eastAsia="仿宋_GB2312"/>
              </w:rPr>
              <w:t>建立设备管理档案。对设备配置、安装、运行、维护、维修、升级等信息进行记录并归档管理，以利于后续维护。</w:t>
            </w:r>
          </w:p>
          <w:p>
            <w:pPr>
              <w:pStyle w:val="null3"/>
            </w:pPr>
            <w:r>
              <w:rPr>
                <w:rFonts w:ascii="仿宋_GB2312" w:hAnsi="仿宋_GB2312" w:cs="仿宋_GB2312" w:eastAsia="仿宋_GB2312"/>
              </w:rPr>
              <w:t>维修维护动作需严格执行设备生产厂家规定的维修流程。</w:t>
            </w:r>
          </w:p>
          <w:p>
            <w:pPr>
              <w:pStyle w:val="null3"/>
            </w:pPr>
            <w:r>
              <w:rPr>
                <w:rFonts w:ascii="仿宋_GB2312" w:hAnsi="仿宋_GB2312" w:cs="仿宋_GB2312" w:eastAsia="仿宋_GB2312"/>
              </w:rPr>
              <w:t>保障故障部件48小时内到场。（备品备件2小时内）</w:t>
            </w:r>
          </w:p>
          <w:p>
            <w:pPr>
              <w:pStyle w:val="null3"/>
            </w:pPr>
            <w:r>
              <w:rPr>
                <w:rFonts w:ascii="仿宋_GB2312" w:hAnsi="仿宋_GB2312" w:cs="仿宋_GB2312" w:eastAsia="仿宋_GB2312"/>
              </w:rPr>
              <w:t>维修与部件更换。在不影响系统正常运行的情况下，维修及更换配件完成周期不得多于72小时。</w:t>
            </w:r>
          </w:p>
          <w:p>
            <w:pPr>
              <w:pStyle w:val="null3"/>
            </w:pPr>
            <w:r>
              <w:rPr>
                <w:rFonts w:ascii="仿宋_GB2312" w:hAnsi="仿宋_GB2312" w:cs="仿宋_GB2312" w:eastAsia="仿宋_GB2312"/>
              </w:rPr>
              <w:t>故障处理后的配置以及效果评估。</w:t>
            </w:r>
          </w:p>
          <w:p>
            <w:pPr>
              <w:pStyle w:val="null3"/>
            </w:pPr>
            <w:r>
              <w:rPr>
                <w:rFonts w:ascii="仿宋_GB2312" w:hAnsi="仿宋_GB2312" w:cs="仿宋_GB2312" w:eastAsia="仿宋_GB2312"/>
              </w:rPr>
              <w:t>提供保修以外的增值服务：驻场服务、技术咨询服务、二线技术支持服务、桌面系统维护、网络系统维护服务等。</w:t>
            </w:r>
          </w:p>
          <w:p>
            <w:pPr>
              <w:pStyle w:val="null3"/>
            </w:pPr>
            <w:r>
              <w:rPr>
                <w:rFonts w:ascii="仿宋_GB2312" w:hAnsi="仿宋_GB2312" w:cs="仿宋_GB2312" w:eastAsia="仿宋_GB2312"/>
              </w:rPr>
              <w:t>3、服务团队要求：</w:t>
            </w:r>
          </w:p>
          <w:p>
            <w:pPr>
              <w:pStyle w:val="null3"/>
            </w:pPr>
            <w:r>
              <w:rPr>
                <w:rFonts w:ascii="仿宋_GB2312" w:hAnsi="仿宋_GB2312" w:cs="仿宋_GB2312" w:eastAsia="仿宋_GB2312"/>
              </w:rPr>
              <w:t>我校信息系统网络结构复杂，需要供应商对现场情况非常熟悉，从而保证系统在出现问题后能够尽快修复，并保证系统变更和发布过程中的风险可控；其次，系统技术难度高，包含了大量的高端精密且相对封闭的设备和软件，因此需要供应商具有各项产品认证的技术工程师，才能通过基础的技术支撑来保证业务的平稳运行。</w:t>
            </w:r>
          </w:p>
          <w:p>
            <w:pPr>
              <w:pStyle w:val="null3"/>
            </w:pPr>
            <w:r>
              <w:rPr>
                <w:rFonts w:ascii="仿宋_GB2312" w:hAnsi="仿宋_GB2312" w:cs="仿宋_GB2312" w:eastAsia="仿宋_GB2312"/>
              </w:rPr>
              <w:t>服务供应商必须在本地（西安市）有固定的办公或售后服务机构场所，服务内容是由服务供应商组建的专业技术支持团队完成。</w:t>
            </w:r>
          </w:p>
          <w:p>
            <w:pPr>
              <w:pStyle w:val="null3"/>
            </w:pPr>
            <w:r>
              <w:rPr>
                <w:rFonts w:ascii="仿宋_GB2312" w:hAnsi="仿宋_GB2312" w:cs="仿宋_GB2312" w:eastAsia="仿宋_GB2312"/>
              </w:rPr>
              <w:t>项目经理：</w:t>
            </w:r>
          </w:p>
          <w:p>
            <w:pPr>
              <w:pStyle w:val="null3"/>
            </w:pPr>
            <w:r>
              <w:rPr>
                <w:rFonts w:ascii="仿宋_GB2312" w:hAnsi="仿宋_GB2312" w:cs="仿宋_GB2312" w:eastAsia="仿宋_GB2312"/>
              </w:rPr>
              <w:t>服务供应商提供专职项目经理，针对项目实施和外包服务过程中出现的问题进行沟通，并提交相关解决方案；与我校建立顺畅的沟通渠道，准确地将我校的需求传递到运维团队；监控服务实施过程；规范服务实施流程；规范服务正常运维的各种文档模板；改善服务实施体系；定期为我校提供IT管理咨询计划及规范化建议；规划、检查运维服务的各个过程，负责运作运维服务管理框架包括：管理服务团队提供的日常运维服务，服务水平管理，事故管理，合同管理等。执行团队内部管理（流程优化、管理制度修正、奖惩执行、内部管理文档的修正与补充等工作）</w:t>
            </w:r>
          </w:p>
          <w:p>
            <w:pPr>
              <w:pStyle w:val="null3"/>
            </w:pPr>
            <w:r>
              <w:rPr>
                <w:rFonts w:ascii="仿宋_GB2312" w:hAnsi="仿宋_GB2312" w:cs="仿宋_GB2312" w:eastAsia="仿宋_GB2312"/>
              </w:rPr>
              <w:t>一线驻场：</w:t>
            </w:r>
          </w:p>
          <w:p>
            <w:pPr>
              <w:pStyle w:val="null3"/>
            </w:pPr>
            <w:r>
              <w:rPr>
                <w:rFonts w:ascii="仿宋_GB2312" w:hAnsi="仿宋_GB2312" w:cs="仿宋_GB2312" w:eastAsia="仿宋_GB2312"/>
              </w:rPr>
              <w:t>供应商需提供3名工程师的5*8小时现场驻场服务，提供简历和社保证明文件等。保障一周五天，每天日常八小时的维护工作。原则上不要求供应商工程师加班，但应满足因临时任务所需的加班服务；当有紧急任务或是批量任务时，供应商须临时增派应急工程师进场服务，以保证进度要求。</w:t>
            </w:r>
          </w:p>
          <w:p>
            <w:pPr>
              <w:pStyle w:val="null3"/>
            </w:pPr>
            <w:r>
              <w:rPr>
                <w:rFonts w:ascii="仿宋_GB2312" w:hAnsi="仿宋_GB2312" w:cs="仿宋_GB2312" w:eastAsia="仿宋_GB2312"/>
              </w:rPr>
              <w:t>驻场工程师职责：</w:t>
            </w:r>
            <w:r>
              <w:br/>
            </w:r>
            <w:r>
              <w:rPr>
                <w:rFonts w:ascii="仿宋_GB2312" w:hAnsi="仿宋_GB2312" w:cs="仿宋_GB2312" w:eastAsia="仿宋_GB2312"/>
              </w:rPr>
              <w:t xml:space="preserve"> 1、针对全网设备进行日常巡检工作；</w:t>
            </w:r>
            <w:r>
              <w:br/>
            </w:r>
            <w:r>
              <w:rPr>
                <w:rFonts w:ascii="仿宋_GB2312" w:hAnsi="仿宋_GB2312" w:cs="仿宋_GB2312" w:eastAsia="仿宋_GB2312"/>
              </w:rPr>
              <w:t xml:space="preserve"> 2、全校光纤季度巡检工作；</w:t>
            </w:r>
            <w:r>
              <w:br/>
            </w:r>
            <w:r>
              <w:rPr>
                <w:rFonts w:ascii="仿宋_GB2312" w:hAnsi="仿宋_GB2312" w:cs="仿宋_GB2312" w:eastAsia="仿宋_GB2312"/>
              </w:rPr>
              <w:t xml:space="preserve"> 3、弱电间月度巡检工作；</w:t>
            </w:r>
            <w:r>
              <w:br/>
            </w:r>
            <w:r>
              <w:rPr>
                <w:rFonts w:ascii="仿宋_GB2312" w:hAnsi="仿宋_GB2312" w:cs="仿宋_GB2312" w:eastAsia="仿宋_GB2312"/>
              </w:rPr>
              <w:t xml:space="preserve"> 4、维保内设备的更换、寄送，安装等全流程工作；</w:t>
            </w:r>
            <w:r>
              <w:br/>
            </w:r>
            <w:r>
              <w:rPr>
                <w:rFonts w:ascii="仿宋_GB2312" w:hAnsi="仿宋_GB2312" w:cs="仿宋_GB2312" w:eastAsia="仿宋_GB2312"/>
              </w:rPr>
              <w:t xml:space="preserve"> 5、建立维保内设备的配置库；</w:t>
            </w:r>
            <w:r>
              <w:br/>
            </w:r>
            <w:r>
              <w:rPr>
                <w:rFonts w:ascii="仿宋_GB2312" w:hAnsi="仿宋_GB2312" w:cs="仿宋_GB2312" w:eastAsia="仿宋_GB2312"/>
              </w:rPr>
              <w:t xml:space="preserve"> 6、处理全校校园网用户的终端上网故障处理工作；</w:t>
            </w:r>
            <w:r>
              <w:br/>
            </w:r>
            <w:r>
              <w:rPr>
                <w:rFonts w:ascii="仿宋_GB2312" w:hAnsi="仿宋_GB2312" w:cs="仿宋_GB2312" w:eastAsia="仿宋_GB2312"/>
              </w:rPr>
              <w:t xml:space="preserve"> 7、国家法定节假日、迎新保障、开学、重保等特殊时段的值班配合工作；</w:t>
            </w:r>
            <w:r>
              <w:br/>
            </w:r>
            <w:r>
              <w:rPr>
                <w:rFonts w:ascii="仿宋_GB2312" w:hAnsi="仿宋_GB2312" w:cs="仿宋_GB2312" w:eastAsia="仿宋_GB2312"/>
              </w:rPr>
              <w:t xml:space="preserve"> 8、完成校方安排的其它日常工作。</w:t>
            </w:r>
          </w:p>
          <w:p>
            <w:pPr>
              <w:pStyle w:val="null3"/>
              <w:outlineLvl w:val="2"/>
            </w:pPr>
            <w:r>
              <w:rPr>
                <w:rFonts w:ascii="仿宋_GB2312" w:hAnsi="仿宋_GB2312" w:cs="仿宋_GB2312" w:eastAsia="仿宋_GB2312"/>
                <w:sz w:val="28"/>
                <w:b/>
              </w:rPr>
              <w:t>二线技术团队</w:t>
            </w:r>
          </w:p>
          <w:p>
            <w:pPr>
              <w:pStyle w:val="null3"/>
            </w:pPr>
            <w:r>
              <w:rPr>
                <w:rFonts w:ascii="仿宋_GB2312" w:hAnsi="仿宋_GB2312" w:cs="仿宋_GB2312" w:eastAsia="仿宋_GB2312"/>
              </w:rPr>
              <w:t>要求供应商提供具备相关认证证书的高级工程师对相关信息系统进行预防性检查，并提交工作报告。校方如有突发事件或重大事项需二线团队到场支持,需在一小时内赶到校方指定现场。</w:t>
            </w:r>
          </w:p>
          <w:p>
            <w:pPr>
              <w:pStyle w:val="null3"/>
            </w:pPr>
            <w:r>
              <w:rPr>
                <w:rFonts w:ascii="仿宋_GB2312" w:hAnsi="仿宋_GB2312" w:cs="仿宋_GB2312" w:eastAsia="仿宋_GB2312"/>
              </w:rPr>
              <w:t>二线技术团队支持不需驻场，根据需要提供定期或不定期的技术支持。二线技术团队均由各技术领域的资深技术专家组成，技术领域包含：服务器、存储、网络、操作系统、数据库、中间件、备份等。</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5.项目实施与进度计划</w:t>
            </w:r>
          </w:p>
          <w:p>
            <w:pPr>
              <w:pStyle w:val="null3"/>
            </w:pPr>
            <w:r>
              <w:rPr>
                <w:rFonts w:ascii="仿宋_GB2312" w:hAnsi="仿宋_GB2312" w:cs="仿宋_GB2312" w:eastAsia="仿宋_GB2312"/>
              </w:rPr>
              <w:t>根据我校招标工作计划及学校流程，进行合同签署、项目实施、人员驻场等时间节点及学校需求进行统一规划安排。</w:t>
            </w:r>
          </w:p>
          <w:p>
            <w:pPr>
              <w:pStyle w:val="null3"/>
            </w:pPr>
            <w:r>
              <w:rPr>
                <w:rFonts w:ascii="仿宋_GB2312" w:hAnsi="仿宋_GB2312" w:cs="仿宋_GB2312" w:eastAsia="仿宋_GB2312"/>
              </w:rPr>
              <w:t>按照信息化处·信息技术中心要求，进行人员调度及业务工作安排，配合学校积极推进做好相关网络设备、校园网络等巡检、故障处理及运维工作。</w:t>
            </w:r>
          </w:p>
          <w:p>
            <w:pPr>
              <w:pStyle w:val="null3"/>
            </w:pPr>
            <w:r>
              <w:rPr>
                <w:rFonts w:ascii="仿宋_GB2312" w:hAnsi="仿宋_GB2312" w:cs="仿宋_GB2312" w:eastAsia="仿宋_GB2312"/>
              </w:rPr>
              <w:t>6.项目成果交付清单</w:t>
            </w:r>
          </w:p>
          <w:p>
            <w:pPr>
              <w:pStyle w:val="null3"/>
            </w:pPr>
            <w:r>
              <w:rPr>
                <w:rFonts w:ascii="仿宋_GB2312" w:hAnsi="仿宋_GB2312" w:cs="仿宋_GB2312" w:eastAsia="仿宋_GB2312"/>
              </w:rPr>
              <w:t>供应商应在运维工作中要详细编制各类文档（包含原厂维保清单），保证运维工作有序进行、有迹可查。主要应包含《月运维报告》和年度《总结报告》，发生故障后，应有《故障分析处理报告》等。供应商应积极检查自身工作中存在的纰漏，提出改善计划。对处理的故障进行梳理，总结故障共性，建立相应的知识库文档。</w:t>
            </w:r>
          </w:p>
          <w:p>
            <w:pPr>
              <w:pStyle w:val="null3"/>
            </w:pPr>
            <w:r>
              <w:rPr>
                <w:rFonts w:ascii="仿宋_GB2312" w:hAnsi="仿宋_GB2312" w:cs="仿宋_GB2312" w:eastAsia="仿宋_GB2312"/>
              </w:rPr>
              <w:t>7.技术支持与服务</w:t>
            </w:r>
          </w:p>
          <w:p>
            <w:pPr>
              <w:pStyle w:val="null3"/>
            </w:pPr>
            <w:r>
              <w:rPr>
                <w:rFonts w:ascii="仿宋_GB2312" w:hAnsi="仿宋_GB2312" w:cs="仿宋_GB2312" w:eastAsia="仿宋_GB2312"/>
              </w:rPr>
              <w:t>综合利用各种IT运维支撑工具，对各类设备、信息系统、用户终端进行监控、日常维护和维修保障，保证用户现有的信息系统的正常运行，降低整体管理成本，提高网络信息系统的整体服务水平。根据日常维护的数据和记录，提供信息系统的整体建设规划和建议，更好的为信息化发展提供有力的保障。</w:t>
            </w:r>
          </w:p>
          <w:p>
            <w:pPr>
              <w:pStyle w:val="null3"/>
            </w:pPr>
            <w:r>
              <w:rPr>
                <w:rFonts w:ascii="仿宋_GB2312" w:hAnsi="仿宋_GB2312" w:cs="仿宋_GB2312" w:eastAsia="仿宋_GB2312"/>
              </w:rPr>
              <w:t>（三）、验收及售后服务</w:t>
            </w:r>
          </w:p>
          <w:p>
            <w:pPr>
              <w:pStyle w:val="null3"/>
            </w:pPr>
            <w:r>
              <w:rPr>
                <w:rFonts w:ascii="仿宋_GB2312" w:hAnsi="仿宋_GB2312" w:cs="仿宋_GB2312" w:eastAsia="仿宋_GB2312"/>
              </w:rPr>
              <w:t>1.项目验收要求</w:t>
            </w:r>
          </w:p>
          <w:p>
            <w:pPr>
              <w:pStyle w:val="null3"/>
            </w:pPr>
            <w:r>
              <w:rPr>
                <w:rFonts w:ascii="仿宋_GB2312" w:hAnsi="仿宋_GB2312" w:cs="仿宋_GB2312" w:eastAsia="仿宋_GB2312"/>
              </w:rPr>
              <w:t>初验</w:t>
            </w:r>
          </w:p>
          <w:p>
            <w:pPr>
              <w:pStyle w:val="null3"/>
            </w:pPr>
            <w:r>
              <w:rPr>
                <w:rFonts w:ascii="仿宋_GB2312" w:hAnsi="仿宋_GB2312" w:cs="仿宋_GB2312" w:eastAsia="仿宋_GB2312"/>
              </w:rPr>
              <w:t>合同签订一月之内，成交供应商完成项目维保服务总体方案、第一次的全面巡检服务，并出具巡检报告后，提出初验申请。</w:t>
            </w:r>
          </w:p>
          <w:p>
            <w:pPr>
              <w:pStyle w:val="null3"/>
            </w:pPr>
            <w:r>
              <w:rPr>
                <w:rFonts w:ascii="仿宋_GB2312" w:hAnsi="仿宋_GB2312" w:cs="仿宋_GB2312" w:eastAsia="仿宋_GB2312"/>
              </w:rPr>
              <w:t>终验</w:t>
            </w:r>
          </w:p>
          <w:p>
            <w:pPr>
              <w:pStyle w:val="null3"/>
            </w:pPr>
            <w:r>
              <w:rPr>
                <w:rFonts w:ascii="仿宋_GB2312" w:hAnsi="仿宋_GB2312" w:cs="仿宋_GB2312" w:eastAsia="仿宋_GB2312"/>
              </w:rPr>
              <w:t>当年度维保服务期满后，供应商提交当年度所有维保巡查报告及维保服务报告，远程技术支持服务报告等资料对维保服务进行整体项目终验验收。终验验收合格方可申请进行下一年度合同续签工作。</w:t>
            </w:r>
          </w:p>
          <w:p>
            <w:pPr>
              <w:pStyle w:val="null3"/>
            </w:pPr>
            <w:r>
              <w:rPr>
                <w:rFonts w:ascii="仿宋_GB2312" w:hAnsi="仿宋_GB2312" w:cs="仿宋_GB2312" w:eastAsia="仿宋_GB2312"/>
              </w:rPr>
              <w:t>2.付款方式</w:t>
            </w:r>
          </w:p>
          <w:p>
            <w:pPr>
              <w:pStyle w:val="null3"/>
            </w:pPr>
            <w:r>
              <w:rPr>
                <w:rFonts w:ascii="仿宋_GB2312" w:hAnsi="仿宋_GB2312" w:cs="仿宋_GB2312" w:eastAsia="仿宋_GB2312"/>
              </w:rPr>
              <w:t>1、本项目预付款为40%，成交供应商完成项目维保服务总体方案，须经学校确认。合同签订六个月后支付合同总价的80%；项目终验合格后，支付合同总价的20%。</w:t>
            </w:r>
          </w:p>
          <w:p>
            <w:pPr>
              <w:pStyle w:val="null3"/>
            </w:pPr>
            <w:r>
              <w:rPr>
                <w:rFonts w:ascii="仿宋_GB2312" w:hAnsi="仿宋_GB2312" w:cs="仿宋_GB2312" w:eastAsia="仿宋_GB2312"/>
              </w:rPr>
              <w:t>2、履约保证金：成交供应商在收到成交通知书后3个工作日、签订合同前向采购人提交合同总价5%的履约保证金，待项目终验合格后予以退还（无息）。</w:t>
            </w:r>
          </w:p>
          <w:p>
            <w:pPr>
              <w:pStyle w:val="null3"/>
            </w:pPr>
            <w:r>
              <w:rPr>
                <w:rFonts w:ascii="仿宋_GB2312" w:hAnsi="仿宋_GB2312" w:cs="仿宋_GB2312" w:eastAsia="仿宋_GB2312"/>
              </w:rPr>
              <w:t>3.质保及售后服务</w:t>
            </w:r>
          </w:p>
          <w:p>
            <w:pPr>
              <w:pStyle w:val="null3"/>
            </w:pPr>
            <w:r>
              <w:rPr>
                <w:rFonts w:ascii="仿宋_GB2312" w:hAnsi="仿宋_GB2312" w:cs="仿宋_GB2312" w:eastAsia="仿宋_GB2312"/>
              </w:rPr>
              <w:t>按照服务合同提供维保服务。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服务期三年，合同一年一签，预算逐年申报。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本项目预付款为40%，成交供应商完成项目维保服务总体方案，须经学校确认。合同签订六个月后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违约责任依据《中华人民共和国民法典》、《中华人民共和国政府采购法》、《中华人民共和国政府采购法实施条例》等相关条款执行。 合同执行中发生争议的，当事人双方应协商解决。协商达不成一致时，可向甲方（采购人）所在地人民法院提起诉讼。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供应商需在项目电子化交易系统中按要求填写《投标函》完成承诺并进行电子签章。（一）基本资格条件：符合《中华人民共和国政府采购法》第二十二条的规定，并提供以下资料； 1.1具有独立承担民事责任能力的法人、其他组织或自然人，提供合法有效的统一社会信用代码营业执照（事业单位提供事业单位法人证书，自然人应提供身份证）； 1.2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 1.3具有履行合同所必需的设备和专业技术能力的书面声明； 1.4税收缴纳证明：提供2025年1月以来至少一个月的纳税证明或完税证明，依法免税的单位应提供相关证明材料； 1.5社会保障资金缴纳证明：提供2025年1月以来至少一个月的社会保障资金缴存单据或社保机构开具的社会保险参保缴费情况证明；依法不需要缴纳社会保障资金的供应商应提供相关文件证明； 1.6参加政府采购活动前三年内，在经营活动中没有重大违法记录的书面声明。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其他资料 响应函 供应商应提交的相关资格证明资料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供应商应提交的相关资格证明资料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其他资料 供应商应提交的相关资格证明资料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其他资料 供应商应提交的相关资格证明资料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供应商对项目目标、规模、内容理解透彻，针对本项目制定规范化的运维方案</w:t>
            </w:r>
          </w:p>
        </w:tc>
        <w:tc>
          <w:tcPr>
            <w:tcW w:type="dxa" w:w="2492"/>
          </w:tcPr>
          <w:p>
            <w:pPr>
              <w:pStyle w:val="null3"/>
            </w:pPr>
            <w:r>
              <w:rPr>
                <w:rFonts w:ascii="仿宋_GB2312" w:hAnsi="仿宋_GB2312" w:cs="仿宋_GB2312" w:eastAsia="仿宋_GB2312"/>
              </w:rPr>
              <w:t>设计合理、架构完整、层次清楚，满足项目整体要求，得10分； 供应商对项目有一定程度的了解，方案内容较全面、针对性较强得7分； 方案内容基本涵盖，基本保证项目质量得4分； 方案内容简要、措施一般、可行性一般得2分； 方案涵盖内容一般，措施不够全面得1分；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供应商针对本项目维保重难点现状进行理解分析</w:t>
            </w:r>
          </w:p>
        </w:tc>
        <w:tc>
          <w:tcPr>
            <w:tcW w:type="dxa" w:w="2492"/>
          </w:tcPr>
          <w:p>
            <w:pPr>
              <w:pStyle w:val="null3"/>
            </w:pPr>
            <w:r>
              <w:rPr>
                <w:rFonts w:ascii="仿宋_GB2312" w:hAnsi="仿宋_GB2312" w:cs="仿宋_GB2312" w:eastAsia="仿宋_GB2312"/>
              </w:rPr>
              <w:t>分析透彻、分析合理得10分； 分析较透彻、分析较合理得7分； 分析简略、分析一般还需完善得4分； 分析内容空洞、分析有欠缺得2分；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供应商针对本项目建立完善的服务管理体系及流程，明确运维服务计划和项目实施进度安排</w:t>
            </w:r>
          </w:p>
        </w:tc>
        <w:tc>
          <w:tcPr>
            <w:tcW w:type="dxa" w:w="2492"/>
          </w:tcPr>
          <w:p>
            <w:pPr>
              <w:pStyle w:val="null3"/>
            </w:pPr>
            <w:r>
              <w:rPr>
                <w:rFonts w:ascii="仿宋_GB2312" w:hAnsi="仿宋_GB2312" w:cs="仿宋_GB2312" w:eastAsia="仿宋_GB2312"/>
              </w:rPr>
              <w:t>能够确保各业务平台运行可靠、稳定，性能充分发挥，内容得当、措施全面、合理可行、项目针对性强，得5分； 内容符合要求，内容全面、针对性较强，得3分； 内容基本涵盖，基本保证项目质量，得2分； 内容简要、措施不够全面、可行性一般得1分；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供应商具有成熟应急预案体系，能评估运维中可能发生的突然状况，制定完整预案内容、合理应急人员安排和完善应急流程的应急方案</w:t>
            </w:r>
          </w:p>
        </w:tc>
        <w:tc>
          <w:tcPr>
            <w:tcW w:type="dxa" w:w="2492"/>
          </w:tcPr>
          <w:p>
            <w:pPr>
              <w:pStyle w:val="null3"/>
            </w:pPr>
            <w:r>
              <w:rPr>
                <w:rFonts w:ascii="仿宋_GB2312" w:hAnsi="仿宋_GB2312" w:cs="仿宋_GB2312" w:eastAsia="仿宋_GB2312"/>
              </w:rPr>
              <w:t>内容全面、针对性强，得5分； 内容较符合要求，内容较全面、针对性较强，得3分；内容基本涵盖，基本保证项目质量，得2分； 内容简要、措施不够全面、可行性一般，得1分；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服务期内，供应商具有自主知识产权的运维服务管理平台软件，通过服务平台软件来实现本项目的各项工作，包括性能监控、流程管理、服务统计及统一展现等。</w:t>
            </w:r>
          </w:p>
        </w:tc>
        <w:tc>
          <w:tcPr>
            <w:tcW w:type="dxa" w:w="2492"/>
          </w:tcPr>
          <w:p>
            <w:pPr>
              <w:pStyle w:val="null3"/>
            </w:pPr>
            <w:r>
              <w:rPr>
                <w:rFonts w:ascii="仿宋_GB2312" w:hAnsi="仿宋_GB2312" w:cs="仿宋_GB2312" w:eastAsia="仿宋_GB2312"/>
              </w:rPr>
              <w:t>提供《计算机软件著作权登记证》原件、系统功能说明和截图并加盖公章。完全满足计5分，提供资料不全不得分。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供应商具有健全的运行维护管理体系及服务质量监督控制体系，信息安全管理体系，提供的服务流程科学、合理、体系完善，确保系统运行可靠、稳定运行；需提供ISO9001质量管理体系认证、ISO27001信息安全管理体系认证、ISO45001职业健康安全管理体系认证、ISO14001环境管理体系认证、ISO20000信息技术服务管理体系认证，以上证书全部提供计10分，缺少1份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人员配备投入情况</w:t>
            </w:r>
          </w:p>
        </w:tc>
        <w:tc>
          <w:tcPr>
            <w:tcW w:type="dxa" w:w="2492"/>
          </w:tcPr>
          <w:p>
            <w:pPr>
              <w:pStyle w:val="null3"/>
            </w:pPr>
            <w:r>
              <w:rPr>
                <w:rFonts w:ascii="仿宋_GB2312" w:hAnsi="仿宋_GB2312" w:cs="仿宋_GB2312" w:eastAsia="仿宋_GB2312"/>
              </w:rPr>
              <w:t>供应商针对本项目服务人员配备投入情况（主要专业技术管理人员及项目组成员），项目团队有明确的组织形式、人员结构及人员资格证书、技术能力和从业经验等材料。 1.供应商针对本项目派遣的项目经理具备ITSS信息技术服务认证的IT服务项目经理认证证书或PMP项目管理专业人员认证或CSPM证书，1份计2分，不提供不计分； 2、供应商信息安全工程师具备CISP信息安全工程师认证证书1份计1分，每增加1个加1分，最高计2分，不提供不计分； 3、供应商网络技术工程师具备HCIE-R&amp;S或H3CIE或CCIE认证工程师证书1份计1分，每增加1个加1分，最高计3分，不提供不计分； 4、供应商存储技术工程师具备HCIE-Storage或EMCIE-Storage认证工程师证书1份计1分，每增加1个加1分，最高计2分，不提供不计分； 5、供应商数据库技术工程师具备Oracle认证证书（OCM）1个计1分，不提供不计分； 注：以上证书必须有效且必须提供以上所有人员在供应商单位的2025年1月1日以来任一三个月的政府主管部门出具的社保缴纳证明原件（社保机构出具的）方可得分。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1、供应商提供维保清单内要求原厂维保的原厂服务承诺函，每提供一份得2分，总计12分。 2、供应商具有备品备件本地供应保障能力，提供承诺或声明，中标后能够提供备件和常用备品备件清单。计3分，未提供或提供不全者不得分。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供应商可提供7*24小时服务热线。支持范围包括问题提交、问题远程指导、分析和排除、产品功能介绍、配置、安装、调试、客户化以及使用中遇到的技术问题的咨询等； 1.内容完整、可实施、且有针对性得5分； 2.内容基本完整、可实施得3分； 3.方案不完整得1分；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供应商制定完整可行的培训方案，通过培训，使得校方能具备运维管理能力等； 1.培训方案全面完善、切实可行、有针对性，完全满足项目要求5分； 2.内容较为全面完善、较为切实可行，较有针对性，基本满足项目要求3分； 3.培训方案内容一般、针对性一般，基本满足项目要求但还需完善得1分；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供应商具有2023年1月至今维保服务项目案例（以合同和验收报告、用户评价为准）每提供一份计1分，满分5分。 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15分。3、磋商报价得分=（磋商基准价/最终磋商报价）×15。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详见附件：供应商应提交的相关资格证明资料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