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版本号：SXYS-2025-06420260106002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高质量发展恶性肿瘤智慧化管理服务项目（二期）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SXYS-2025-064</w:t>
      </w:r>
      <w:r>
        <w:br/>
      </w:r>
      <w:r>
        <w:br/>
      </w:r>
      <w:r>
        <w:br/>
      </w:r>
    </w:p>
    <w:p>
      <w:pPr>
        <w:pStyle w:val="null3"/>
        <w:jc w:val="center"/>
        <w:outlineLvl w:val="2"/>
      </w:pPr>
      <w:r>
        <w:rPr>
          <w:rFonts w:ascii="仿宋_GB2312" w:hAnsi="仿宋_GB2312" w:cs="仿宋_GB2312" w:eastAsia="仿宋_GB2312"/>
          <w:sz w:val="28"/>
          <w:b/>
        </w:rPr>
        <w:t>延安大学附属医院</w:t>
      </w:r>
    </w:p>
    <w:p>
      <w:pPr>
        <w:pStyle w:val="null3"/>
        <w:jc w:val="center"/>
        <w:outlineLvl w:val="2"/>
      </w:pPr>
      <w:r>
        <w:rPr>
          <w:rFonts w:ascii="仿宋_GB2312" w:hAnsi="仿宋_GB2312" w:cs="仿宋_GB2312" w:eastAsia="仿宋_GB2312"/>
          <w:sz w:val="28"/>
          <w:b/>
        </w:rPr>
        <w:t>陕西延审工程项目管理有限公司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陕西延审工程项目管理有限公司</w:t>
      </w:r>
      <w:r>
        <w:rPr>
          <w:rFonts w:ascii="仿宋_GB2312" w:hAnsi="仿宋_GB2312" w:cs="仿宋_GB2312" w:eastAsia="仿宋_GB2312"/>
        </w:rPr>
        <w:t>（以下简称“代理机构”）受</w:t>
      </w:r>
      <w:r>
        <w:rPr>
          <w:rFonts w:ascii="仿宋_GB2312" w:hAnsi="仿宋_GB2312" w:cs="仿宋_GB2312" w:eastAsia="仿宋_GB2312"/>
        </w:rPr>
        <w:t>延安大学附属医院</w:t>
      </w:r>
      <w:r>
        <w:rPr>
          <w:rFonts w:ascii="仿宋_GB2312" w:hAnsi="仿宋_GB2312" w:cs="仿宋_GB2312" w:eastAsia="仿宋_GB2312"/>
        </w:rPr>
        <w:t>委托，拟对</w:t>
      </w:r>
      <w:r>
        <w:rPr>
          <w:rFonts w:ascii="仿宋_GB2312" w:hAnsi="仿宋_GB2312" w:cs="仿宋_GB2312" w:eastAsia="仿宋_GB2312"/>
        </w:rPr>
        <w:t>高质量发展恶性肿瘤智慧化管理服务项目（二期）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SXYS-2025-064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高质量发展恶性肿瘤智慧化管理服务项目（二期）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建立肿瘤规范化诊疗体系，提高肿瘤治疗规范化、标准化水平。将肝癌、宫颈癌、结直肠癌 等纳入平台建设；需满足的要求:围绕延安大学附属医院公立医院改革与高质量发展示范项目，提高医院的肿瘤诊疗规范化能力，促进医院在三级医院评审、临床专科评估、三级公立 医院绩效考核肿瘤质量指标的提升。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采购包1（延安大学附属医院高质量发展恶性肿瘤智慧化管理服务项目（二期））：属于专门面向中小企业采购。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2、银行开户：银行开户许可证或开户行基本信息</w:t>
      </w:r>
    </w:p>
    <w:p>
      <w:pPr>
        <w:pStyle w:val="null3"/>
      </w:pPr>
      <w:r>
        <w:rPr>
          <w:rFonts w:ascii="仿宋_GB2312" w:hAnsi="仿宋_GB2312" w:cs="仿宋_GB2312" w:eastAsia="仿宋_GB2312"/>
        </w:rPr>
        <w:t>3、法定代表人授权书：法定代表人授权书（附法定代表人身份证复印件）及被授权人身份证（法定代表人直接参加须提供法定代表人身份证明及法定代表人身份证复印件）；</w:t>
      </w:r>
    </w:p>
    <w:p>
      <w:pPr>
        <w:pStyle w:val="null3"/>
      </w:pPr>
      <w:r>
        <w:rPr>
          <w:rFonts w:ascii="仿宋_GB2312" w:hAnsi="仿宋_GB2312" w:cs="仿宋_GB2312" w:eastAsia="仿宋_GB2312"/>
        </w:rPr>
        <w:t>4、财务状况证明：提供2024年度经审计完整的财务审计报告（成立时间至提交响应文件截止时间不足一年的可提供成立后任意时段的资产负债表）或三个月内其基本存款账户开户银行出具的资信证明；</w:t>
      </w:r>
    </w:p>
    <w:p>
      <w:pPr>
        <w:pStyle w:val="null3"/>
      </w:pPr>
      <w:r>
        <w:rPr>
          <w:rFonts w:ascii="仿宋_GB2312" w:hAnsi="仿宋_GB2312" w:cs="仿宋_GB2312" w:eastAsia="仿宋_GB2312"/>
        </w:rPr>
        <w:t>5、税收缴纳证明：提供截止磋商时间近一年内任意一个月已缴纳的纳税证明或完税证明，依法免税的供应商应提供相关文件证明；</w:t>
      </w:r>
    </w:p>
    <w:p>
      <w:pPr>
        <w:pStyle w:val="null3"/>
      </w:pPr>
      <w:r>
        <w:rPr>
          <w:rFonts w:ascii="仿宋_GB2312" w:hAnsi="仿宋_GB2312" w:cs="仿宋_GB2312" w:eastAsia="仿宋_GB2312"/>
        </w:rPr>
        <w:t>6、社会保障资金缴纳证明：提供截止磋商时间近一年内任意一个月的社会保障资金缴存证明或社保机构开具的社会保险参保缴费情况证明；依法不需要缴纳社会保障资金的应提供相关文件证明；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7、书面声明：具有履行合同所必需的设备和专业技术能力的书面声明；</w:t>
      </w:r>
    </w:p>
    <w:p>
      <w:pPr>
        <w:pStyle w:val="null3"/>
      </w:pPr>
      <w:r>
        <w:rPr>
          <w:rFonts w:ascii="仿宋_GB2312" w:hAnsi="仿宋_GB2312" w:cs="仿宋_GB2312" w:eastAsia="仿宋_GB2312"/>
        </w:rPr>
        <w:t>8、信用信誉：供应商未被列入“信用中国”网站中重大税收违法失信主体名单、“中国执行信息公开网”网站失信被执行人、中国政府采购网政府采购严重违法失信行为记录名单中被财政部门禁止参加政府采购活动的供应商；参加政府采购活动近三年内，在经营活动中没有重大违法记录声明函；</w:t>
      </w:r>
    </w:p>
    <w:p>
      <w:pPr>
        <w:pStyle w:val="null3"/>
      </w:pPr>
      <w:r>
        <w:rPr>
          <w:rFonts w:ascii="仿宋_GB2312" w:hAnsi="仿宋_GB2312" w:cs="仿宋_GB2312" w:eastAsia="仿宋_GB2312"/>
        </w:rPr>
        <w:t>9、联合体：本项目不接受联合体磋商；</w:t>
      </w:r>
    </w:p>
    <w:p>
      <w:pPr>
        <w:pStyle w:val="null3"/>
      </w:pPr>
      <w:r>
        <w:rPr>
          <w:rFonts w:ascii="仿宋_GB2312" w:hAnsi="仿宋_GB2312" w:cs="仿宋_GB2312" w:eastAsia="仿宋_GB2312"/>
        </w:rPr>
        <w:t>10、中小企业：本项目专门面向中小企业采购，供应商须为中型、小型、微型企业，并提供《中小企业声明函》（采购标的对应所属行业为其他未列明行业，声明函格式按照《政府采购促进中小企业发展管理办法》（财库〔2020〕46号）要求提供）；</w:t>
      </w:r>
    </w:p>
    <w:p>
      <w:pPr>
        <w:pStyle w:val="null3"/>
      </w:pPr>
      <w:r>
        <w:rPr>
          <w:rFonts w:ascii="仿宋_GB2312" w:hAnsi="仿宋_GB2312" w:cs="仿宋_GB2312" w:eastAsia="仿宋_GB2312"/>
        </w:rPr>
        <w:t>11、控股管理关系：单位负责人为同一人或者存在直接控股、管理关系的不同供应商，不得参加本次采购活动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延安大学附属医院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陕西省延安市宝塔区北大街43号延安大学附属医院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0911-2881326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陕西延审工程项目管理有限公司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延安市新区嘉宁万兴花园写字楼21层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郝小艳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19929659892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开户名称：陕西延审工程项目管理有限公司</w:t>
            </w:r>
          </w:p>
          <w:p>
            <w:pPr>
              <w:pStyle w:val="null3"/>
            </w:pPr>
            <w:r>
              <w:rPr>
                <w:rFonts w:ascii="仿宋_GB2312" w:hAnsi="仿宋_GB2312" w:cs="仿宋_GB2312" w:eastAsia="仿宋_GB2312"/>
              </w:rPr>
              <w:t>开户银行：招商银行股份有限公司西安城北支行</w:t>
            </w:r>
          </w:p>
          <w:p>
            <w:pPr>
              <w:pStyle w:val="null3"/>
            </w:pPr>
            <w:r>
              <w:rPr>
                <w:rFonts w:ascii="仿宋_GB2312" w:hAnsi="仿宋_GB2312" w:cs="仿宋_GB2312" w:eastAsia="仿宋_GB2312"/>
              </w:rPr>
              <w:t>银行账号：129916845510008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代理服务费收费标准：本项目采购代理服务费按《招标代理服务收费管理暂行办法》（计价格〔2002〕1980号）标准计取，由成交供应商在领取成交通知书时向采购代理机构一次性付清。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延安大学附属医院</w:t>
      </w:r>
      <w:r>
        <w:rPr>
          <w:rFonts w:ascii="仿宋_GB2312" w:hAnsi="仿宋_GB2312" w:cs="仿宋_GB2312" w:eastAsia="仿宋_GB2312"/>
        </w:rPr>
        <w:t>和</w:t>
      </w:r>
      <w:r>
        <w:rPr>
          <w:rFonts w:ascii="仿宋_GB2312" w:hAnsi="仿宋_GB2312" w:cs="仿宋_GB2312" w:eastAsia="仿宋_GB2312"/>
        </w:rPr>
        <w:t>陕西延审工程项目管理有限公司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延安大学附属医院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陕西延审工程项目管理有限公司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延安大学附属医院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陕西延审工程项目管理有限公司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1、采购人对成交供应商提供的产品在使用前进行调试时，成交供应商需负责安装并培训采购人的使用操作人员，并协助采购人一起调试，直到符合技术要求，采购人才做最终验收。 2、验收时采购方、成交供应商等项目相关方都须在场，验收完毕后一致作出验收结果报告。 3、交付文档验收要求： 项目的工作内容及成果文档的提交应覆盖以下内容，电子文档是成果不可分割的部分。 （1）系统的体系架构及描述。 （2）提供的其它技术手册，包括：《总体设计报告》；需求分析报告（含软件功能需求与数据要求）；《详细设计说明书》；《数据字典》；《接口文档》；系统实施确认书；软件培训资料；《系统运行维护手册》；程序安装维护手册；软件使用操作手册；项目验收报告。 （3）符合采购方项目管理要求，提交相应项目资料。</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陕西延审工程项目管理有限公司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陕西延审工程项目管理有限公司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陕西延审工程项目管理有限公司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联系人：郝小艳</w:t>
      </w:r>
    </w:p>
    <w:p>
      <w:pPr>
        <w:pStyle w:val="null3"/>
      </w:pPr>
      <w:r>
        <w:rPr>
          <w:rFonts w:ascii="仿宋_GB2312" w:hAnsi="仿宋_GB2312" w:cs="仿宋_GB2312" w:eastAsia="仿宋_GB2312"/>
        </w:rPr>
        <w:t>联系电话：19929659892</w:t>
      </w:r>
    </w:p>
    <w:p>
      <w:pPr>
        <w:pStyle w:val="null3"/>
      </w:pPr>
      <w:r>
        <w:rPr>
          <w:rFonts w:ascii="仿宋_GB2312" w:hAnsi="仿宋_GB2312" w:cs="仿宋_GB2312" w:eastAsia="仿宋_GB2312"/>
        </w:rPr>
        <w:t>地址：延安市新区嘉宁万兴花园写字楼21层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建立肿瘤规范化诊疗体系，提高肿瘤治疗规范化、标准化水平。将肝癌、宫颈癌、结直肠癌 等纳入平台建设；需满足的要求:围绕延安大学附属医院公立医院改革与高质量发展示范项目，提高医院的肿瘤诊疗规范化能力，促进医院在三级医院评审、临床专科评估、三级公立 医院绩效考核肿瘤质量指标的提升。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高质量发展恶性肿瘤智慧化管理服务项目（二期）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标的名称：高质量发展恶性肿瘤智慧化管理服务项目（二期）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45" w:after="330"/>
            </w:pPr>
            <w:r>
              <w:rPr>
                <w:rFonts w:ascii="仿宋_GB2312" w:hAnsi="仿宋_GB2312" w:cs="仿宋_GB2312" w:eastAsia="仿宋_GB2312"/>
                <w:sz w:val="32"/>
                <w:b/>
              </w:rPr>
              <w:t>1、系统功能要求</w:t>
            </w:r>
          </w:p>
          <w:tbl>
            <w:tblPr>
              <w:tblBorders>
                <w:top w:val="none" w:color="000000" w:sz="4"/>
                <w:left w:val="none" w:color="000000" w:sz="4"/>
                <w:bottom w:val="none" w:color="000000" w:sz="4"/>
                <w:right w:val="none" w:color="000000" w:sz="4"/>
                <w:insideH w:val="none"/>
                <w:insideV w:val="none"/>
              </w:tblBorders>
            </w:tblPr>
            <w:tblGrid>
              <w:gridCol w:w="166"/>
              <w:gridCol w:w="248"/>
              <w:gridCol w:w="248"/>
              <w:gridCol w:w="248"/>
              <w:gridCol w:w="266"/>
              <w:gridCol w:w="1376"/>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b/>
                    </w:rPr>
                    <w:t>序号</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b/>
                    </w:rPr>
                    <w:t>系统</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b/>
                    </w:rPr>
                    <w:t>一级</w:t>
                  </w:r>
                </w:p>
                <w:p>
                  <w:pPr>
                    <w:pStyle w:val="null3"/>
                    <w:spacing w:before="165"/>
                    <w:jc w:val="center"/>
                  </w:pPr>
                  <w:r>
                    <w:rPr>
                      <w:rFonts w:ascii="仿宋_GB2312" w:hAnsi="仿宋_GB2312" w:cs="仿宋_GB2312" w:eastAsia="仿宋_GB2312"/>
                      <w:sz w:val="24"/>
                      <w:b/>
                    </w:rPr>
                    <w:t>模块</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b/>
                    </w:rPr>
                    <w:t>二级</w:t>
                  </w:r>
                </w:p>
                <w:p>
                  <w:pPr>
                    <w:pStyle w:val="null3"/>
                    <w:spacing w:before="165"/>
                    <w:jc w:val="center"/>
                  </w:pPr>
                  <w:r>
                    <w:rPr>
                      <w:rFonts w:ascii="仿宋_GB2312" w:hAnsi="仿宋_GB2312" w:cs="仿宋_GB2312" w:eastAsia="仿宋_GB2312"/>
                      <w:sz w:val="24"/>
                      <w:b/>
                    </w:rPr>
                    <w:t>模块</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b/>
                    </w:rPr>
                    <w:t>三级</w:t>
                  </w:r>
                </w:p>
                <w:p>
                  <w:pPr>
                    <w:pStyle w:val="null3"/>
                    <w:spacing w:before="165"/>
                    <w:jc w:val="center"/>
                  </w:pPr>
                  <w:r>
                    <w:rPr>
                      <w:rFonts w:ascii="仿宋_GB2312" w:hAnsi="仿宋_GB2312" w:cs="仿宋_GB2312" w:eastAsia="仿宋_GB2312"/>
                      <w:sz w:val="24"/>
                      <w:b/>
                    </w:rPr>
                    <w:t>模块</w:t>
                  </w:r>
                </w:p>
              </w:tc>
              <w:tc>
                <w:tcPr>
                  <w:tcW w:type="dxa" w:w="1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b/>
                    </w:rPr>
                    <w:t>技术参数</w:t>
                  </w:r>
                  <w:r>
                    <w:rPr>
                      <w:rFonts w:ascii="仿宋_GB2312" w:hAnsi="仿宋_GB2312" w:cs="仿宋_GB2312" w:eastAsia="仿宋_GB2312"/>
                      <w:sz w:val="24"/>
                      <w:b/>
                    </w:rPr>
                    <w:t>要求</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肿瘤诊疗规范化及费用合理化平台</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肿瘤规范化诊疗预警系统（</w:t>
                  </w:r>
                  <w:r>
                    <w:rPr>
                      <w:rFonts w:ascii="仿宋_GB2312" w:hAnsi="仿宋_GB2312" w:cs="仿宋_GB2312" w:eastAsia="仿宋_GB2312"/>
                      <w:sz w:val="24"/>
                    </w:rPr>
                    <w:t>7个癌种）</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过程管理</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即时过程提醒</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pPr>
                  <w:r>
                    <w:rPr>
                      <w:rFonts w:ascii="仿宋_GB2312" w:hAnsi="仿宋_GB2312" w:cs="仿宋_GB2312" w:eastAsia="仿宋_GB2312"/>
                      <w:sz w:val="24"/>
                    </w:rPr>
                    <w:t>▲信息问询：支持当病历信息不全或描述模糊时，对医生进行主动的信息问询，通过信息问询后的内容补充，更加准确的判定肿瘤诊疗质量控制指标的规范情况。为保证质控的准确性，问询不能是针对对指标本身是否完成做问询，而是对指标的内涵进行问询。</w:t>
                  </w:r>
                </w:p>
                <w:p>
                  <w:pPr>
                    <w:pStyle w:val="null3"/>
                    <w:spacing w:before="165" w:after="165"/>
                  </w:pPr>
                  <w:r>
                    <w:rPr>
                      <w:rFonts w:ascii="仿宋_GB2312" w:hAnsi="仿宋_GB2312" w:cs="仿宋_GB2312" w:eastAsia="仿宋_GB2312"/>
                      <w:sz w:val="24"/>
                    </w:rPr>
                    <w:t>（须提供</w:t>
                  </w:r>
                  <w:r>
                    <w:rPr>
                      <w:rFonts w:ascii="仿宋_GB2312" w:hAnsi="仿宋_GB2312" w:cs="仿宋_GB2312" w:eastAsia="仿宋_GB2312"/>
                      <w:sz w:val="24"/>
                    </w:rPr>
                    <w:t>质控提醒</w:t>
                  </w:r>
                  <w:r>
                    <w:rPr>
                      <w:rFonts w:ascii="仿宋_GB2312" w:hAnsi="仿宋_GB2312" w:cs="仿宋_GB2312" w:eastAsia="仿宋_GB2312"/>
                      <w:sz w:val="24"/>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2</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rPr>
                    <w:t>▲质控预警：支持在某些诊疗措施前必须要完成相应的评估等诊疗行为，例如“非手术治疗的肝内胆管癌患者首次治疗前完成病理学诊断”，在肝癌患者首次抗肿瘤药物治疗/放疗医嘱下达时，即可实时预警，提醒医生在治疗执行前，补充病理学诊断。</w:t>
                  </w:r>
                </w:p>
                <w:p>
                  <w:pPr>
                    <w:pStyle w:val="null3"/>
                    <w:spacing w:after="120"/>
                  </w:pPr>
                  <w:r>
                    <w:rPr>
                      <w:rFonts w:ascii="仿宋_GB2312" w:hAnsi="仿宋_GB2312" w:cs="仿宋_GB2312" w:eastAsia="仿宋_GB2312"/>
                      <w:sz w:val="24"/>
                    </w:rPr>
                    <w:t>为减少对医生的无效提醒干扰，若诊疗行为已经执行，则不再进行无效提醒。</w:t>
                  </w:r>
                </w:p>
                <w:p>
                  <w:pPr>
                    <w:pStyle w:val="null3"/>
                    <w:spacing w:after="120"/>
                  </w:pPr>
                  <w:r>
                    <w:rPr>
                      <w:rFonts w:ascii="仿宋_GB2312" w:hAnsi="仿宋_GB2312" w:cs="仿宋_GB2312" w:eastAsia="仿宋_GB2312"/>
                      <w:sz w:val="24"/>
                    </w:rPr>
                    <w:t>（须提供</w:t>
                  </w:r>
                  <w:r>
                    <w:rPr>
                      <w:rFonts w:ascii="仿宋_GB2312" w:hAnsi="仿宋_GB2312" w:cs="仿宋_GB2312" w:eastAsia="仿宋_GB2312"/>
                      <w:sz w:val="24"/>
                    </w:rPr>
                    <w:t>质控提醒</w:t>
                  </w:r>
                  <w:r>
                    <w:rPr>
                      <w:rFonts w:ascii="仿宋_GB2312" w:hAnsi="仿宋_GB2312" w:cs="仿宋_GB2312" w:eastAsia="仿宋_GB2312"/>
                      <w:sz w:val="24"/>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3</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rPr>
                    <w:t>▲质控提醒：本系统所提供的质控提醒功能，当医生未完成某些质控要求，但该质控内容还有一定的时间窗口时，通过质控提醒，将需要完成的质控诊疗行为，实时提醒给医生。</w:t>
                  </w:r>
                </w:p>
                <w:p>
                  <w:pPr>
                    <w:pStyle w:val="null3"/>
                    <w:spacing w:after="120"/>
                  </w:pPr>
                  <w:r>
                    <w:rPr>
                      <w:rFonts w:ascii="仿宋_GB2312" w:hAnsi="仿宋_GB2312" w:cs="仿宋_GB2312" w:eastAsia="仿宋_GB2312"/>
                      <w:sz w:val="24"/>
                    </w:rPr>
                    <w:t>应明确区分质控预警和质控提醒在实时提醒过程中场景的不同，通过质控指标与患者诊疗时间轴相结合，进行场景区分，使之更加贴合临床使用需求。</w:t>
                  </w:r>
                </w:p>
                <w:p>
                  <w:pPr>
                    <w:pStyle w:val="null3"/>
                  </w:pPr>
                  <w:r>
                    <w:rPr>
                      <w:rFonts w:ascii="仿宋_GB2312" w:hAnsi="仿宋_GB2312" w:cs="仿宋_GB2312" w:eastAsia="仿宋_GB2312"/>
                      <w:sz w:val="21"/>
                    </w:rPr>
                    <w:t>（须提供</w:t>
                  </w:r>
                  <w:r>
                    <w:rPr>
                      <w:rFonts w:ascii="仿宋_GB2312" w:hAnsi="仿宋_GB2312" w:cs="仿宋_GB2312" w:eastAsia="仿宋_GB2312"/>
                      <w:sz w:val="21"/>
                    </w:rPr>
                    <w:t>质控提醒</w:t>
                  </w:r>
                  <w:r>
                    <w:rPr>
                      <w:rFonts w:ascii="仿宋_GB2312" w:hAnsi="仿宋_GB2312" w:cs="仿宋_GB2312" w:eastAsia="仿宋_GB2312"/>
                      <w:sz w:val="21"/>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4</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▲诊疗推荐：支持结合质量控制指标要求和最新肿瘤指南，在即时质控的过程中，结合患者诊疗现状，推荐医生符合指南要求的规范化诊疗建议。</w:t>
                  </w:r>
                </w:p>
                <w:p>
                  <w:pPr>
                    <w:pStyle w:val="null3"/>
                    <w:spacing w:before="165"/>
                  </w:pPr>
                  <w:r>
                    <w:rPr>
                      <w:rFonts w:ascii="仿宋_GB2312" w:hAnsi="仿宋_GB2312" w:cs="仿宋_GB2312" w:eastAsia="仿宋_GB2312"/>
                      <w:sz w:val="24"/>
                    </w:rPr>
                    <w:t>（须提供</w:t>
                  </w:r>
                  <w:r>
                    <w:rPr>
                      <w:rFonts w:ascii="仿宋_GB2312" w:hAnsi="仿宋_GB2312" w:cs="仿宋_GB2312" w:eastAsia="仿宋_GB2312"/>
                      <w:sz w:val="24"/>
                    </w:rPr>
                    <w:t>质控提醒</w:t>
                  </w:r>
                  <w:r>
                    <w:rPr>
                      <w:rFonts w:ascii="仿宋_GB2312" w:hAnsi="仿宋_GB2312" w:cs="仿宋_GB2312" w:eastAsia="仿宋_GB2312"/>
                      <w:sz w:val="24"/>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5</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即时质控结果</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▲行为肯定：支持在医生诊疗过程符合肿瘤诊疗质量控制指标的规范化要求时，会对达成规范的指标进行肯定判断。</w:t>
                  </w:r>
                </w:p>
                <w:p>
                  <w:pPr>
                    <w:pStyle w:val="null3"/>
                    <w:spacing w:after="120"/>
                  </w:pPr>
                  <w:r>
                    <w:rPr>
                      <w:rFonts w:ascii="仿宋_GB2312" w:hAnsi="仿宋_GB2312" w:cs="仿宋_GB2312" w:eastAsia="仿宋_GB2312"/>
                      <w:sz w:val="24"/>
                    </w:rPr>
                    <w:t>以</w:t>
                  </w:r>
                  <w:r>
                    <w:rPr>
                      <w:rFonts w:ascii="仿宋_GB2312" w:hAnsi="仿宋_GB2312" w:cs="仿宋_GB2312" w:eastAsia="仿宋_GB2312"/>
                      <w:sz w:val="24"/>
                    </w:rPr>
                    <w:t>“首诊转移性结直肠癌患者首次化疗采用一线方案的比例”若医生为首诊的转移性结直肠癌患者，化疗时已按指南规范要求采用了一线化疗方案，则会进行相应的行为肯定。</w:t>
                  </w:r>
                </w:p>
                <w:p>
                  <w:pPr>
                    <w:pStyle w:val="null3"/>
                  </w:pPr>
                  <w:r>
                    <w:rPr>
                      <w:rFonts w:ascii="仿宋_GB2312" w:hAnsi="仿宋_GB2312" w:cs="仿宋_GB2312" w:eastAsia="仿宋_GB2312"/>
                      <w:sz w:val="21"/>
                    </w:rPr>
                    <w:t>（须提供</w:t>
                  </w:r>
                  <w:r>
                    <w:rPr>
                      <w:rFonts w:ascii="仿宋_GB2312" w:hAnsi="仿宋_GB2312" w:cs="仿宋_GB2312" w:eastAsia="仿宋_GB2312"/>
                      <w:sz w:val="21"/>
                    </w:rPr>
                    <w:t>质控提醒</w:t>
                  </w:r>
                  <w:r>
                    <w:rPr>
                      <w:rFonts w:ascii="仿宋_GB2312" w:hAnsi="仿宋_GB2312" w:cs="仿宋_GB2312" w:eastAsia="仿宋_GB2312"/>
                      <w:sz w:val="21"/>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6</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▲行为不规范：本系统所提供的行为不规范功能，可实现在诊疗过程中若已经有质控项未按规范执行，且诊疗行为已执行、无法调整，将在“行为不规范”中进行呈现。</w:t>
                  </w:r>
                </w:p>
                <w:p>
                  <w:pPr>
                    <w:pStyle w:val="null3"/>
                    <w:spacing w:before="165"/>
                  </w:pPr>
                  <w:r>
                    <w:rPr>
                      <w:rFonts w:ascii="仿宋_GB2312" w:hAnsi="仿宋_GB2312" w:cs="仿宋_GB2312" w:eastAsia="仿宋_GB2312"/>
                      <w:sz w:val="24"/>
                    </w:rPr>
                    <w:t>以</w:t>
                  </w:r>
                  <w:r>
                    <w:rPr>
                      <w:rFonts w:ascii="仿宋_GB2312" w:hAnsi="仿宋_GB2312" w:cs="仿宋_GB2312" w:eastAsia="仿宋_GB2312"/>
                      <w:sz w:val="24"/>
                    </w:rPr>
                    <w:t>“甲状腺癌患者首次手术前甲状腺血清学检测评估率”为例，若当次就诊已经执行了手术治疗，且手术治疗前未执行甲状腺血清学检测，将呈现在“行为不规范”中。系统按照诊疗行为的实际发生时间，判定质控结果。</w:t>
                  </w:r>
                </w:p>
                <w:p>
                  <w:pPr>
                    <w:pStyle w:val="null3"/>
                    <w:spacing w:before="165"/>
                  </w:pPr>
                  <w:r>
                    <w:rPr>
                      <w:rFonts w:ascii="仿宋_GB2312" w:hAnsi="仿宋_GB2312" w:cs="仿宋_GB2312" w:eastAsia="仿宋_GB2312"/>
                      <w:sz w:val="24"/>
                    </w:rPr>
                    <w:t>（须提供</w:t>
                  </w:r>
                  <w:r>
                    <w:rPr>
                      <w:rFonts w:ascii="仿宋_GB2312" w:hAnsi="仿宋_GB2312" w:cs="仿宋_GB2312" w:eastAsia="仿宋_GB2312"/>
                      <w:sz w:val="24"/>
                    </w:rPr>
                    <w:t>质控提醒</w:t>
                  </w:r>
                  <w:r>
                    <w:rPr>
                      <w:rFonts w:ascii="仿宋_GB2312" w:hAnsi="仿宋_GB2312" w:cs="仿宋_GB2312" w:eastAsia="仿宋_GB2312"/>
                      <w:sz w:val="24"/>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7</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结果</w:t>
                  </w:r>
                </w:p>
                <w:p>
                  <w:pPr>
                    <w:pStyle w:val="null3"/>
                    <w:spacing w:before="165"/>
                    <w:jc w:val="center"/>
                  </w:pPr>
                  <w:r>
                    <w:rPr>
                      <w:rFonts w:ascii="仿宋_GB2312" w:hAnsi="仿宋_GB2312" w:cs="仿宋_GB2312" w:eastAsia="仿宋_GB2312"/>
                      <w:sz w:val="24"/>
                    </w:rPr>
                    <w:t>管理</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质控</w:t>
                  </w:r>
                </w:p>
                <w:p>
                  <w:pPr>
                    <w:pStyle w:val="null3"/>
                    <w:spacing w:before="165"/>
                    <w:jc w:val="center"/>
                  </w:pPr>
                  <w:r>
                    <w:rPr>
                      <w:rFonts w:ascii="仿宋_GB2312" w:hAnsi="仿宋_GB2312" w:cs="仿宋_GB2312" w:eastAsia="仿宋_GB2312"/>
                      <w:sz w:val="24"/>
                    </w:rPr>
                    <w:t>日志</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质控日志：支持患者当日诊疗结束后，自动总结当前患者就诊的质控提醒内容，并实现按照日期进行分组展示。</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8</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出院</w:t>
                  </w:r>
                </w:p>
                <w:p>
                  <w:pPr>
                    <w:pStyle w:val="null3"/>
                    <w:spacing w:before="165"/>
                    <w:jc w:val="center"/>
                  </w:pPr>
                  <w:r>
                    <w:rPr>
                      <w:rFonts w:ascii="仿宋_GB2312" w:hAnsi="仿宋_GB2312" w:cs="仿宋_GB2312" w:eastAsia="仿宋_GB2312"/>
                      <w:sz w:val="24"/>
                    </w:rPr>
                    <w:t>小结</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w:t>
                  </w:r>
                  <w:r>
                    <w:rPr>
                      <w:rFonts w:ascii="仿宋_GB2312" w:hAnsi="仿宋_GB2312" w:cs="仿宋_GB2312" w:eastAsia="仿宋_GB2312"/>
                      <w:sz w:val="24"/>
                    </w:rPr>
                    <w:t>诊疗规范小结</w:t>
                  </w:r>
                  <w:r>
                    <w:rPr>
                      <w:rFonts w:ascii="仿宋_GB2312" w:hAnsi="仿宋_GB2312" w:cs="仿宋_GB2312" w:eastAsia="仿宋_GB2312"/>
                      <w:sz w:val="24"/>
                    </w:rPr>
                    <w:t>：支持患者出院时，自动形成规范小结，对质控结果必须区分临床和医技结果，同时展示信息问询次数、质控预警次数、质控提醒次数、诊疗推荐次数。</w:t>
                  </w:r>
                </w:p>
                <w:p>
                  <w:pPr>
                    <w:pStyle w:val="null3"/>
                    <w:spacing w:before="165"/>
                  </w:pPr>
                  <w:r>
                    <w:rPr>
                      <w:rFonts w:ascii="仿宋_GB2312" w:hAnsi="仿宋_GB2312" w:cs="仿宋_GB2312" w:eastAsia="仿宋_GB2312"/>
                      <w:sz w:val="24"/>
                    </w:rPr>
                    <w:t>（须提供</w:t>
                  </w:r>
                  <w:r>
                    <w:rPr>
                      <w:rFonts w:ascii="仿宋_GB2312" w:hAnsi="仿宋_GB2312" w:cs="仿宋_GB2312" w:eastAsia="仿宋_GB2312"/>
                      <w:sz w:val="24"/>
                    </w:rPr>
                    <w:t>质控提醒</w:t>
                  </w:r>
                  <w:r>
                    <w:rPr>
                      <w:rFonts w:ascii="仿宋_GB2312" w:hAnsi="仿宋_GB2312" w:cs="仿宋_GB2312" w:eastAsia="仿宋_GB2312"/>
                      <w:sz w:val="24"/>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9</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pPr>
                  <w:r>
                    <w:rPr>
                      <w:rFonts w:ascii="仿宋_GB2312" w:hAnsi="仿宋_GB2312" w:cs="仿宋_GB2312" w:eastAsia="仿宋_GB2312"/>
                      <w:sz w:val="24"/>
                    </w:rPr>
                    <w:t>▲质控申诉：本系统所提供的质控申诉功能，可实现对系统质控结果进行问题申诉，支持填写申诉原因。支持查看上级医生的处理结果及申诉历史。</w:t>
                  </w:r>
                </w:p>
                <w:p>
                  <w:pPr>
                    <w:pStyle w:val="null3"/>
                    <w:spacing w:before="165" w:after="165"/>
                  </w:pPr>
                  <w:r>
                    <w:rPr>
                      <w:rFonts w:ascii="仿宋_GB2312" w:hAnsi="仿宋_GB2312" w:cs="仿宋_GB2312" w:eastAsia="仿宋_GB2312"/>
                      <w:sz w:val="24"/>
                    </w:rPr>
                    <w:t>为保证质控结果的准确及有效性，需由上级医生进行申诉审核，必须在审核通过后系统才会进行质控结果的自动调整。</w:t>
                  </w:r>
                </w:p>
                <w:p>
                  <w:pPr>
                    <w:pStyle w:val="null3"/>
                    <w:spacing w:before="165" w:after="165"/>
                  </w:pPr>
                  <w:r>
                    <w:rPr>
                      <w:rFonts w:ascii="仿宋_GB2312" w:hAnsi="仿宋_GB2312" w:cs="仿宋_GB2312" w:eastAsia="仿宋_GB2312"/>
                      <w:sz w:val="24"/>
                    </w:rPr>
                    <w:t>（须提供</w:t>
                  </w:r>
                  <w:r>
                    <w:rPr>
                      <w:rFonts w:ascii="仿宋_GB2312" w:hAnsi="仿宋_GB2312" w:cs="仿宋_GB2312" w:eastAsia="仿宋_GB2312"/>
                      <w:sz w:val="24"/>
                    </w:rPr>
                    <w:t>质控提醒</w:t>
                  </w:r>
                  <w:r>
                    <w:rPr>
                      <w:rFonts w:ascii="仿宋_GB2312" w:hAnsi="仿宋_GB2312" w:cs="仿宋_GB2312" w:eastAsia="仿宋_GB2312"/>
                      <w:sz w:val="24"/>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10</w:t>
                  </w:r>
                </w:p>
              </w:tc>
              <w:tc>
                <w:tcPr>
                  <w:tcW w:type="dxa" w:w="248"/>
                  <w:vMerge/>
                  <w:tcBorders>
                    <w:top w:val="none" w:color="000000" w:sz="4"/>
                    <w:left w:val="single" w:color="000000" w:sz="4"/>
                    <w:bottom w:val="single" w:color="000000" w:sz="4"/>
                    <w:right w:val="single" w:color="000000" w:sz="4"/>
                  </w:tcBorders>
                </w:tcP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肿瘤规范化诊疗管理系统（</w:t>
                  </w:r>
                  <w:r>
                    <w:rPr>
                      <w:rFonts w:ascii="仿宋_GB2312" w:hAnsi="仿宋_GB2312" w:cs="仿宋_GB2312" w:eastAsia="仿宋_GB2312"/>
                      <w:sz w:val="24"/>
                    </w:rPr>
                    <w:t>7个癌种）</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多维度管理分析</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住院</w:t>
                  </w:r>
                </w:p>
                <w:p>
                  <w:pPr>
                    <w:pStyle w:val="null3"/>
                    <w:spacing w:before="165"/>
                    <w:jc w:val="center"/>
                  </w:pPr>
                  <w:r>
                    <w:rPr>
                      <w:rFonts w:ascii="仿宋_GB2312" w:hAnsi="仿宋_GB2312" w:cs="仿宋_GB2312" w:eastAsia="仿宋_GB2312"/>
                      <w:sz w:val="24"/>
                    </w:rPr>
                    <w:t>医疗</w:t>
                  </w:r>
                </w:p>
                <w:p>
                  <w:pPr>
                    <w:pStyle w:val="null3"/>
                    <w:spacing w:before="165"/>
                    <w:jc w:val="center"/>
                  </w:pPr>
                  <w:r>
                    <w:rPr>
                      <w:rFonts w:ascii="仿宋_GB2312" w:hAnsi="仿宋_GB2312" w:cs="仿宋_GB2312" w:eastAsia="仿宋_GB2312"/>
                      <w:sz w:val="24"/>
                    </w:rPr>
                    <w:t>服务</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对肿瘤住院患者诊疗数据的通览功能，一览医院肿瘤患者的就诊情况，同时也包含部分医院绩效考核核心指标。支持查看肿瘤患者出院人次、科室排名、出院患者癌种构成、肿瘤患者四级手术占比、各类肿瘤患者住院日趋势等。</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11</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肿瘤治疗药物使用分析</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rPr>
                    <w:t>支持抗肿瘤药物对使用人次、金额的展现分析，以及重点监测抗肿瘤药物使用人次的展现分析。同时对抗肿瘤治疗支持药物的二级分类进行药品费用和占比分析，支持肿瘤患者重点监测辅助治疗用药的药品费用、使用人次进行分析。支持抗肿瘤药物对使用人次、金额的展现分析，以及重点监测抗肿瘤药物使用人次的展现分析。同时对抗肿瘤治疗支持药物的二级分类进行药品费用和占比分析，支持肿瘤患者重点监测辅助治疗用药的药品费用、使用人次进行分析。</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12</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肿瘤诊疗</w:t>
                  </w:r>
                </w:p>
                <w:p>
                  <w:pPr>
                    <w:pStyle w:val="null3"/>
                    <w:spacing w:before="165"/>
                    <w:jc w:val="center"/>
                  </w:pPr>
                  <w:r>
                    <w:rPr>
                      <w:rFonts w:ascii="仿宋_GB2312" w:hAnsi="仿宋_GB2312" w:cs="仿宋_GB2312" w:eastAsia="仿宋_GB2312"/>
                      <w:sz w:val="24"/>
                    </w:rPr>
                    <w:t>质量</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rPr>
                    <w:t>需按照临床质控指标、医技质控指标、癌种规范化，分别进行统计汇总。</w:t>
                  </w:r>
                </w:p>
                <w:p>
                  <w:pPr>
                    <w:pStyle w:val="null3"/>
                    <w:spacing w:after="120"/>
                  </w:pPr>
                  <w:r>
                    <w:rPr>
                      <w:rFonts w:ascii="仿宋_GB2312" w:hAnsi="仿宋_GB2312" w:cs="仿宋_GB2312" w:eastAsia="仿宋_GB2312"/>
                      <w:sz w:val="24"/>
                    </w:rPr>
                    <w:t>系统将癌种的监测指标，按照质控对象的不同，区分为临床指标和医技指标。分别展示各个临床科室和医技科室的肿瘤质控规范率情况。</w:t>
                  </w:r>
                </w:p>
                <w:p>
                  <w:pPr>
                    <w:pStyle w:val="null3"/>
                    <w:spacing w:after="120"/>
                  </w:pPr>
                  <w:r>
                    <w:rPr>
                      <w:rFonts w:ascii="仿宋_GB2312" w:hAnsi="仿宋_GB2312" w:cs="仿宋_GB2312" w:eastAsia="仿宋_GB2312"/>
                      <w:sz w:val="24"/>
                    </w:rPr>
                    <w:t>癌种规范化，需区分质量控制指标和质量管理指标，分别进行汇总与统计。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13</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综合</w:t>
                  </w:r>
                </w:p>
                <w:p>
                  <w:pPr>
                    <w:pStyle w:val="null3"/>
                    <w:spacing w:before="165"/>
                    <w:jc w:val="center"/>
                  </w:pPr>
                  <w:r>
                    <w:rPr>
                      <w:rFonts w:ascii="仿宋_GB2312" w:hAnsi="仿宋_GB2312" w:cs="仿宋_GB2312" w:eastAsia="仿宋_GB2312"/>
                      <w:sz w:val="24"/>
                    </w:rPr>
                    <w:t>分析</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▲肿瘤诊疗规范化与费用合理化综合分析</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pPr>
                  <w:r>
                    <w:rPr>
                      <w:rFonts w:ascii="仿宋_GB2312" w:hAnsi="仿宋_GB2312" w:cs="仿宋_GB2312" w:eastAsia="仿宋_GB2312"/>
                      <w:sz w:val="24"/>
                    </w:rPr>
                    <w:t>将</w:t>
                  </w:r>
                  <w:r>
                    <w:rPr>
                      <w:rFonts w:ascii="仿宋_GB2312" w:hAnsi="仿宋_GB2312" w:cs="仿宋_GB2312" w:eastAsia="仿宋_GB2312"/>
                      <w:sz w:val="24"/>
                    </w:rPr>
                    <w:t>7个癌种（肝癌、宫颈癌、结直肠癌、食管癌、甲状腺癌、前列腺癌、肾癌）的监测指标区分为：“质量控制指标”、“质量管理指标”，结合“费用支出和医疗效率”指标的三项内容，可以两两任意组合，进行综合分析与数据展现（需医院提供DRG/DIP接口对接）。</w:t>
                  </w:r>
                </w:p>
                <w:p>
                  <w:pPr>
                    <w:pStyle w:val="null3"/>
                    <w:spacing w:before="165" w:after="165"/>
                  </w:pPr>
                  <w:r>
                    <w:rPr>
                      <w:rFonts w:ascii="仿宋_GB2312" w:hAnsi="仿宋_GB2312" w:cs="仿宋_GB2312" w:eastAsia="仿宋_GB2312"/>
                      <w:sz w:val="24"/>
                    </w:rPr>
                    <w:t>在肿瘤质量控制与费用控制综合分析图中，直观将诊疗规范率和费用合理化形成四象限分布图。另外还支持质量控制指标、质量管理指标和费用合理化指标三项内容两两之间，进行趋势比较。</w:t>
                  </w:r>
                </w:p>
                <w:p>
                  <w:pPr>
                    <w:pStyle w:val="null3"/>
                    <w:spacing w:after="120"/>
                  </w:pPr>
                  <w:r>
                    <w:rPr>
                      <w:rFonts w:ascii="仿宋_GB2312" w:hAnsi="仿宋_GB2312" w:cs="仿宋_GB2312" w:eastAsia="仿宋_GB2312"/>
                      <w:sz w:val="24"/>
                    </w:rPr>
                    <w:t>同时内置各癌种的患者标签，可针对同一癌种的患者区分不同的患者标签进行四象限分析。</w:t>
                  </w:r>
                </w:p>
                <w:p>
                  <w:pPr>
                    <w:pStyle w:val="null3"/>
                  </w:pPr>
                  <w:r>
                    <w:rPr>
                      <w:rFonts w:ascii="仿宋_GB2312" w:hAnsi="仿宋_GB2312" w:cs="仿宋_GB2312" w:eastAsia="仿宋_GB2312"/>
                      <w:sz w:val="21"/>
                    </w:rPr>
                    <w:t>（须提供</w:t>
                  </w:r>
                  <w:r>
                    <w:rPr>
                      <w:rFonts w:ascii="仿宋_GB2312" w:hAnsi="仿宋_GB2312" w:cs="仿宋_GB2312" w:eastAsia="仿宋_GB2312"/>
                      <w:sz w:val="21"/>
                    </w:rPr>
                    <w:t>质控提醒</w:t>
                  </w:r>
                  <w:r>
                    <w:rPr>
                      <w:rFonts w:ascii="仿宋_GB2312" w:hAnsi="仿宋_GB2312" w:cs="仿宋_GB2312" w:eastAsia="仿宋_GB2312"/>
                      <w:sz w:val="21"/>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14</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科研</w:t>
                  </w:r>
                </w:p>
                <w:p>
                  <w:pPr>
                    <w:pStyle w:val="null3"/>
                    <w:spacing w:before="165"/>
                    <w:jc w:val="center"/>
                  </w:pPr>
                  <w:r>
                    <w:rPr>
                      <w:rFonts w:ascii="仿宋_GB2312" w:hAnsi="仿宋_GB2312" w:cs="仿宋_GB2312" w:eastAsia="仿宋_GB2312"/>
                      <w:sz w:val="24"/>
                    </w:rPr>
                    <w:t>支持</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▲我的科研</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pPr>
                  <w:r>
                    <w:rPr>
                      <w:rFonts w:ascii="仿宋_GB2312" w:hAnsi="仿宋_GB2312" w:cs="仿宋_GB2312" w:eastAsia="仿宋_GB2312"/>
                      <w:sz w:val="24"/>
                    </w:rPr>
                    <w:t>系统需内置各癌种的患者标签，支持结合患者标签，对诊疗质量与费用管理进行综合分析，同时支持自定义科研数据库，为医院建设自己的科研项目提供数据支持。</w:t>
                  </w:r>
                </w:p>
                <w:p>
                  <w:pPr>
                    <w:pStyle w:val="null3"/>
                    <w:spacing w:before="165" w:after="165"/>
                  </w:pPr>
                  <w:r>
                    <w:rPr>
                      <w:rFonts w:ascii="仿宋_GB2312" w:hAnsi="仿宋_GB2312" w:cs="仿宋_GB2312" w:eastAsia="仿宋_GB2312"/>
                      <w:sz w:val="24"/>
                    </w:rPr>
                    <w:t>（须提供</w:t>
                  </w:r>
                  <w:r>
                    <w:rPr>
                      <w:rFonts w:ascii="仿宋_GB2312" w:hAnsi="仿宋_GB2312" w:cs="仿宋_GB2312" w:eastAsia="仿宋_GB2312"/>
                      <w:sz w:val="24"/>
                    </w:rPr>
                    <w:t>质控提醒</w:t>
                  </w:r>
                  <w:r>
                    <w:rPr>
                      <w:rFonts w:ascii="仿宋_GB2312" w:hAnsi="仿宋_GB2312" w:cs="仿宋_GB2312" w:eastAsia="仿宋_GB2312"/>
                      <w:sz w:val="24"/>
                    </w:rPr>
                    <w:t>系统功能截图，并提供涵盖该功能模块名称的国家版权局颁发的软件著作权证书或具有认证资质的第三方检测机构出具的软件测评报告等相关证明材料）</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15</w:t>
                  </w:r>
                </w:p>
              </w:tc>
              <w:tc>
                <w:tcPr>
                  <w:tcW w:type="dxa" w:w="248"/>
                  <w:vMerge/>
                  <w:tcBorders>
                    <w:top w:val="none" w:color="000000" w:sz="4"/>
                    <w:left w:val="single" w:color="000000" w:sz="4"/>
                    <w:bottom w:val="single" w:color="000000" w:sz="4"/>
                    <w:right w:val="single" w:color="000000" w:sz="4"/>
                  </w:tcBorders>
                </w:tcP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肿瘤单病种质控规则库及后台管理系统（</w:t>
                  </w:r>
                  <w:r>
                    <w:rPr>
                      <w:rFonts w:ascii="仿宋_GB2312" w:hAnsi="仿宋_GB2312" w:cs="仿宋_GB2312" w:eastAsia="仿宋_GB2312"/>
                      <w:sz w:val="24"/>
                    </w:rPr>
                    <w:t>7个癌种）</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规则库</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肿瘤单病种质控规则库</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rPr>
                    <w:t>所有指标均需来源于：</w:t>
                  </w:r>
                  <w:r>
                    <w:rPr>
                      <w:rFonts w:ascii="仿宋_GB2312" w:hAnsi="仿宋_GB2312" w:cs="仿宋_GB2312" w:eastAsia="仿宋_GB2312"/>
                      <w:sz w:val="24"/>
                    </w:rPr>
                    <w:t>国家卫生健康委印发的《肿瘤专业医疗质量控制指标</w:t>
                  </w:r>
                  <w:r>
                    <w:rPr>
                      <w:rFonts w:ascii="仿宋_GB2312" w:hAnsi="仿宋_GB2312" w:cs="仿宋_GB2312" w:eastAsia="仿宋_GB2312"/>
                      <w:sz w:val="24"/>
                    </w:rPr>
                    <w:t>(2023年版)</w:t>
                  </w:r>
                  <w:r>
                    <w:rPr>
                      <w:rFonts w:ascii="仿宋_GB2312" w:hAnsi="仿宋_GB2312" w:cs="仿宋_GB2312" w:eastAsia="仿宋_GB2312"/>
                      <w:sz w:val="24"/>
                    </w:rPr>
                    <w:t>》，及国家肿瘤质控中心印发的《肿瘤</w:t>
                  </w:r>
                  <w:r>
                    <w:rPr>
                      <w:rFonts w:ascii="仿宋_GB2312" w:hAnsi="仿宋_GB2312" w:cs="仿宋_GB2312" w:eastAsia="仿宋_GB2312"/>
                      <w:sz w:val="24"/>
                    </w:rPr>
                    <w:t>规范诊疗质量控制指标》</w:t>
                  </w:r>
                  <w:r>
                    <w:rPr>
                      <w:rFonts w:ascii="仿宋_GB2312" w:hAnsi="仿宋_GB2312" w:cs="仿宋_GB2312" w:eastAsia="仿宋_GB2312"/>
                      <w:sz w:val="24"/>
                    </w:rPr>
                    <w:t>中的质控指标范围内</w:t>
                  </w:r>
                  <w:r>
                    <w:rPr>
                      <w:rFonts w:ascii="仿宋_GB2312" w:hAnsi="仿宋_GB2312" w:cs="仿宋_GB2312" w:eastAsia="仿宋_GB2312"/>
                      <w:sz w:val="24"/>
                    </w:rPr>
                    <w:t>，</w:t>
                  </w:r>
                  <w:r>
                    <w:rPr>
                      <w:rFonts w:ascii="仿宋_GB2312" w:hAnsi="仿宋_GB2312" w:cs="仿宋_GB2312" w:eastAsia="仿宋_GB2312"/>
                      <w:sz w:val="24"/>
                    </w:rPr>
                    <w:t>应包含</w:t>
                  </w:r>
                  <w:r>
                    <w:rPr>
                      <w:rFonts w:ascii="仿宋_GB2312" w:hAnsi="仿宋_GB2312" w:cs="仿宋_GB2312" w:eastAsia="仿宋_GB2312"/>
                      <w:sz w:val="24"/>
                    </w:rPr>
                    <w:t>7个癌种：肝癌、宫颈癌、结直肠癌、食管癌、甲状腺癌、前列腺癌、肾癌的指标与规则库管理，并在规则库中完成质控场景的配置，包括：质控预警、质控提醒、行为规范、行为不规范、管理正向、管理负向。</w:t>
                  </w:r>
                </w:p>
                <w:p>
                  <w:pPr>
                    <w:pStyle w:val="null3"/>
                    <w:spacing w:after="120"/>
                  </w:pPr>
                  <w:r>
                    <w:rPr>
                      <w:rFonts w:ascii="仿宋_GB2312" w:hAnsi="仿宋_GB2312" w:cs="仿宋_GB2312" w:eastAsia="仿宋_GB2312"/>
                      <w:sz w:val="24"/>
                    </w:rPr>
                    <w:t>同时需区分质量控制指标和质量管理指标，分别进行规则逻辑配置。</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16</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rPr>
                    <w:t>内置</w:t>
                  </w:r>
                  <w:r>
                    <w:rPr>
                      <w:rFonts w:ascii="仿宋_GB2312" w:hAnsi="仿宋_GB2312" w:cs="仿宋_GB2312" w:eastAsia="仿宋_GB2312"/>
                      <w:sz w:val="24"/>
                    </w:rPr>
                    <w:t>7个癌种患者标签库，并支持标签库可视化逻辑配置。</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17</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根据医院数据质量情况，实现肿瘤规范化质控范围</w:t>
                  </w:r>
                  <w:r>
                    <w:rPr>
                      <w:rFonts w:ascii="仿宋_GB2312" w:hAnsi="仿宋_GB2312" w:cs="仿宋_GB2312" w:eastAsia="仿宋_GB2312"/>
                      <w:sz w:val="24"/>
                    </w:rPr>
                    <w:t>。</w:t>
                  </w:r>
                  <w:r>
                    <w:rPr>
                      <w:rFonts w:ascii="仿宋_GB2312" w:hAnsi="仿宋_GB2312" w:cs="仿宋_GB2312" w:eastAsia="仿宋_GB2312"/>
                      <w:sz w:val="24"/>
                    </w:rPr>
                    <w:t xml:space="preserve">                                           </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18</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质控结果溯源</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质控结果溯源</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提供每个患者，每个质控指标的质控执行路径，包括全部诊疗数据及决策执行过程的可视化展示。</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19</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可逐层进行查阅及质疑，以保证质控执行过程的可监控性及准确性。</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20</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后台</w:t>
                  </w:r>
                </w:p>
                <w:p>
                  <w:pPr>
                    <w:pStyle w:val="null3"/>
                    <w:spacing w:before="165"/>
                    <w:jc w:val="center"/>
                  </w:pPr>
                  <w:r>
                    <w:rPr>
                      <w:rFonts w:ascii="仿宋_GB2312" w:hAnsi="仿宋_GB2312" w:cs="仿宋_GB2312" w:eastAsia="仿宋_GB2312"/>
                      <w:sz w:val="24"/>
                    </w:rPr>
                    <w:t>管理</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医院</w:t>
                  </w:r>
                </w:p>
                <w:p>
                  <w:pPr>
                    <w:pStyle w:val="null3"/>
                    <w:spacing w:before="165"/>
                    <w:jc w:val="center"/>
                  </w:pPr>
                  <w:r>
                    <w:rPr>
                      <w:rFonts w:ascii="仿宋_GB2312" w:hAnsi="仿宋_GB2312" w:cs="仿宋_GB2312" w:eastAsia="仿宋_GB2312"/>
                      <w:sz w:val="24"/>
                    </w:rPr>
                    <w:t>配置</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支持配置白名单、应用端展示方式。</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21</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任务</w:t>
                  </w:r>
                </w:p>
                <w:p>
                  <w:pPr>
                    <w:pStyle w:val="null3"/>
                    <w:spacing w:before="165"/>
                    <w:jc w:val="center"/>
                  </w:pPr>
                  <w:r>
                    <w:rPr>
                      <w:rFonts w:ascii="仿宋_GB2312" w:hAnsi="仿宋_GB2312" w:cs="仿宋_GB2312" w:eastAsia="仿宋_GB2312"/>
                      <w:sz w:val="24"/>
                    </w:rPr>
                    <w:t>管理</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支持配置医院离线数据运行规则的周期设置与任务执行管理。</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22</w:t>
                  </w: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jc w:val="center"/>
                  </w:pPr>
                  <w:r>
                    <w:rPr>
                      <w:rFonts w:ascii="仿宋_GB2312" w:hAnsi="仿宋_GB2312" w:cs="仿宋_GB2312" w:eastAsia="仿宋_GB2312"/>
                      <w:sz w:val="24"/>
                    </w:rPr>
                    <w:t>用户角色管理</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pPr>
                  <w:r>
                    <w:rPr>
                      <w:rFonts w:ascii="仿宋_GB2312" w:hAnsi="仿宋_GB2312" w:cs="仿宋_GB2312" w:eastAsia="仿宋_GB2312"/>
                      <w:sz w:val="24"/>
                    </w:rPr>
                    <w:t>支持管理平台的用户、角色等权限配置。</w:t>
                  </w:r>
                </w:p>
              </w:tc>
            </w:tr>
          </w:tbl>
          <w:p>
            <w:pPr>
              <w:pStyle w:val="null3"/>
              <w:spacing w:before="345" w:after="330"/>
            </w:pPr>
            <w:r>
              <w:rPr>
                <w:rFonts w:ascii="仿宋_GB2312" w:hAnsi="仿宋_GB2312" w:cs="仿宋_GB2312" w:eastAsia="仿宋_GB2312"/>
                <w:sz w:val="32"/>
                <w:b/>
              </w:rPr>
              <w:t>2、项目实施、售后服务及商务要求</w:t>
            </w:r>
          </w:p>
          <w:p>
            <w:pPr>
              <w:pStyle w:val="null3"/>
              <w:spacing w:before="345" w:after="330"/>
            </w:pPr>
            <w:r>
              <w:rPr>
                <w:rFonts w:ascii="仿宋_GB2312" w:hAnsi="仿宋_GB2312" w:cs="仿宋_GB2312" w:eastAsia="仿宋_GB2312"/>
                <w:sz w:val="32"/>
                <w:b/>
              </w:rPr>
              <w:t>2.1实施人员要求</w:t>
            </w:r>
          </w:p>
          <w:p>
            <w:pPr>
              <w:pStyle w:val="null3"/>
              <w:ind w:firstLine="480"/>
            </w:pPr>
            <w:r>
              <w:rPr>
                <w:rFonts w:ascii="仿宋_GB2312" w:hAnsi="仿宋_GB2312" w:cs="仿宋_GB2312" w:eastAsia="仿宋_GB2312"/>
                <w:sz w:val="24"/>
              </w:rPr>
              <w:t>供应商</w:t>
            </w:r>
            <w:r>
              <w:rPr>
                <w:rFonts w:ascii="仿宋_GB2312" w:hAnsi="仿宋_GB2312" w:cs="仿宋_GB2312" w:eastAsia="仿宋_GB2312"/>
                <w:sz w:val="24"/>
                <w:color w:val="000000"/>
              </w:rPr>
              <w:t>应仔细研读采购文件，根据项目内容及理解，提供项目详尽的实施方案和进度表。实施方案内容大致包括：</w:t>
            </w:r>
            <w:r>
              <w:rPr>
                <w:rFonts w:ascii="仿宋_GB2312" w:hAnsi="仿宋_GB2312" w:cs="仿宋_GB2312" w:eastAsia="仿宋_GB2312"/>
                <w:sz w:val="24"/>
                <w:color w:val="000000"/>
              </w:rPr>
              <w:t>1.组织保障安排：成立领导小组，领导小组中的责任分工等。2.制定具体的实施流程、实施内容。3.供应商应在系统实施方案中描述具体的实施团队的组成、工作内容、投入人员、项目进程表及采购人的配合等内容</w:t>
            </w:r>
            <w:r>
              <w:rPr>
                <w:rFonts w:ascii="仿宋_GB2312" w:hAnsi="仿宋_GB2312" w:cs="仿宋_GB2312" w:eastAsia="仿宋_GB2312"/>
                <w:sz w:val="24"/>
              </w:rPr>
              <w:t>。实施期间，供应商应按采购文件要求派遣具有同类三甲医院项目成功实施经验的工程师驻扎医院进行项目的开发实施工作。供应商的实施团队应具有丰富的项目的经验，能协助医院提供全方位的工作，包括但不限于项目咨询、软件研发、系统实施等。</w:t>
            </w:r>
          </w:p>
          <w:p>
            <w:pPr>
              <w:pStyle w:val="null3"/>
              <w:ind w:firstLine="480"/>
            </w:pPr>
            <w:r>
              <w:rPr>
                <w:rFonts w:ascii="仿宋_GB2312" w:hAnsi="仿宋_GB2312" w:cs="仿宋_GB2312" w:eastAsia="仿宋_GB2312"/>
                <w:sz w:val="24"/>
              </w:rPr>
              <w:t>供应商须派驻至少</w:t>
            </w:r>
            <w:r>
              <w:rPr>
                <w:rFonts w:ascii="仿宋_GB2312" w:hAnsi="仿宋_GB2312" w:cs="仿宋_GB2312" w:eastAsia="仿宋_GB2312"/>
                <w:sz w:val="24"/>
              </w:rPr>
              <w:t>2名</w:t>
            </w:r>
            <w:r>
              <w:rPr>
                <w:rFonts w:ascii="仿宋_GB2312" w:hAnsi="仿宋_GB2312" w:cs="仿宋_GB2312" w:eastAsia="仿宋_GB2312"/>
                <w:sz w:val="24"/>
              </w:rPr>
              <w:t>专职工程师进行本次项目软硬件的需求细化调研、设计开发、功能测试、应用培训、部署上线、系统配置、数据准备、服务器安装调试等实施工作。</w:t>
            </w:r>
          </w:p>
          <w:p>
            <w:pPr>
              <w:pStyle w:val="null3"/>
            </w:pPr>
            <w:r>
              <w:rPr>
                <w:rFonts w:ascii="仿宋_GB2312" w:hAnsi="仿宋_GB2312" w:cs="仿宋_GB2312" w:eastAsia="仿宋_GB2312"/>
                <w:b/>
              </w:rPr>
              <w:t>2.2项</w:t>
            </w:r>
            <w:r>
              <w:rPr>
                <w:rFonts w:ascii="仿宋_GB2312" w:hAnsi="仿宋_GB2312" w:cs="仿宋_GB2312" w:eastAsia="仿宋_GB2312"/>
                <w:b/>
              </w:rPr>
              <w:t>目工期</w:t>
            </w:r>
          </w:p>
          <w:p>
            <w:pPr>
              <w:pStyle w:val="null3"/>
              <w:ind w:firstLine="480"/>
            </w:pPr>
            <w:r>
              <w:rPr>
                <w:rFonts w:ascii="仿宋_GB2312" w:hAnsi="仿宋_GB2312" w:cs="仿宋_GB2312" w:eastAsia="仿宋_GB2312"/>
                <w:sz w:val="24"/>
              </w:rPr>
              <w:t>自采购结束后成交供应商公司</w:t>
            </w:r>
            <w:r>
              <w:rPr>
                <w:rFonts w:ascii="仿宋_GB2312" w:hAnsi="仿宋_GB2312" w:cs="仿宋_GB2312" w:eastAsia="仿宋_GB2312"/>
                <w:sz w:val="24"/>
              </w:rPr>
              <w:t>应予15个自然</w:t>
            </w:r>
            <w:r>
              <w:rPr>
                <w:rFonts w:ascii="仿宋_GB2312" w:hAnsi="仿宋_GB2312" w:cs="仿宋_GB2312" w:eastAsia="仿宋_GB2312"/>
                <w:sz w:val="24"/>
              </w:rPr>
              <w:t>日内完成项目测试环境搭建，根据招标技术要求逐条测试，经采购方确认无误后签订项目合同，若采购方测试过程中确认测试情况与投标响应情况不付，此次招标将予以废标。</w:t>
            </w:r>
          </w:p>
          <w:p>
            <w:pPr>
              <w:pStyle w:val="null3"/>
              <w:ind w:firstLine="480"/>
            </w:pPr>
            <w:r>
              <w:rPr>
                <w:rFonts w:ascii="仿宋_GB2312" w:hAnsi="仿宋_GB2312" w:cs="仿宋_GB2312" w:eastAsia="仿宋_GB2312"/>
                <w:sz w:val="24"/>
              </w:rPr>
              <w:t>自合同签</w:t>
            </w:r>
            <w:r>
              <w:rPr>
                <w:rFonts w:ascii="仿宋_GB2312" w:hAnsi="仿宋_GB2312" w:cs="仿宋_GB2312" w:eastAsia="仿宋_GB2312"/>
                <w:sz w:val="24"/>
              </w:rPr>
              <w:t>订起6个月内完</w:t>
            </w:r>
            <w:r>
              <w:rPr>
                <w:rFonts w:ascii="仿宋_GB2312" w:hAnsi="仿宋_GB2312" w:cs="仿宋_GB2312" w:eastAsia="仿宋_GB2312"/>
                <w:sz w:val="24"/>
              </w:rPr>
              <w:t>成系统功能需求细化调研、设计开发、功能测试、应用培训、部署上线等工作。</w:t>
            </w:r>
          </w:p>
          <w:p>
            <w:pPr>
              <w:pStyle w:val="null3"/>
            </w:pPr>
            <w:r>
              <w:rPr>
                <w:rFonts w:ascii="仿宋_GB2312" w:hAnsi="仿宋_GB2312" w:cs="仿宋_GB2312" w:eastAsia="仿宋_GB2312"/>
                <w:b/>
              </w:rPr>
              <w:t>2.3实</w:t>
            </w:r>
            <w:r>
              <w:rPr>
                <w:rFonts w:ascii="仿宋_GB2312" w:hAnsi="仿宋_GB2312" w:cs="仿宋_GB2312" w:eastAsia="仿宋_GB2312"/>
                <w:b/>
              </w:rPr>
              <w:t>施范围</w:t>
            </w:r>
          </w:p>
          <w:p>
            <w:pPr>
              <w:pStyle w:val="null3"/>
              <w:ind w:firstLine="480"/>
            </w:pPr>
            <w:r>
              <w:rPr>
                <w:rFonts w:ascii="仿宋_GB2312" w:hAnsi="仿宋_GB2312" w:cs="仿宋_GB2312" w:eastAsia="仿宋_GB2312"/>
                <w:sz w:val="24"/>
              </w:rPr>
              <w:t>针对本次</w:t>
            </w:r>
            <w:r>
              <w:rPr>
                <w:rFonts w:ascii="仿宋_GB2312" w:hAnsi="仿宋_GB2312" w:cs="仿宋_GB2312" w:eastAsia="仿宋_GB2312"/>
                <w:sz w:val="24"/>
              </w:rPr>
              <w:t>延安大学附属医院</w:t>
            </w:r>
            <w:r>
              <w:rPr>
                <w:rFonts w:ascii="仿宋_GB2312" w:hAnsi="仿宋_GB2312" w:cs="仿宋_GB2312" w:eastAsia="仿宋_GB2312"/>
                <w:sz w:val="24"/>
              </w:rPr>
              <w:t>高质量发展恶性肿瘤智慧化管理服务项目（二期）</w:t>
            </w:r>
            <w:r>
              <w:rPr>
                <w:rFonts w:ascii="仿宋_GB2312" w:hAnsi="仿宋_GB2312" w:cs="仿宋_GB2312" w:eastAsia="仿宋_GB2312"/>
                <w:sz w:val="24"/>
              </w:rPr>
              <w:t>项目建设，投标人须提供</w:t>
            </w:r>
            <w:r>
              <w:rPr>
                <w:rFonts w:ascii="仿宋_GB2312" w:hAnsi="仿宋_GB2312" w:cs="仿宋_GB2312" w:eastAsia="仿宋_GB2312"/>
                <w:sz w:val="24"/>
              </w:rPr>
              <w:t>延安大学附属医院</w:t>
            </w:r>
            <w:r>
              <w:rPr>
                <w:rFonts w:ascii="仿宋_GB2312" w:hAnsi="仿宋_GB2312" w:cs="仿宋_GB2312" w:eastAsia="仿宋_GB2312"/>
                <w:sz w:val="24"/>
              </w:rPr>
              <w:t>上线实施和服务</w:t>
            </w:r>
            <w:r>
              <w:rPr>
                <w:rFonts w:ascii="仿宋_GB2312" w:hAnsi="仿宋_GB2312" w:cs="仿宋_GB2312" w:eastAsia="仿宋_GB2312"/>
                <w:sz w:val="24"/>
              </w:rPr>
              <w:t>。</w:t>
            </w:r>
          </w:p>
          <w:p>
            <w:pPr>
              <w:pStyle w:val="null3"/>
            </w:pPr>
            <w:r>
              <w:rPr>
                <w:rFonts w:ascii="仿宋_GB2312" w:hAnsi="仿宋_GB2312" w:cs="仿宋_GB2312" w:eastAsia="仿宋_GB2312"/>
                <w:sz w:val="32"/>
                <w:b/>
              </w:rPr>
              <w:t>2.4 项</w:t>
            </w:r>
            <w:r>
              <w:rPr>
                <w:rFonts w:ascii="仿宋_GB2312" w:hAnsi="仿宋_GB2312" w:cs="仿宋_GB2312" w:eastAsia="仿宋_GB2312"/>
                <w:sz w:val="32"/>
                <w:b/>
              </w:rPr>
              <w:t>目验收</w:t>
            </w:r>
          </w:p>
          <w:p>
            <w:pPr>
              <w:pStyle w:val="null3"/>
              <w:ind w:firstLine="480"/>
            </w:pPr>
            <w:r>
              <w:rPr>
                <w:rFonts w:ascii="仿宋_GB2312" w:hAnsi="仿宋_GB2312" w:cs="仿宋_GB2312" w:eastAsia="仿宋_GB2312"/>
                <w:sz w:val="24"/>
                <w:color w:val="000000"/>
              </w:rPr>
              <w:t>1.采购人对供应商提供的</w:t>
            </w:r>
            <w:r>
              <w:rPr>
                <w:rFonts w:ascii="仿宋_GB2312" w:hAnsi="仿宋_GB2312" w:cs="仿宋_GB2312" w:eastAsia="仿宋_GB2312"/>
                <w:sz w:val="24"/>
              </w:rPr>
              <w:t>产品</w:t>
            </w:r>
            <w:r>
              <w:rPr>
                <w:rFonts w:ascii="仿宋_GB2312" w:hAnsi="仿宋_GB2312" w:cs="仿宋_GB2312" w:eastAsia="仿宋_GB2312"/>
                <w:sz w:val="24"/>
                <w:color w:val="000000"/>
              </w:rPr>
              <w:t>在使用前进行调试时，供应商需负责安装并培训采购人的使用操作人员，并协助采购人一起调试，直到符合技术要求，采购人才做最终验收。</w:t>
            </w:r>
          </w:p>
          <w:p>
            <w:pPr>
              <w:pStyle w:val="null3"/>
              <w:ind w:firstLine="480"/>
            </w:pPr>
            <w:r>
              <w:rPr>
                <w:rFonts w:ascii="仿宋_GB2312" w:hAnsi="仿宋_GB2312" w:cs="仿宋_GB2312" w:eastAsia="仿宋_GB2312"/>
                <w:sz w:val="24"/>
                <w:color w:val="000000"/>
              </w:rPr>
              <w:t>2.验收时采购方、成交人等项目相关方都须在场，验收完毕后一致作出验收结果报告。</w:t>
            </w:r>
          </w:p>
          <w:p>
            <w:pPr>
              <w:pStyle w:val="null3"/>
              <w:ind w:firstLine="480"/>
            </w:pPr>
            <w:r>
              <w:rPr>
                <w:rFonts w:ascii="仿宋_GB2312" w:hAnsi="仿宋_GB2312" w:cs="仿宋_GB2312" w:eastAsia="仿宋_GB2312"/>
                <w:sz w:val="24"/>
                <w:color w:val="000000"/>
              </w:rPr>
              <w:t>3.交付文档验收要求：</w:t>
            </w:r>
          </w:p>
          <w:p>
            <w:pPr>
              <w:pStyle w:val="null3"/>
              <w:ind w:firstLine="480"/>
            </w:pPr>
            <w:r>
              <w:rPr>
                <w:rFonts w:ascii="仿宋_GB2312" w:hAnsi="仿宋_GB2312" w:cs="仿宋_GB2312" w:eastAsia="仿宋_GB2312"/>
                <w:sz w:val="24"/>
                <w:color w:val="000000"/>
              </w:rPr>
              <w:t>项目的工作内容及成果文档的提交应覆盖以下内容，电子文档是成果不可分割的部分。</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1）系统的体系架构及描述。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提供的其它技术手册，包括：《总体设计报告》；需求分析报告（含软件功能需求与数据要求）；《详细设计说明书》；《数据字典》；《接口文档》；系统实施确认书；软件培训资料；《系统运行维护手册》；程序安装维护手册；软件使用操作手册；项目验收报告。</w:t>
            </w:r>
          </w:p>
          <w:p>
            <w:pPr>
              <w:pStyle w:val="null3"/>
              <w:ind w:left="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3）符合采购方项目管理要求，</w:t>
            </w:r>
            <w:r>
              <w:rPr>
                <w:rFonts w:ascii="仿宋_GB2312" w:hAnsi="仿宋_GB2312" w:cs="仿宋_GB2312" w:eastAsia="仿宋_GB2312"/>
                <w:sz w:val="24"/>
              </w:rPr>
              <w:t>提交相应项目资料。</w:t>
            </w:r>
          </w:p>
          <w:p>
            <w:pPr>
              <w:pStyle w:val="null3"/>
            </w:pPr>
            <w:r>
              <w:rPr>
                <w:rFonts w:ascii="仿宋_GB2312" w:hAnsi="仿宋_GB2312" w:cs="仿宋_GB2312" w:eastAsia="仿宋_GB2312"/>
                <w:b/>
              </w:rPr>
              <w:t>2.5</w:t>
            </w:r>
            <w:r>
              <w:rPr>
                <w:rFonts w:ascii="仿宋_GB2312" w:hAnsi="仿宋_GB2312" w:cs="仿宋_GB2312" w:eastAsia="仿宋_GB2312"/>
                <w:b/>
              </w:rPr>
              <w:t>项目培训</w:t>
            </w:r>
          </w:p>
          <w:p>
            <w:pPr>
              <w:pStyle w:val="null3"/>
              <w:ind w:firstLine="480"/>
            </w:pPr>
            <w:r>
              <w:rPr>
                <w:rFonts w:ascii="仿宋_GB2312" w:hAnsi="仿宋_GB2312" w:cs="仿宋_GB2312" w:eastAsia="仿宋_GB2312"/>
                <w:sz w:val="24"/>
              </w:rPr>
              <w:t>1.培训：培训对象包括系统管理员、医院管理人员、操作员，系统管理人员培训内容为系统中涉及的相关技术内容；医院管理人员培训内容为系统流程和相关管理思想；操作员为系统的操作培训。</w:t>
            </w:r>
          </w:p>
          <w:p>
            <w:pPr>
              <w:pStyle w:val="null3"/>
              <w:ind w:firstLine="480"/>
            </w:pPr>
            <w:r>
              <w:rPr>
                <w:rFonts w:ascii="仿宋_GB2312" w:hAnsi="仿宋_GB2312" w:cs="仿宋_GB2312" w:eastAsia="仿宋_GB2312"/>
                <w:sz w:val="24"/>
              </w:rPr>
              <w:t>2.根据医院的情况制定相关培训方案，课程设置等。包括培训资料、讲义等。</w:t>
            </w:r>
          </w:p>
          <w:p>
            <w:pPr>
              <w:pStyle w:val="null3"/>
              <w:ind w:firstLine="480"/>
            </w:pPr>
            <w:r>
              <w:rPr>
                <w:rFonts w:ascii="仿宋_GB2312" w:hAnsi="仿宋_GB2312" w:cs="仿宋_GB2312" w:eastAsia="仿宋_GB2312"/>
                <w:sz w:val="24"/>
              </w:rPr>
              <w:t>3.所有的培训费用必须计入响应总价。</w:t>
            </w:r>
          </w:p>
          <w:p>
            <w:pPr>
              <w:pStyle w:val="null3"/>
            </w:pPr>
            <w:r>
              <w:rPr>
                <w:rFonts w:ascii="仿宋_GB2312" w:hAnsi="仿宋_GB2312" w:cs="仿宋_GB2312" w:eastAsia="仿宋_GB2312"/>
                <w:sz w:val="32"/>
                <w:b/>
              </w:rPr>
              <w:t xml:space="preserve">2.6 </w:t>
            </w:r>
            <w:r>
              <w:rPr>
                <w:rFonts w:ascii="仿宋_GB2312" w:hAnsi="仿宋_GB2312" w:cs="仿宋_GB2312" w:eastAsia="仿宋_GB2312"/>
                <w:sz w:val="32"/>
                <w:b/>
              </w:rPr>
              <w:t>售后服务</w:t>
            </w:r>
          </w:p>
          <w:p>
            <w:pPr>
              <w:pStyle w:val="null3"/>
              <w:numPr>
                <w:ilvl w:val="0"/>
                <w:numId w:val="1"/>
              </w:numPr>
            </w:pPr>
            <w:r>
              <w:rPr>
                <w:rFonts w:ascii="仿宋_GB2312" w:hAnsi="仿宋_GB2312" w:cs="仿宋_GB2312" w:eastAsia="仿宋_GB2312"/>
                <w:sz w:val="24"/>
              </w:rPr>
              <w:t>本次项目中涉及的产品须至少自验收之日起提供</w:t>
            </w:r>
            <w:r>
              <w:rPr>
                <w:rFonts w:ascii="仿宋_GB2312" w:hAnsi="仿宋_GB2312" w:cs="仿宋_GB2312" w:eastAsia="仿宋_GB2312"/>
                <w:sz w:val="24"/>
              </w:rPr>
              <w:t>五年免</w:t>
            </w:r>
            <w:r>
              <w:rPr>
                <w:rFonts w:ascii="仿宋_GB2312" w:hAnsi="仿宋_GB2312" w:cs="仿宋_GB2312" w:eastAsia="仿宋_GB2312"/>
                <w:sz w:val="24"/>
              </w:rPr>
              <w:t>费维保服务。</w:t>
            </w:r>
          </w:p>
          <w:p>
            <w:pPr>
              <w:pStyle w:val="null3"/>
              <w:numPr>
                <w:ilvl w:val="0"/>
                <w:numId w:val="1"/>
              </w:numPr>
            </w:pPr>
            <w:r>
              <w:rPr>
                <w:rFonts w:ascii="仿宋_GB2312" w:hAnsi="仿宋_GB2312" w:cs="仿宋_GB2312" w:eastAsia="仿宋_GB2312"/>
                <w:sz w:val="24"/>
              </w:rPr>
              <w:t>投标方应在投标文件中说明在免费维保期内提供的服务计划，维护范围包括（包括但不限于）软件安装，调试、维修，接口、集成、升级等内容。</w:t>
            </w:r>
          </w:p>
          <w:p>
            <w:pPr>
              <w:pStyle w:val="null3"/>
              <w:numPr>
                <w:ilvl w:val="0"/>
                <w:numId w:val="1"/>
              </w:numPr>
            </w:pPr>
            <w:r>
              <w:rPr>
                <w:rFonts w:ascii="仿宋_GB2312" w:hAnsi="仿宋_GB2312" w:cs="仿宋_GB2312" w:eastAsia="仿宋_GB2312"/>
                <w:sz w:val="24"/>
              </w:rPr>
              <w:t>在免费维保期内，投标方应确保系统的正常使用。项目验收后有项目服务组人员根据实际需要，指定工程技术人员提供技术服务，采取现场支持、远程维护、电话、电子邮件、互联网远程支持等多种服务方式。</w:t>
            </w:r>
          </w:p>
          <w:p>
            <w:pPr>
              <w:pStyle w:val="null3"/>
              <w:numPr>
                <w:ilvl w:val="0"/>
                <w:numId w:val="1"/>
              </w:numPr>
            </w:pPr>
            <w:r>
              <w:rPr>
                <w:rFonts w:ascii="仿宋_GB2312" w:hAnsi="仿宋_GB2312" w:cs="仿宋_GB2312" w:eastAsia="仿宋_GB2312"/>
                <w:sz w:val="24"/>
              </w:rPr>
              <w:t>项目建设及维保期内，软件版本及相关知识库免费升级。</w:t>
            </w:r>
          </w:p>
          <w:p>
            <w:pPr>
              <w:pStyle w:val="null3"/>
              <w:numPr>
                <w:ilvl w:val="0"/>
                <w:numId w:val="1"/>
              </w:numPr>
            </w:pPr>
            <w:r>
              <w:rPr>
                <w:rFonts w:ascii="仿宋_GB2312" w:hAnsi="仿宋_GB2312" w:cs="仿宋_GB2312" w:eastAsia="仿宋_GB2312"/>
                <w:sz w:val="24"/>
              </w:rPr>
              <w:t>在免费维保期内，提供全年每周</w:t>
            </w:r>
            <w:r>
              <w:rPr>
                <w:rFonts w:ascii="仿宋_GB2312" w:hAnsi="仿宋_GB2312" w:cs="仿宋_GB2312" w:eastAsia="仿宋_GB2312"/>
                <w:sz w:val="24"/>
              </w:rPr>
              <w:t>7天、每天24小时的全天候服务和每天24小时热线电话服务，包括节假日，电话响应时间不超过30分钟，一级故障到场处理包括到场时间不超过2h，二级故障到场处理时间不超过3h，三级故障处理时间不超过48h，四级故障处理时间不超过一周。</w:t>
            </w:r>
          </w:p>
          <w:p>
            <w:pPr>
              <w:pStyle w:val="null3"/>
              <w:ind w:left="480"/>
            </w:pPr>
            <w:r>
              <w:rPr>
                <w:rFonts w:ascii="仿宋_GB2312" w:hAnsi="仿宋_GB2312" w:cs="仿宋_GB2312" w:eastAsia="仿宋_GB2312"/>
                <w:sz w:val="24"/>
              </w:rPr>
              <w:t>一级故障：系统停机、数据库故障、服务器瘫痪等，或对正常业务运作有严重影响。</w:t>
            </w:r>
          </w:p>
          <w:p>
            <w:pPr>
              <w:pStyle w:val="null3"/>
              <w:ind w:left="480"/>
            </w:pPr>
            <w:r>
              <w:rPr>
                <w:rFonts w:ascii="仿宋_GB2312" w:hAnsi="仿宋_GB2312" w:cs="仿宋_GB2312" w:eastAsia="仿宋_GB2312"/>
                <w:sz w:val="24"/>
              </w:rPr>
              <w:t>二级故障：系统的操作性能严重下降，或由于系统性能明显下降，使业务运作有影响，系统功能</w:t>
            </w:r>
            <w:r>
              <w:rPr>
                <w:rFonts w:ascii="仿宋_GB2312" w:hAnsi="仿宋_GB2312" w:cs="仿宋_GB2312" w:eastAsia="仿宋_GB2312"/>
                <w:sz w:val="24"/>
              </w:rPr>
              <w:t>bug或日常故障。</w:t>
            </w:r>
          </w:p>
          <w:p>
            <w:pPr>
              <w:pStyle w:val="null3"/>
              <w:ind w:left="480"/>
            </w:pPr>
            <w:r>
              <w:rPr>
                <w:rFonts w:ascii="仿宋_GB2312" w:hAnsi="仿宋_GB2312" w:cs="仿宋_GB2312" w:eastAsia="仿宋_GB2312"/>
                <w:sz w:val="24"/>
              </w:rPr>
              <w:t>三级故障：系统的操作性能下降，但大部分业务运作仍可正常工作。</w:t>
            </w:r>
          </w:p>
          <w:p>
            <w:pPr>
              <w:pStyle w:val="null3"/>
              <w:ind w:left="480"/>
            </w:pPr>
            <w:r>
              <w:rPr>
                <w:rFonts w:ascii="仿宋_GB2312" w:hAnsi="仿宋_GB2312" w:cs="仿宋_GB2312" w:eastAsia="仿宋_GB2312"/>
                <w:sz w:val="24"/>
              </w:rPr>
              <w:t>四级故障：软件功能、硬件更换、接口对接或其他需要时间修改的问题。</w:t>
            </w:r>
          </w:p>
          <w:p>
            <w:pPr>
              <w:pStyle w:val="null3"/>
              <w:numPr>
                <w:ilvl w:val="0"/>
                <w:numId w:val="1"/>
              </w:numPr>
            </w:pPr>
            <w:r>
              <w:rPr>
                <w:rFonts w:ascii="仿宋_GB2312" w:hAnsi="仿宋_GB2312" w:cs="仿宋_GB2312" w:eastAsia="仿宋_GB2312"/>
                <w:sz w:val="24"/>
              </w:rPr>
              <w:t>项目验收合格后，每年不低于</w:t>
            </w:r>
            <w:r>
              <w:rPr>
                <w:rFonts w:ascii="仿宋_GB2312" w:hAnsi="仿宋_GB2312" w:cs="仿宋_GB2312" w:eastAsia="仿宋_GB2312"/>
                <w:sz w:val="24"/>
              </w:rPr>
              <w:t>4次的例行维护及巡检。例行维护内容包括：软件的功能增强性维护等应用软件系统扩充升级（其中包括系统维护、跟踪检测），保证投标方所产品的正常运行。</w:t>
            </w:r>
          </w:p>
          <w:p>
            <w:pPr>
              <w:pStyle w:val="null3"/>
              <w:numPr>
                <w:ilvl w:val="0"/>
                <w:numId w:val="1"/>
              </w:numPr>
            </w:pPr>
            <w:r>
              <w:rPr>
                <w:rFonts w:ascii="仿宋_GB2312" w:hAnsi="仿宋_GB2312" w:cs="仿宋_GB2312" w:eastAsia="仿宋_GB2312"/>
                <w:sz w:val="24"/>
              </w:rPr>
              <w:t>根据国家级或省市级指令性文件要求，无偿配合完成国家级或省市级指令性文件工作内容。</w:t>
            </w:r>
          </w:p>
          <w:p>
            <w:pPr>
              <w:pStyle w:val="null3"/>
              <w:numPr>
                <w:ilvl w:val="0"/>
                <w:numId w:val="1"/>
              </w:numPr>
            </w:pPr>
            <w:r>
              <w:rPr>
                <w:rFonts w:ascii="仿宋_GB2312" w:hAnsi="仿宋_GB2312" w:cs="仿宋_GB2312" w:eastAsia="仿宋_GB2312"/>
                <w:sz w:val="24"/>
              </w:rPr>
              <w:t>软件系统健康检查（对系统的配置及运作框架进行优化、降低系统潜在的风险，包括数据丢失、安全漏洞、系统崩溃、性能降低及资源紧张、数据迁移、灾难恢复、备份和恢复验证，检查并分析系统日志及跟踪文件，发现并排除数据库系统错误隐患、检查数据库系统是否需要应用最新的补丁集、检查数据库空间的使用情况、协助进行数据库空间的规划管理、检查数据库备份的完整性、监控数据库性能、确认系统的资源需求、优化数据库、通过改善系统环境的稳定性来降低潜在的系统宕机时间、制定备份和恢复方案）；</w:t>
            </w:r>
          </w:p>
          <w:p>
            <w:pPr>
              <w:pStyle w:val="null3"/>
              <w:numPr>
                <w:ilvl w:val="0"/>
                <w:numId w:val="1"/>
              </w:numPr>
            </w:pPr>
            <w:r>
              <w:rPr>
                <w:rFonts w:ascii="仿宋_GB2312" w:hAnsi="仿宋_GB2312" w:cs="仿宋_GB2312" w:eastAsia="仿宋_GB2312"/>
                <w:sz w:val="24"/>
              </w:rPr>
              <w:t>免费维保期满后，另签维保协议。每年的维保服务费介于合同额的</w:t>
            </w:r>
            <w:r>
              <w:rPr>
                <w:rFonts w:ascii="仿宋_GB2312" w:hAnsi="仿宋_GB2312" w:cs="仿宋_GB2312" w:eastAsia="仿宋_GB2312"/>
                <w:sz w:val="24"/>
              </w:rPr>
              <w:t>3%-8%。</w:t>
            </w:r>
          </w:p>
          <w:p>
            <w:pPr>
              <w:pStyle w:val="null3"/>
              <w:numPr>
                <w:ilvl w:val="0"/>
                <w:numId w:val="1"/>
              </w:numPr>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派驻至少2名专职工程师进行本次项目软硬件的需求细化调研、设计开发、功能测试、应用培训、部署上线、系统配置、数据准备、服务器安装调试等实施工作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具有履行合同所必需的设备和专业技术能力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自合同签订起6个月内完成系统功能需求细化调研、设计开发、功能测试、应用培训、部署上线等工作。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延安大学附属医院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1、采购人对供应商提供的产品在使用前进行调试时，供应商需负责安装并培训采购人的使用操作人员，并协助采购人一起调试，直到符合技术要求，采购人才做最终验收。 2、验收时采购方、成交人等项目相关方都须在场，验收完毕后一致作出验收结果报告。 3、交付文档验收要求： 项目的工作内容及成果文档的提交应覆盖以下内容，电子文档是成果不可分割的部分。 （1）系统的体系架构及描述。 （2）提供的其它技术手册，包括：《总体设计报告》；需求分析报告（含软件功能需求与数据要求）；《详细设计说明书》；《数据字典》；《接口文档》；系统实施确认书；软件培训资料；《系统运行维护手册》；程序安装维护手册；软件使用操作手册；项目验收报告。 （3）符合采购方项目管理要求，提交相应项目资料。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项目系统上线正常运行一个月后且符合合同、采购文件、响应文件及实施计划的技术要求，中标方向采购方提交付款申请，采购方收到付款申请后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双方约定项目系统上线正常运行五年后且符合合同、采购文件、响应文件及实施计划的技术要求，中标方向采购方提交付款申请，采购方收到付款申请后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服务质量标准：达到国家或行业现行合格标准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银行开户</w:t>
            </w:r>
          </w:p>
        </w:tc>
        <w:tc>
          <w:tcPr>
            <w:tcW w:type="dxa" w:w="3322"/>
          </w:tcPr>
          <w:p>
            <w:pPr>
              <w:pStyle w:val="null3"/>
            </w:pPr>
            <w:r>
              <w:rPr>
                <w:rFonts w:ascii="仿宋_GB2312" w:hAnsi="仿宋_GB2312" w:cs="仿宋_GB2312" w:eastAsia="仿宋_GB2312"/>
              </w:rPr>
              <w:t>银行开户许可证或开户行基本信息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法定代表人授权书（附法定代表人身份证复印件）及被授权人身份证（法定代表人直接参加须提供法定代表人身份证明及法定代表人身份证复印件）；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提供2024年度经审计完整的财务审计报告（成立时间至提交响应文件截止时间不足一年的可提供成立后任意时段的资产负债表）或三个月内其基本存款账户开户银行出具的资信证明；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提供截止磋商时间近一年内任意一个月已缴纳的纳税证明或完税证明，依法免税的供应商应提供相关文件证明；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提供截止磋商时间近一年内任意一个月的社会保障资金缴存证明或社保机构开具的社会保险参保缴费情况证明；依法不需要缴纳社会保障资金的应提供相关文件证明；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信用信誉</w:t>
            </w:r>
          </w:p>
        </w:tc>
        <w:tc>
          <w:tcPr>
            <w:tcW w:type="dxa" w:w="3322"/>
          </w:tcPr>
          <w:p>
            <w:pPr>
              <w:pStyle w:val="null3"/>
            </w:pPr>
            <w:r>
              <w:rPr>
                <w:rFonts w:ascii="仿宋_GB2312" w:hAnsi="仿宋_GB2312" w:cs="仿宋_GB2312" w:eastAsia="仿宋_GB2312"/>
              </w:rPr>
              <w:t>供应商未被列入“信用中国”网站中重大税收违法失信主体名单、“中国执行信息公开网”网站失信被执行人、中国政府采购网政府采购严重违法失信行为记录名单中被财政部门禁止参加政府采购活动的供应商；参加政府采购活动近三年内，在经营活动中没有重大违法记录声明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型、小型、微型企业，并提供《中小企业声明函》（采购标的对应所属行业为其他未列明行业，声明函格式按照《政府采购促进中小企业发展管理办法》（财库〔2020〕46号）要求提供）；</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符合采购文件的实质性要求</w:t>
            </w:r>
          </w:p>
        </w:tc>
        <w:tc>
          <w:tcPr>
            <w:tcW w:type="dxa" w:w="3322"/>
          </w:tcPr>
          <w:p>
            <w:pPr>
              <w:pStyle w:val="null3"/>
            </w:pPr>
            <w:r>
              <w:rPr>
                <w:rFonts w:ascii="仿宋_GB2312" w:hAnsi="仿宋_GB2312" w:cs="仿宋_GB2312" w:eastAsia="仿宋_GB2312"/>
              </w:rPr>
              <w:t>供应商按照采购文件要求上传响应文件并进行电子签章</w:t>
            </w:r>
          </w:p>
        </w:tc>
        <w:tc>
          <w:tcPr>
            <w:tcW w:type="dxa" w:w="1661"/>
          </w:tcPr>
          <w:p>
            <w:pPr>
              <w:pStyle w:val="null3"/>
            </w:pPr>
            <w:r>
              <w:rPr>
                <w:rFonts w:ascii="仿宋_GB2312" w:hAnsi="仿宋_GB2312" w:cs="仿宋_GB2312" w:eastAsia="仿宋_GB2312"/>
              </w:rPr>
              <w:t>人员配备 售后服务方案 技术偏离表 磋商保证金 中小企业声明函 业绩 供应商认为有必要说明的其他问题 报价表 重要技术参数响应 项目理解及分析 响应文件封面 资格证明文件 质量保证措施 项目进度计划与措施 商务偏离表 残疾人福利性单位声明函 标的清单 组织管理措施. 供应商承诺书 响应函 监狱企业的证明文件 实施方案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均符合采购文件要求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响应文件的语言及计量单位</w:t>
            </w:r>
          </w:p>
        </w:tc>
        <w:tc>
          <w:tcPr>
            <w:tcW w:type="dxa" w:w="3322"/>
          </w:tcPr>
          <w:p>
            <w:pPr>
              <w:pStyle w:val="null3"/>
            </w:pPr>
            <w:r>
              <w:rPr>
                <w:rFonts w:ascii="仿宋_GB2312" w:hAnsi="仿宋_GB2312" w:cs="仿宋_GB2312" w:eastAsia="仿宋_GB2312"/>
              </w:rPr>
              <w:t>均符合采购文件要求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均符合采购文件要求</w:t>
            </w:r>
          </w:p>
        </w:tc>
        <w:tc>
          <w:tcPr>
            <w:tcW w:type="dxa" w:w="1661"/>
          </w:tcPr>
          <w:p>
            <w:pPr>
              <w:pStyle w:val="null3"/>
            </w:pPr>
            <w:r>
              <w:rPr>
                <w:rFonts w:ascii="仿宋_GB2312" w:hAnsi="仿宋_GB2312" w:cs="仿宋_GB2312" w:eastAsia="仿宋_GB2312"/>
              </w:rPr>
              <w:t>磋商保证金</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重要技术参数响应</w:t>
            </w:r>
          </w:p>
        </w:tc>
        <w:tc>
          <w:tcPr>
            <w:tcW w:type="dxa" w:w="2492"/>
          </w:tcPr>
          <w:p>
            <w:pPr>
              <w:pStyle w:val="null3"/>
            </w:pPr>
            <w:r>
              <w:rPr>
                <w:rFonts w:ascii="仿宋_GB2312" w:hAnsi="仿宋_GB2312" w:cs="仿宋_GB2312" w:eastAsia="仿宋_GB2312"/>
              </w:rPr>
              <w:t>供应商根据采购文件中“▲”技术参数条款响应得分如下： 带“▲”项须提供相应材料证明，缺一项扣除2分，扣完为止。 “▲”号条款需提供国家版权局颁发的相关软件著作权证书或具有认证资质的第三方检测机构出具的软件测评报告的。其中，提供检测报告复印件的，要求测评报告中须体现相关功能。提供软件著作权复印件的，软件著作权人须为同一人且证书申请日期不能迟于本项目公告日期。</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重要技术参数响应</w:t>
            </w:r>
          </w:p>
          <w:p>
            <w:pPr>
              <w:pStyle w:val="null3"/>
            </w:pPr>
            <w:r>
              <w:rPr>
                <w:rFonts w:ascii="仿宋_GB2312" w:hAnsi="仿宋_GB2312" w:cs="仿宋_GB2312" w:eastAsia="仿宋_GB2312"/>
              </w:rPr>
              <w:t>技术偏离表</w:t>
            </w:r>
          </w:p>
        </w:tc>
      </w:tr>
      <w:tr>
        <w:tc>
          <w:tcPr>
            <w:tcW w:type="dxa" w:w="831"/>
            <w:vMerge/>
          </w:tcP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一、评审内容 供应商根据本项目特点提出理解及分析方案，内容包括：①项目背景与意义②项目发展需求③项目重难点分析。 二、评审标准 1.完整性：方案内容全面，有详细描述及其他内容的补充； 2.符合性：符合项目实际特点，合理、恰当； 3.针对性：切合本项目实际情况，叙述清楚，符合客观实际情况； 三、赋分标准（满分9分） ①项目背景与意义：每完全满足一个评审标准得 1分，满分3分； ②项目目标与内容：每完全满足一个评审标准得 1分，满分 3分； ③项目预期效果：每完全满足一个评审标准得 1分，满分 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项目理解及分析</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供应商根据本项目特点提出项目的总体实施方案，内容包括：①项目编制的特点②关键技术问题的认识③关键技术问题的对策措施。 二、评审标准 1.完整性：方案内容全面，有详细描述及其他内容的补充； 2.符合性：符合项目实际特点，合理、恰当； 3.针对性：切合本项目实际情况，叙述清楚，符合客观实际情况； 三、赋分标准（满分 18分） ①项目编制的特点：每完全满足一个评审标准得 2 分，满分 6分； ②关键技术问题的认识：每完全满足一个评审标准得 2 分，满分 6分； ③关键技术问题的对策措施：每完全满足一个评审标准得 2 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项目进度计划与措施</w:t>
            </w:r>
          </w:p>
        </w:tc>
        <w:tc>
          <w:tcPr>
            <w:tcW w:type="dxa" w:w="2492"/>
          </w:tcPr>
          <w:p>
            <w:pPr>
              <w:pStyle w:val="null3"/>
            </w:pPr>
            <w:r>
              <w:rPr>
                <w:rFonts w:ascii="仿宋_GB2312" w:hAnsi="仿宋_GB2312" w:cs="仿宋_GB2312" w:eastAsia="仿宋_GB2312"/>
              </w:rPr>
              <w:t>一、评审内容 供应商根据本项目特点提出项目进度计划与措施，内容包括：①项目进度计划②计划保障措施③关键时间节点把握的情况。 二、评审标准 1.完整性：方案内容全面，有详细描述及其他内容的补充； 2.符合性：符合项目实际特点，合理、恰当； 三、赋分标准（满分 9分） ①项目进度计划：每完全满足一个评审标准得 1.5分，满分3分； ②计划保障措施：每完全满足一个评审标准得 1.5分，满分3分； ③关键时间节点把握的情况：每完全满足一个评审标准得 1.5分，满分3分；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项目进度计划与措施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供应商根据本项目特点提出质量保证措施，内容包括：①质量控制方案②质量体系建设。 二、评审标准 1.完整性：方案内容全面，有详细描述及其他内容的补充； 2.符合性：符合项目实际特点，合理、恰当； 三、赋分标准（满分 6分） ①质量控制方案：每完全满足一个评审标准得1.5分，满分3分； ②质量体系建设：每完全满足一个评审标准得1.5分，满分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w:t>
            </w:r>
          </w:p>
        </w:tc>
      </w:tr>
      <w:tr>
        <w:tc>
          <w:tcPr>
            <w:tcW w:type="dxa" w:w="831"/>
            <w:vMerge/>
          </w:tcPr>
          <w:p/>
        </w:tc>
        <w:tc>
          <w:tcPr>
            <w:tcW w:type="dxa" w:w="1661"/>
          </w:tcPr>
          <w:p>
            <w:pPr>
              <w:pStyle w:val="null3"/>
            </w:pPr>
            <w:r>
              <w:rPr>
                <w:rFonts w:ascii="仿宋_GB2312" w:hAnsi="仿宋_GB2312" w:cs="仿宋_GB2312" w:eastAsia="仿宋_GB2312"/>
              </w:rPr>
              <w:t>组织管理措施</w:t>
            </w:r>
          </w:p>
        </w:tc>
        <w:tc>
          <w:tcPr>
            <w:tcW w:type="dxa" w:w="2492"/>
          </w:tcPr>
          <w:p>
            <w:pPr>
              <w:pStyle w:val="null3"/>
            </w:pPr>
            <w:r>
              <w:rPr>
                <w:rFonts w:ascii="仿宋_GB2312" w:hAnsi="仿宋_GB2312" w:cs="仿宋_GB2312" w:eastAsia="仿宋_GB2312"/>
              </w:rPr>
              <w:t>一、评审内容 供应商根据本项目特点提出项目组织管理措施，内容包括：①项目组织机构②管理措施完善。 二、评审标准 1.完整性：方案内容全面，有详细描述及其他内容的补充； 2.符合性：符合项目实际特点，合理、恰当； 三、赋分标准（满分 6分） ①项目组织机构：每完全满足一个评审标准得1.5分，满分3分； ②管理措施完善：每完全满足一个评审标准得1.5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组织管理措施.</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供应商根据本项目特点提出项目售后服务方案，内容包括：①后续服务内容②服务保证措施。 二、评审标准 1.完整性：方案内容全面，有详细描述及其他内容的补充； 2.符合性：符合项目实际特点，合理、恰当； 三、赋分标准（满分6分） ①后续服务内容：每完全满足一个评审标准得 1.5 分，满分3分； ②服务保证措施：每完全满足一个评审标准得 1.5 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1、项目负责人：具备软件工程相关专业且有硕士或以上学历，并具有软件设计师证书的（计算机技术与软件专业技术资格）得2分。 2、其他技术人员： ①每提供1名具有肿瘤学相关专业且有硕士或硕士以上学历，并具有执业医师资格和中级卫生专业资格人员得1分，共计2分。 ②每提供1名具有药学资格证书且拥有硕士或硕士以上学历、所学专业为药学专业人员的得1分，共计2分。 所有人员需提供身份证、学历证、资格证、2025年任意6个月社保缴纳证明等相关资料，不提供不得分。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供应商提供2023年1月至今已完成的类似业绩（指建设的系统包含肿瘤规范化诊疗及费用合理化平台的项目），提供一份得2分，最高得10分。（提供合同复印件至少一张对应发票、项目验收合格证明材料）。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1、实质性满足磋商文件要求且最后报价最低价为磋商基准价，其价格分为满分10分。其它供应商的价格分统一按照下列公式计算：磋商报价得分=（磋商基准价/最后磋商报价）×10； 2、评审委员会有二分之一以上成员认为供应商的报价明显低于其他响应报价、或明显低于市场价格，使得其响应报价可能低于其成本的，应当要求该单位作出书面说明并提供相应的证明材料。该单位不能合理说明或者不能提供相应证明材料的，由评审委员会认定该供应商以低于成本报价竞标，其供应商响应文件作无效文件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详见附件：重要技术参数响应</w:t>
      </w:r>
    </w:p>
    <w:p>
      <w:pPr>
        <w:pStyle w:val="null3"/>
        <w:ind w:firstLine="960"/>
      </w:pPr>
      <w:r>
        <w:rPr>
          <w:rFonts w:ascii="仿宋_GB2312" w:hAnsi="仿宋_GB2312" w:cs="仿宋_GB2312" w:eastAsia="仿宋_GB2312"/>
        </w:rPr>
        <w:t>详见附件：项目理解及分析</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详见附件：项目进度计划与措施</w:t>
      </w:r>
    </w:p>
    <w:p>
      <w:pPr>
        <w:pStyle w:val="null3"/>
        <w:ind w:firstLine="960"/>
      </w:pPr>
      <w:r>
        <w:rPr>
          <w:rFonts w:ascii="仿宋_GB2312" w:hAnsi="仿宋_GB2312" w:cs="仿宋_GB2312" w:eastAsia="仿宋_GB2312"/>
        </w:rPr>
        <w:t>详见附件：质量保证措施</w:t>
      </w:r>
    </w:p>
    <w:p>
      <w:pPr>
        <w:pStyle w:val="null3"/>
        <w:ind w:firstLine="960"/>
      </w:pPr>
      <w:r>
        <w:rPr>
          <w:rFonts w:ascii="仿宋_GB2312" w:hAnsi="仿宋_GB2312" w:cs="仿宋_GB2312" w:eastAsia="仿宋_GB2312"/>
        </w:rPr>
        <w:t>详见附件：组织管理措施.</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详见附件：磋商保证金</w:t>
      </w:r>
    </w:p>
    <w:p>
      <w:pPr>
        <w:pStyle w:val="null3"/>
        <w:ind w:firstLine="960"/>
      </w:pPr>
      <w:r>
        <w:rPr>
          <w:rFonts w:ascii="仿宋_GB2312" w:hAnsi="仿宋_GB2312" w:cs="仿宋_GB2312" w:eastAsia="仿宋_GB2312"/>
        </w:rPr>
        <w:t>详见附件：供应商认为有必要说明的其他问题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