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版本号：XBZB-2025-18320251222001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实验室检测仪器设备购置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XBZB-2025-183</w:t>
      </w:r>
      <w:r>
        <w:br/>
      </w:r>
      <w:r>
        <w:br/>
      </w:r>
      <w:r>
        <w:br/>
      </w:r>
    </w:p>
    <w:p>
      <w:pPr>
        <w:pStyle w:val="null3"/>
        <w:jc w:val="center"/>
        <w:outlineLvl w:val="2"/>
      </w:pPr>
      <w:r>
        <w:rPr>
          <w:rFonts w:ascii="仿宋_GB2312" w:hAnsi="仿宋_GB2312" w:cs="仿宋_GB2312" w:eastAsia="仿宋_GB2312"/>
          <w:sz w:val="28"/>
          <w:b/>
        </w:rPr>
        <w:t>陕西省电子信息产品监督检验院</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陕西省电子信息产品监督检验院</w:t>
      </w:r>
      <w:r>
        <w:rPr>
          <w:rFonts w:ascii="仿宋_GB2312" w:hAnsi="仿宋_GB2312" w:cs="仿宋_GB2312" w:eastAsia="仿宋_GB2312"/>
        </w:rPr>
        <w:t>委托，拟对</w:t>
      </w:r>
      <w:r>
        <w:rPr>
          <w:rFonts w:ascii="仿宋_GB2312" w:hAnsi="仿宋_GB2312" w:cs="仿宋_GB2312" w:eastAsia="仿宋_GB2312"/>
        </w:rPr>
        <w:t>实验室检测仪器设备购置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实验室检测仪器设备购置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2025年陕西省电子信息产品监督检验院试验室检测仪器设备购置项目中，嵌入式软件测试工具是为满足软件中心测试软件需要测试工具而采购软件。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提供合法有效的统一社会信用代码营业执照（事业单位提供事业单位法人证书，民办非企业单位提供民办非企业单位登记证书，自然人提供身份证明）,供应商需在项目电子化交易系统中按要求上传相应证明文件。</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无所有者权益变动表请提供相应情况说明）及其附注，成立时间至提交响应文件截止时间不足一年的可提供成立后任意时段的资产负债表），或其开标前三个月内基本开户银行出具的资信证明（附基本存款账户信息），或信用担保机构出具的投标担保函（以上三种形式的资料提供任何一种即可），供应商需在项目电子化交易系统中按要求上传相应证明文件。</w:t>
      </w:r>
    </w:p>
    <w:p>
      <w:pPr>
        <w:pStyle w:val="null3"/>
      </w:pPr>
      <w:r>
        <w:rPr>
          <w:rFonts w:ascii="仿宋_GB2312" w:hAnsi="仿宋_GB2312" w:cs="仿宋_GB2312" w:eastAsia="仿宋_GB2312"/>
        </w:rPr>
        <w:t>3、社会保障资金缴纳证明：提供供应商开标前六个月至今任意一个月的社会保障资金缴存证明或社保机构开具的社会保险参保缴费情况证明，供应商需在项目电子化交易系统中按要求上传相应证明文件。</w:t>
      </w:r>
    </w:p>
    <w:p>
      <w:pPr>
        <w:pStyle w:val="null3"/>
      </w:pPr>
      <w:r>
        <w:rPr>
          <w:rFonts w:ascii="仿宋_GB2312" w:hAnsi="仿宋_GB2312" w:cs="仿宋_GB2312" w:eastAsia="仿宋_GB2312"/>
        </w:rPr>
        <w:t>4、税收缴纳证明：提供供应商税款所属时期为开标前六个月至今任意一个月税收缴纳证明材料，供应商需在项目电子化交易系统中按要求上传相应证明文件</w:t>
      </w:r>
    </w:p>
    <w:p>
      <w:pPr>
        <w:pStyle w:val="null3"/>
      </w:pPr>
      <w:r>
        <w:rPr>
          <w:rFonts w:ascii="仿宋_GB2312" w:hAnsi="仿宋_GB2312" w:cs="仿宋_GB2312" w:eastAsia="仿宋_GB2312"/>
        </w:rPr>
        <w:t>5、无重大违法记录声明：供应商参加政府采购活动前三年内在经营活动中没有重大违法记录的书面声明，供应商需在项目电子化交易系统中按要求上传相应证明文件。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6、具有履行合同所必需的设备和专业技术能力书面声明函：供应商具有履行合同所必需的设备和专业技术能力书面声明函,供应商需在项目电子化交易系统中按要求上传相应证明文件。</w:t>
      </w:r>
    </w:p>
    <w:p>
      <w:pPr>
        <w:pStyle w:val="null3"/>
      </w:pPr>
      <w:r>
        <w:rPr>
          <w:rFonts w:ascii="仿宋_GB2312" w:hAnsi="仿宋_GB2312" w:cs="仿宋_GB2312" w:eastAsia="仿宋_GB2312"/>
        </w:rPr>
        <w:t>7、法定代表人授权委托书：被授权人参加响应，须提供法定代表人授权委托书（附法定代表人、被授权人身份证复印件）；法定代表人直接参加响应，须提供法定代表人身份证明，供应商需在项目电子化交易系统中按要求上传相应证明文件。</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陕西省电子信息产品监督检验院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029-87294376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卫梦艺、王富敏、谢娜、王薇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029-85221302/13609126809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办公厅关于招标代理服务收费有关问题的通知》发改办价格〔2003〕857号文计取，不足7000元按7000元收取。成交/中标供应商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陕西省电子信息产品监督检验院</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陕西省电子信息产品监督检验院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陕西省电子信息产品监督检验院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西北国际（陕西）造价管理集团有限公司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联系人：卫梦艺、王富敏、谢娜、王薇</w:t>
      </w:r>
    </w:p>
    <w:p>
      <w:pPr>
        <w:pStyle w:val="null3"/>
      </w:pPr>
      <w:r>
        <w:rPr>
          <w:rFonts w:ascii="仿宋_GB2312" w:hAnsi="仿宋_GB2312" w:cs="仿宋_GB2312" w:eastAsia="仿宋_GB2312"/>
        </w:rPr>
        <w:t>联系电话：029-85221302/13609126809</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2025年陕西省电子信息产品监督检验院试验室检测仪器设备购置项目中，嵌入式软件测试工具是为满足软件中心测试软件需要测试工具而采购软件。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嵌入式软件测试工具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标的名称：嵌入式软件测试工具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一、功能用途</w:t>
            </w:r>
          </w:p>
          <w:p>
            <w:pPr>
              <w:pStyle w:val="null3"/>
            </w:pPr>
            <w:r>
              <w:rPr>
                <w:rFonts w:ascii="仿宋_GB2312" w:hAnsi="仿宋_GB2312" w:cs="仿宋_GB2312" w:eastAsia="仿宋_GB2312"/>
                <w:sz w:val="21"/>
              </w:rPr>
              <w:t>单元测试工具应能够真实运行测试代码，准确地检测出代码中的逻辑错误，确保测试结果的可靠性。</w:t>
            </w:r>
          </w:p>
          <w:p>
            <w:pPr>
              <w:pStyle w:val="null3"/>
            </w:pPr>
            <w:r>
              <w:rPr>
                <w:rFonts w:ascii="仿宋_GB2312" w:hAnsi="仿宋_GB2312" w:cs="仿宋_GB2312" w:eastAsia="仿宋_GB2312"/>
                <w:sz w:val="21"/>
              </w:rPr>
              <w:t>静态分析工具应能够准确地识别出潜在的代码问题，如代码违反的规范等。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二、技术指标</w:t>
            </w:r>
          </w:p>
          <w:p>
            <w:pPr>
              <w:pStyle w:val="null3"/>
            </w:pPr>
            <w:r>
              <w:rPr>
                <w:rFonts w:ascii="仿宋_GB2312" w:hAnsi="仿宋_GB2312" w:cs="仿宋_GB2312" w:eastAsia="仿宋_GB2312"/>
                <w:sz w:val="21"/>
              </w:rPr>
              <w:t>2.1单元测试模块指标要求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C/C++语言单元与集成测试；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支持多种开发环境包括但不限于：</w:t>
            </w:r>
            <w:r>
              <w:rPr>
                <w:rFonts w:ascii="仿宋_GB2312" w:hAnsi="仿宋_GB2312" w:cs="仿宋_GB2312" w:eastAsia="仿宋_GB2312"/>
                <w:sz w:val="21"/>
              </w:rPr>
              <w:t>Qt、Keil、CCS、Vivado、VS等，并且支持自定义配置形式的扩展；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提供可视化操作界面，具备工程创建、代码查看、测试用例设计，用例执行，覆盖率显示等功能；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支持自动提取函数中的信息，包括不限于函数参数，全局变量，桩函数等；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支持对被测函数中调用函数进行打桩，并提供桩函数的接口信息；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C++支持桩函数序列验证，验证各桩函数的调用顺序是否正确;C++支持用例执行崩溃定位跳转，提高用例调试效率；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支持覆盖率分析，包括语句、分支、</w:t>
            </w:r>
            <w:r>
              <w:rPr>
                <w:rFonts w:ascii="仿宋_GB2312" w:hAnsi="仿宋_GB2312" w:cs="仿宋_GB2312" w:eastAsia="仿宋_GB2312"/>
                <w:sz w:val="21"/>
              </w:rPr>
              <w:t>MC/DC的覆盖率分析，并且支持单个用例或用例集的覆盖率叠加分析；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8）提供可扩展的测试运行环境配置机制，支持真实编译执行的方式运行用例，能够在本机、虚拟目标机、真实硬件环境上运行测试用例；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深度支持嵌入式特性，支持</w:t>
            </w:r>
            <w:r>
              <w:rPr>
                <w:rFonts w:ascii="仿宋_GB2312" w:hAnsi="仿宋_GB2312" w:cs="仿宋_GB2312" w:eastAsia="仿宋_GB2312"/>
                <w:sz w:val="21"/>
              </w:rPr>
              <w:t>IO端口多次读写反回不同的值、代码中断等场景；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提供基于源码文本标注和流程图标注的覆盖率可视化视图；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支持调用覆盖率和调用点覆盖率统计，可视化展示函数调用关系图；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支持测试用例数据的导入、导出，可进行归档存储；回归测试中，支持已有用例的复用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支持多测试集功能；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提供明确的故障信息和故障定位，在软件解析代码失败、用例执行失败等异常情况下提供错误信息；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支持自动生成</w:t>
            </w:r>
            <w:r>
              <w:rPr>
                <w:rFonts w:ascii="仿宋_GB2312" w:hAnsi="仿宋_GB2312" w:cs="仿宋_GB2312" w:eastAsia="仿宋_GB2312"/>
                <w:sz w:val="21"/>
              </w:rPr>
              <w:t>WPS、WORD、PDF格式的中文报告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2.2静态缺陷检测模块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C/C++等多种语言静态分析功能；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支持《国军标</w:t>
            </w:r>
            <w:r>
              <w:rPr>
                <w:rFonts w:ascii="仿宋_GB2312" w:hAnsi="仿宋_GB2312" w:cs="仿宋_GB2312" w:eastAsia="仿宋_GB2312"/>
                <w:sz w:val="21"/>
              </w:rPr>
              <w:t>C/C++语言编程安全子集8114-2013》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Python静态分析规则集》、《java静态分析规则集》、《ADA静态分析规则集》、MISRACPP2008、MISRAC2012(C90)、MISRAC2012(C99)、AUTOSARCPP14等编程规范；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支持运行时错误检测，包括数组越界访问、未初始化变量、空指针解引用、整数溢出等；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支持基于已有的规则集自定义规则集；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5）支持嵌入式软件典型故障模式检查；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C++语言项目代码度量，度量项包括：函数可执行行总数、函数定义里面的注释行数、函数扇入、文件中循环最大嵌套层数等；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C语言项目代码度量，度量项包括：代码行、McCabe圈复杂度、基本圈复杂度、函数嵌套层次、注释率、LCSAJ数目、函数调用次数、函数入口数等；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支持查看</w:t>
            </w:r>
            <w:r>
              <w:rPr>
                <w:rFonts w:ascii="仿宋_GB2312" w:hAnsi="仿宋_GB2312" w:cs="仿宋_GB2312" w:eastAsia="仿宋_GB2312"/>
                <w:sz w:val="21"/>
              </w:rPr>
              <w:t>C语言项目被测软件的函数控制流程图、函数调用图、软件架构图；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支持基于浏览器的代码协同审查；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能自动生成</w:t>
            </w:r>
            <w:r>
              <w:rPr>
                <w:rFonts w:ascii="仿宋_GB2312" w:hAnsi="仿宋_GB2312" w:cs="仿宋_GB2312" w:eastAsia="仿宋_GB2312"/>
                <w:sz w:val="21"/>
              </w:rPr>
              <w:t>WORD、PDF、EXCEL格式的中文报告</w:t>
            </w:r>
            <w:r>
              <w:rPr>
                <w:rFonts w:ascii="仿宋_GB2312" w:hAnsi="仿宋_GB2312" w:cs="仿宋_GB2312" w:eastAsia="仿宋_GB2312"/>
                <w:sz w:val="21"/>
              </w:rPr>
              <w:t>。</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三、质量要求</w:t>
            </w:r>
          </w:p>
          <w:p>
            <w:pPr>
              <w:pStyle w:val="null3"/>
            </w:pPr>
            <w:r>
              <w:rPr>
                <w:rFonts w:ascii="仿宋_GB2312" w:hAnsi="仿宋_GB2312" w:cs="仿宋_GB2312" w:eastAsia="仿宋_GB2312"/>
                <w:sz w:val="21"/>
              </w:rPr>
              <w:t>3.1质量控制要求</w:t>
            </w:r>
          </w:p>
          <w:p>
            <w:pPr>
              <w:pStyle w:val="null3"/>
            </w:pPr>
            <w:r>
              <w:rPr>
                <w:rFonts w:ascii="仿宋_GB2312" w:hAnsi="仿宋_GB2312" w:cs="仿宋_GB2312" w:eastAsia="仿宋_GB2312"/>
                <w:sz w:val="21"/>
              </w:rPr>
              <w:t>严格执行双方确认的技术协议中关于质量保证的内容，确保提供的软件产品是原装正版软件。</w:t>
            </w:r>
          </w:p>
          <w:p>
            <w:pPr>
              <w:pStyle w:val="null3"/>
            </w:pPr>
            <w:r>
              <w:rPr>
                <w:rFonts w:ascii="仿宋_GB2312" w:hAnsi="仿宋_GB2312" w:cs="仿宋_GB2312" w:eastAsia="仿宋_GB2312"/>
                <w:sz w:val="21"/>
              </w:rPr>
              <w:t>3.2质量标准要求</w:t>
            </w:r>
          </w:p>
          <w:p>
            <w:pPr>
              <w:pStyle w:val="null3"/>
            </w:pPr>
            <w:r>
              <w:rPr>
                <w:rFonts w:ascii="仿宋_GB2312" w:hAnsi="仿宋_GB2312" w:cs="仿宋_GB2312" w:eastAsia="仿宋_GB2312"/>
                <w:sz w:val="21"/>
              </w:rPr>
              <w:t>依据总体进度计划，产品交付前完成出厂测试，出具《产品合格证》。</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四、服务要求</w:t>
            </w:r>
          </w:p>
          <w:p>
            <w:pPr>
              <w:pStyle w:val="null3"/>
            </w:pPr>
            <w:r>
              <w:rPr>
                <w:rFonts w:ascii="仿宋_GB2312" w:hAnsi="仿宋_GB2312" w:cs="仿宋_GB2312" w:eastAsia="仿宋_GB2312"/>
                <w:sz w:val="21"/>
              </w:rPr>
              <w:t>4.1所有的帮助文档与教程均为中文，并提供详尽的中文版帮助文档及教程，涵盖所有功能介绍和操作指南。</w:t>
            </w:r>
          </w:p>
          <w:p>
            <w:pPr>
              <w:pStyle w:val="null3"/>
            </w:pPr>
            <w:r>
              <w:rPr>
                <w:rFonts w:ascii="仿宋_GB2312" w:hAnsi="仿宋_GB2312" w:cs="仿宋_GB2312" w:eastAsia="仿宋_GB2312"/>
                <w:sz w:val="21"/>
              </w:rPr>
              <w:t>4.2运输、安装、调试的要求</w:t>
            </w:r>
          </w:p>
          <w:p>
            <w:pPr>
              <w:pStyle w:val="null3"/>
            </w:pPr>
            <w:r>
              <w:rPr>
                <w:rFonts w:ascii="仿宋_GB2312" w:hAnsi="仿宋_GB2312" w:cs="仿宋_GB2312" w:eastAsia="仿宋_GB2312"/>
                <w:sz w:val="21"/>
              </w:rPr>
              <w:t>4.2.1</w:t>
            </w:r>
            <w:r>
              <w:rPr>
                <w:rFonts w:ascii="仿宋_GB2312" w:hAnsi="仿宋_GB2312" w:cs="仿宋_GB2312" w:eastAsia="仿宋_GB2312"/>
                <w:sz w:val="21"/>
              </w:rPr>
              <w:t>为保障软件安装环境的准备，</w:t>
            </w:r>
            <w:r>
              <w:rPr>
                <w:rFonts w:ascii="仿宋_GB2312" w:hAnsi="仿宋_GB2312" w:cs="仿宋_GB2312" w:eastAsia="仿宋_GB2312"/>
                <w:sz w:val="21"/>
              </w:rPr>
              <w:t>供应商</w:t>
            </w:r>
            <w:r>
              <w:rPr>
                <w:rFonts w:ascii="仿宋_GB2312" w:hAnsi="仿宋_GB2312" w:cs="仿宋_GB2312" w:eastAsia="仿宋_GB2312"/>
                <w:sz w:val="21"/>
              </w:rPr>
              <w:t>投标时需提供具体软件环境需求。</w:t>
            </w:r>
          </w:p>
          <w:p>
            <w:pPr>
              <w:pStyle w:val="null3"/>
            </w:pPr>
            <w:r>
              <w:rPr>
                <w:rFonts w:ascii="仿宋_GB2312" w:hAnsi="仿宋_GB2312" w:cs="仿宋_GB2312" w:eastAsia="仿宋_GB2312"/>
                <w:sz w:val="21"/>
              </w:rPr>
              <w:t>4.2.2供应商</w:t>
            </w:r>
            <w:r>
              <w:rPr>
                <w:rFonts w:ascii="仿宋_GB2312" w:hAnsi="仿宋_GB2312" w:cs="仿宋_GB2312" w:eastAsia="仿宋_GB2312"/>
                <w:sz w:val="21"/>
              </w:rPr>
              <w:t>提供交付清单内所有物品，由</w:t>
            </w:r>
            <w:r>
              <w:rPr>
                <w:rFonts w:ascii="仿宋_GB2312" w:hAnsi="仿宋_GB2312" w:cs="仿宋_GB2312" w:eastAsia="仿宋_GB2312"/>
                <w:sz w:val="21"/>
              </w:rPr>
              <w:t>供应商</w:t>
            </w:r>
            <w:r>
              <w:rPr>
                <w:rFonts w:ascii="仿宋_GB2312" w:hAnsi="仿宋_GB2312" w:cs="仿宋_GB2312" w:eastAsia="仿宋_GB2312"/>
                <w:sz w:val="21"/>
              </w:rPr>
              <w:t>将产品</w:t>
            </w:r>
            <w:r>
              <w:rPr>
                <w:rFonts w:ascii="仿宋_GB2312" w:hAnsi="仿宋_GB2312" w:cs="仿宋_GB2312" w:eastAsia="仿宋_GB2312"/>
                <w:sz w:val="21"/>
              </w:rPr>
              <w:t>配送</w:t>
            </w:r>
            <w:r>
              <w:rPr>
                <w:rFonts w:ascii="仿宋_GB2312" w:hAnsi="仿宋_GB2312" w:cs="仿宋_GB2312" w:eastAsia="仿宋_GB2312"/>
                <w:sz w:val="21"/>
              </w:rPr>
              <w:t>至</w:t>
            </w:r>
            <w:r>
              <w:rPr>
                <w:rFonts w:ascii="仿宋_GB2312" w:hAnsi="仿宋_GB2312" w:cs="仿宋_GB2312" w:eastAsia="仿宋_GB2312"/>
                <w:sz w:val="21"/>
              </w:rPr>
              <w:t>采购人指定地点</w:t>
            </w:r>
            <w:r>
              <w:rPr>
                <w:rFonts w:ascii="仿宋_GB2312" w:hAnsi="仿宋_GB2312" w:cs="仿宋_GB2312" w:eastAsia="仿宋_GB2312"/>
                <w:sz w:val="21"/>
              </w:rPr>
              <w:t>现场进行安装调试。软件安装调试期间，运输费、材料费及安装人员食宿等全部费用均由</w:t>
            </w:r>
            <w:r>
              <w:rPr>
                <w:rFonts w:ascii="仿宋_GB2312" w:hAnsi="仿宋_GB2312" w:cs="仿宋_GB2312" w:eastAsia="仿宋_GB2312"/>
                <w:sz w:val="21"/>
              </w:rPr>
              <w:t>成交供应商</w:t>
            </w:r>
            <w:r>
              <w:rPr>
                <w:rFonts w:ascii="仿宋_GB2312" w:hAnsi="仿宋_GB2312" w:cs="仿宋_GB2312" w:eastAsia="仿宋_GB2312"/>
                <w:sz w:val="21"/>
              </w:rPr>
              <w:t>负责。</w:t>
            </w:r>
          </w:p>
          <w:p>
            <w:pPr>
              <w:pStyle w:val="null3"/>
            </w:pPr>
            <w:r>
              <w:rPr>
                <w:rFonts w:ascii="仿宋_GB2312" w:hAnsi="仿宋_GB2312" w:cs="仿宋_GB2312" w:eastAsia="仿宋_GB2312"/>
                <w:sz w:val="21"/>
              </w:rPr>
              <w:t>供应商</w:t>
            </w:r>
            <w:r>
              <w:rPr>
                <w:rFonts w:ascii="仿宋_GB2312" w:hAnsi="仿宋_GB2312" w:cs="仿宋_GB2312" w:eastAsia="仿宋_GB2312"/>
                <w:sz w:val="21"/>
              </w:rPr>
              <w:t>完成</w:t>
            </w:r>
            <w:r>
              <w:rPr>
                <w:rFonts w:ascii="仿宋_GB2312" w:hAnsi="仿宋_GB2312" w:cs="仿宋_GB2312" w:eastAsia="仿宋_GB2312"/>
                <w:sz w:val="21"/>
              </w:rPr>
              <w:t>供货、</w:t>
            </w:r>
            <w:r>
              <w:rPr>
                <w:rFonts w:ascii="仿宋_GB2312" w:hAnsi="仿宋_GB2312" w:cs="仿宋_GB2312" w:eastAsia="仿宋_GB2312"/>
                <w:sz w:val="21"/>
              </w:rPr>
              <w:t>安装部署、调试、培训后提交验收申请，期间出现的问题，</w:t>
            </w:r>
            <w:r>
              <w:rPr>
                <w:rFonts w:ascii="仿宋_GB2312" w:hAnsi="仿宋_GB2312" w:cs="仿宋_GB2312" w:eastAsia="仿宋_GB2312"/>
                <w:sz w:val="21"/>
              </w:rPr>
              <w:t>成交供应商</w:t>
            </w:r>
            <w:r>
              <w:rPr>
                <w:rFonts w:ascii="仿宋_GB2312" w:hAnsi="仿宋_GB2312" w:cs="仿宋_GB2312" w:eastAsia="仿宋_GB2312"/>
                <w:sz w:val="21"/>
              </w:rPr>
              <w:t>应在</w:t>
            </w:r>
            <w:r>
              <w:rPr>
                <w:rFonts w:ascii="仿宋_GB2312" w:hAnsi="仿宋_GB2312" w:cs="仿宋_GB2312" w:eastAsia="仿宋_GB2312"/>
                <w:sz w:val="21"/>
              </w:rPr>
              <w:t>2日内解决。</w:t>
            </w:r>
          </w:p>
          <w:p>
            <w:pPr>
              <w:pStyle w:val="null3"/>
            </w:pPr>
            <w:r>
              <w:rPr>
                <w:rFonts w:ascii="仿宋_GB2312" w:hAnsi="仿宋_GB2312" w:cs="仿宋_GB2312" w:eastAsia="仿宋_GB2312"/>
                <w:sz w:val="21"/>
              </w:rPr>
              <w:t>4.3培训的要求</w:t>
            </w:r>
          </w:p>
          <w:p>
            <w:pPr>
              <w:pStyle w:val="null3"/>
            </w:pPr>
            <w:r>
              <w:rPr>
                <w:rFonts w:ascii="仿宋_GB2312" w:hAnsi="仿宋_GB2312" w:cs="仿宋_GB2312" w:eastAsia="仿宋_GB2312"/>
                <w:sz w:val="21"/>
              </w:rPr>
              <w:t>4.3.1供应商</w:t>
            </w:r>
            <w:r>
              <w:rPr>
                <w:rFonts w:ascii="仿宋_GB2312" w:hAnsi="仿宋_GB2312" w:cs="仿宋_GB2312" w:eastAsia="仿宋_GB2312"/>
                <w:sz w:val="21"/>
              </w:rPr>
              <w:t>交货前需编制相关的培训资料，对</w:t>
            </w:r>
            <w:r>
              <w:rPr>
                <w:rFonts w:ascii="仿宋_GB2312" w:hAnsi="仿宋_GB2312" w:cs="仿宋_GB2312" w:eastAsia="仿宋_GB2312"/>
                <w:sz w:val="21"/>
              </w:rPr>
              <w:t>采购人</w:t>
            </w:r>
            <w:r>
              <w:rPr>
                <w:rFonts w:ascii="仿宋_GB2312" w:hAnsi="仿宋_GB2312" w:cs="仿宋_GB2312" w:eastAsia="仿宋_GB2312"/>
                <w:sz w:val="21"/>
              </w:rPr>
              <w:t>使用人员进</w:t>
            </w:r>
            <w:r>
              <w:rPr>
                <w:rFonts w:ascii="仿宋_GB2312" w:hAnsi="仿宋_GB2312" w:cs="仿宋_GB2312" w:eastAsia="仿宋_GB2312"/>
                <w:sz w:val="21"/>
              </w:rPr>
              <w:t>行必要的操作的培训，使其具备能独立正确操作软件的能力</w:t>
            </w:r>
            <w:r>
              <w:rPr>
                <w:rFonts w:ascii="仿宋_GB2312" w:hAnsi="仿宋_GB2312" w:cs="仿宋_GB2312" w:eastAsia="仿宋_GB2312"/>
                <w:sz w:val="21"/>
              </w:rPr>
              <w:t>；</w:t>
            </w:r>
          </w:p>
          <w:p>
            <w:pPr>
              <w:pStyle w:val="null3"/>
            </w:pPr>
            <w:r>
              <w:rPr>
                <w:rFonts w:ascii="仿宋_GB2312" w:hAnsi="仿宋_GB2312" w:cs="仿宋_GB2312" w:eastAsia="仿宋_GB2312"/>
                <w:sz w:val="21"/>
              </w:rPr>
              <w:t>4.3.2投标产品的生产厂商需</w:t>
            </w:r>
            <w:r>
              <w:rPr>
                <w:rFonts w:ascii="仿宋_GB2312" w:hAnsi="仿宋_GB2312" w:cs="仿宋_GB2312" w:eastAsia="仿宋_GB2312"/>
                <w:sz w:val="21"/>
              </w:rPr>
              <w:t>根据</w:t>
            </w:r>
            <w:r>
              <w:rPr>
                <w:rFonts w:ascii="仿宋_GB2312" w:hAnsi="仿宋_GB2312" w:cs="仿宋_GB2312" w:eastAsia="仿宋_GB2312"/>
                <w:sz w:val="21"/>
              </w:rPr>
              <w:t>采购人</w:t>
            </w:r>
            <w:r>
              <w:rPr>
                <w:rFonts w:ascii="仿宋_GB2312" w:hAnsi="仿宋_GB2312" w:cs="仿宋_GB2312" w:eastAsia="仿宋_GB2312"/>
                <w:sz w:val="21"/>
              </w:rPr>
              <w:t>实际情况，提供不少于</w:t>
            </w:r>
            <w:r>
              <w:rPr>
                <w:rFonts w:ascii="仿宋_GB2312" w:hAnsi="仿宋_GB2312" w:cs="仿宋_GB2312" w:eastAsia="仿宋_GB2312"/>
                <w:sz w:val="21"/>
              </w:rPr>
              <w:t>2次现场培训，每次培训不少于1人天</w:t>
            </w:r>
            <w:r>
              <w:rPr>
                <w:rFonts w:ascii="仿宋_GB2312" w:hAnsi="仿宋_GB2312" w:cs="仿宋_GB2312" w:eastAsia="仿宋_GB2312"/>
                <w:sz w:val="21"/>
              </w:rPr>
              <w:t>时。提供</w:t>
            </w:r>
            <w:r>
              <w:rPr>
                <w:rFonts w:ascii="仿宋_GB2312" w:hAnsi="仿宋_GB2312" w:cs="仿宋_GB2312" w:eastAsia="仿宋_GB2312"/>
                <w:sz w:val="21"/>
              </w:rPr>
              <w:t>demo项目用于演示工具的功能及使用方法</w:t>
            </w:r>
            <w:r>
              <w:rPr>
                <w:rFonts w:ascii="仿宋_GB2312" w:hAnsi="仿宋_GB2312" w:cs="仿宋_GB2312" w:eastAsia="仿宋_GB2312"/>
                <w:sz w:val="21"/>
              </w:rPr>
              <w:t>。</w:t>
            </w:r>
          </w:p>
          <w:p>
            <w:pPr>
              <w:pStyle w:val="null3"/>
            </w:pPr>
            <w:r>
              <w:rPr>
                <w:rFonts w:ascii="仿宋_GB2312" w:hAnsi="仿宋_GB2312" w:cs="仿宋_GB2312" w:eastAsia="仿宋_GB2312"/>
                <w:sz w:val="21"/>
              </w:rPr>
              <w:t>4.4其他要求</w:t>
            </w:r>
          </w:p>
          <w:p>
            <w:pPr>
              <w:pStyle w:val="null3"/>
            </w:pPr>
            <w:r>
              <w:rPr>
                <w:rFonts w:ascii="仿宋_GB2312" w:hAnsi="仿宋_GB2312" w:cs="仿宋_GB2312" w:eastAsia="仿宋_GB2312"/>
                <w:sz w:val="21"/>
              </w:rPr>
              <w:t>4.4.1提供三年的技术支持，为验收合格之日起三年，时间从最终验收合格报告签署完成日期起开始计算。提供电话、短信、微信、邮件、客户现场处理等方式的7*24小时技术支持，提供问题解决、故障处理、功能咨询等技术支持；</w:t>
            </w:r>
          </w:p>
          <w:p>
            <w:pPr>
              <w:pStyle w:val="null3"/>
            </w:pPr>
            <w:r>
              <w:rPr>
                <w:rFonts w:ascii="仿宋_GB2312" w:hAnsi="仿宋_GB2312" w:cs="仿宋_GB2312" w:eastAsia="仿宋_GB2312"/>
                <w:sz w:val="21"/>
              </w:rPr>
              <w:t>4.4.2响应时间：供应商在4小时内响应技术问题，并给出限时解</w:t>
            </w:r>
            <w:r>
              <w:rPr>
                <w:rFonts w:ascii="仿宋_GB2312" w:hAnsi="仿宋_GB2312" w:cs="仿宋_GB2312" w:eastAsia="仿宋_GB2312"/>
                <w:sz w:val="21"/>
              </w:rPr>
              <w:t>决日期；</w:t>
            </w:r>
          </w:p>
          <w:p>
            <w:pPr>
              <w:pStyle w:val="null3"/>
            </w:pPr>
            <w:r>
              <w:rPr>
                <w:rFonts w:ascii="仿宋_GB2312" w:hAnsi="仿宋_GB2312" w:cs="仿宋_GB2312" w:eastAsia="仿宋_GB2312"/>
                <w:sz w:val="21"/>
              </w:rPr>
              <w:t>4.4.3维护保养：由供应商提供维护。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合同生效后1个月内在指定地点完成布署、调试、培训。</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成交供应商按照合同约定，系统工具到达使用现场，外包装验收合格后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成交供应商按照合同约定，完成调试、培训工作，完成交付后3个月内提供交付清单内所有物品并通过验收，经采购人验收合格后，供应商持验收书、发票（按合同总价开采购人）、成交通知书、供货合同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1.验收依据：(1)合同文本；(2)国家有关的验收标准及规范；(3)采购文件；(4)响应文件；（5）技术要求。2.其他以签订的采购合同约定为准。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三年，软件永久买断。质保期内软件版本免费升级，供应商有责任及时向采购人通知软件升级情况。</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1.“第三章 3.4商务要求”所列内容均为实质性条款。2.成交供应商在领取成交通知书时需提供纸质版响应文件贰份、电子版U盘贰份。纸质版响应文件应与政府采购电子化交易平台中上传的内容保持一致。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民办非企业单位提供民办非企业单位登记证书，自然人提供身份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无所有者权益变动表请提供相应情况说明）及其附注，成立时间至提交响应文件截止时间不足一年的可提供成立后任意时段的资产负债表），或其开标前三个月内基本开户银行出具的资信证明（附基本存款账户信息），或信用担保机构出具的投标担保函（以上三种形式的资料提供任何一种即可），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提供供应商开标前六个月至今任意一个月的社会保障资金缴存证明或社保机构开具的社会保险参保缴费情况证明，供应商需在项目电子化交易系统中按要求上传相应证明文件。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提供供应商税款所属时期为开标前六个月至今任意一个月税收缴纳证明材料，供应商需在项目电子化交易系统中按要求上传相应证明文件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供应商具有履行合同所必需的设备和专业技术能力书面声明函,供应商需在项目电子化交易系统中按要求上传相应证明文件。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被授权人参加响应，须提供法定代表人授权委托书（附法定代表人、被授权人身份证复印件）；法定代表人直接参加响应，须提供法定代表人身份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谈判报价表.docx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2）响应文件格式：应符合采购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谈判方案说明书.docx 中小企业声明函 残疾人福利性单位声明函 标的清单 报价表 资格证明材料.docx 响应函 商务条款偏离表.docx 其他.docx 监狱企业的证明文件 谈判报价表.docx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谈判方案说明书.docx 中小企业声明函 残疾人福利性单位声明函 标的清单 报价表 资格证明材料.docx 响应函 商务条款偏离表.docx 其他.docx 监狱企业的证明文件 谈判报价表.docx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（1）对采购文件响应程度：实质性条款全部响应，不能有采购人不能接受的附加条件；（2）交货时间：应满足采购文件要求；（3）交货地点：采购人指定地点；（4）投标有效期：应满足采购文件要求。</w:t>
            </w:r>
          </w:p>
        </w:tc>
        <w:tc>
          <w:tcPr>
            <w:tcW w:type="dxa" w:w="1661"/>
          </w:tcPr>
          <w:p>
            <w:pPr>
              <w:pStyle w:val="null3"/>
            </w:pPr>
            <w:r>
              <w:rPr>
                <w:rFonts w:ascii="仿宋_GB2312" w:hAnsi="仿宋_GB2312" w:cs="仿宋_GB2312" w:eastAsia="仿宋_GB2312"/>
              </w:rPr>
              <w:t>谈判方案说明书.docx 响应函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不存在法律、法规和采购文件规定的其他无效谈判情形。</w:t>
            </w:r>
          </w:p>
        </w:tc>
        <w:tc>
          <w:tcPr>
            <w:tcW w:type="dxa" w:w="1661"/>
          </w:tcPr>
          <w:p>
            <w:pPr>
              <w:pStyle w:val="null3"/>
            </w:pPr>
            <w:r>
              <w:rPr>
                <w:rFonts w:ascii="仿宋_GB2312" w:hAnsi="仿宋_GB2312" w:cs="仿宋_GB2312" w:eastAsia="仿宋_GB2312"/>
              </w:rPr>
              <w:t>响应文件封面 谈判方案说明书.docx 中小企业声明函 残疾人福利性单位声明函 标的清单 报价表 资格证明材料.docx 响应函 商务条款偏离表.docx 其他.docx 监狱企业的证明文件 谈判报价表.docx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