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版本号：2025SBZ03720251226001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2025年度应急救灾装备采购项目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2025SBZ037</w:t>
      </w:r>
      <w:r>
        <w:br/>
      </w:r>
      <w:r>
        <w:br/>
      </w:r>
      <w:r>
        <w:br/>
      </w:r>
    </w:p>
    <w:p>
      <w:pPr>
        <w:pStyle w:val="null3"/>
        <w:jc w:val="center"/>
        <w:outlineLvl w:val="2"/>
      </w:pPr>
      <w:r>
        <w:rPr>
          <w:rFonts w:ascii="仿宋_GB2312" w:hAnsi="仿宋_GB2312" w:cs="仿宋_GB2312" w:eastAsia="仿宋_GB2312"/>
          <w:sz w:val="28"/>
          <w:b/>
        </w:rPr>
        <w:t>陕西省应急管理厅</w:t>
      </w:r>
    </w:p>
    <w:p>
      <w:pPr>
        <w:pStyle w:val="null3"/>
        <w:jc w:val="center"/>
        <w:outlineLvl w:val="2"/>
      </w:pPr>
      <w:r>
        <w:rPr>
          <w:rFonts w:ascii="仿宋_GB2312" w:hAnsi="仿宋_GB2312" w:cs="仿宋_GB2312" w:eastAsia="仿宋_GB2312"/>
          <w:sz w:val="28"/>
          <w:b/>
        </w:rPr>
        <w:t>陕西兵咨建设咨询有限公司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陕西兵咨建设咨询有限公司</w:t>
      </w:r>
      <w:r>
        <w:rPr>
          <w:rFonts w:ascii="仿宋_GB2312" w:hAnsi="仿宋_GB2312" w:cs="仿宋_GB2312" w:eastAsia="仿宋_GB2312"/>
        </w:rPr>
        <w:t>（以下简称“代理机构”）受</w:t>
      </w:r>
      <w:r>
        <w:rPr>
          <w:rFonts w:ascii="仿宋_GB2312" w:hAnsi="仿宋_GB2312" w:cs="仿宋_GB2312" w:eastAsia="仿宋_GB2312"/>
        </w:rPr>
        <w:t>陕西省应急管理厅</w:t>
      </w:r>
      <w:r>
        <w:rPr>
          <w:rFonts w:ascii="仿宋_GB2312" w:hAnsi="仿宋_GB2312" w:cs="仿宋_GB2312" w:eastAsia="仿宋_GB2312"/>
        </w:rPr>
        <w:t>委托，拟对</w:t>
      </w:r>
      <w:r>
        <w:rPr>
          <w:rFonts w:ascii="仿宋_GB2312" w:hAnsi="仿宋_GB2312" w:cs="仿宋_GB2312" w:eastAsia="仿宋_GB2312"/>
        </w:rPr>
        <w:t>2025年度应急救灾装备采购项目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2025SBZ037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2025年度应急救灾装备采购项目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为了保障自然灾害发生后，省级工作人员能够迅速有效地开展现场指挥，组织灾害救援救助和灾情核查等工作，根据实际工作需要，计划采购应急救灾装备购置项目。本项目投资额约为189.00万元。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采购包1（2025年度应急救灾装备采购项目）：属于专门面向中小企业采购。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p>
      <w:pPr>
        <w:pStyle w:val="null3"/>
      </w:pPr>
      <w:r>
        <w:rPr>
          <w:rFonts w:ascii="仿宋_GB2312" w:hAnsi="仿宋_GB2312" w:cs="仿宋_GB2312" w:eastAsia="仿宋_GB2312"/>
        </w:rPr>
        <w:t>2、法定代表人（主要负责人）身份证明/授权委托书：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p>
      <w:pPr>
        <w:pStyle w:val="null3"/>
      </w:pPr>
      <w:r>
        <w:rPr>
          <w:rFonts w:ascii="仿宋_GB2312" w:hAnsi="仿宋_GB2312" w:cs="仿宋_GB2312" w:eastAsia="仿宋_GB2312"/>
        </w:rPr>
        <w:t>3、财务状况报告：提供2024年度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供应商提供自2025年6月1日起至投标文件递交截止之日止已缴存的任意一个月的社会保障资金缴存证明或社保机构开具的社会保险参保缴费情况证明；依法不需要缴纳社会保障资金的应提供相关文件证明。社保缴纳所属期为2025年6月1 日至投标文件递交截止之日。</w:t>
      </w:r>
    </w:p>
    <w:p>
      <w:pPr>
        <w:pStyle w:val="null3"/>
      </w:pPr>
      <w:r>
        <w:rPr>
          <w:rFonts w:ascii="仿宋_GB2312" w:hAnsi="仿宋_GB2312" w:cs="仿宋_GB2312" w:eastAsia="仿宋_GB2312"/>
        </w:rPr>
        <w:t>5、税收缴纳证明：供应商提供自2025年6月1日起至投标文件递交截止之日止已缴纳的任意一个月完税凭证或税务机关开具的完税证明（营业税、企业所得税、增值税任意一种即可）；依法免税的应提供相关文件证明。所属期税款为“0”而无缴纳凭证的，应有经税务机关盖章认可的零申报说明或由供应商自行出具并加盖公章的零申报说明等证明。税收缴纳所属期为2025年6月1 日至投标文件递交截止之日。</w:t>
      </w:r>
    </w:p>
    <w:p>
      <w:pPr>
        <w:pStyle w:val="null3"/>
      </w:pPr>
      <w:r>
        <w:rPr>
          <w:rFonts w:ascii="仿宋_GB2312" w:hAnsi="仿宋_GB2312" w:cs="仿宋_GB2312" w:eastAsia="仿宋_GB2312"/>
        </w:rPr>
        <w:t>6、信用记录：供应商不得被“信用中国”网站（www.creditchina.gov.cn）列入重大税收违法失信主体；不得被中国执行信息公开网（http://zxgk.court.gov.cn/shixin）列入失信被执行人；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7、无重大违法记录声明：供应商参加政府采购活动前三年内在经营活动中没有重大违法记录的书面声明。</w:t>
      </w:r>
    </w:p>
    <w:p>
      <w:pPr>
        <w:pStyle w:val="null3"/>
      </w:pPr>
      <w:r>
        <w:rPr>
          <w:rFonts w:ascii="仿宋_GB2312" w:hAnsi="仿宋_GB2312" w:cs="仿宋_GB2312" w:eastAsia="仿宋_GB2312"/>
        </w:rPr>
        <w:t>8、承诺：提供具有履行本合同所必需的设备和专业技术能力的说明或承诺。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陕西省应急管理厅</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白振军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029-61166193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陕西兵咨建设咨询有限公司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陕西省西安市雁塔区南二环西段82号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周慧敏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029-87671160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采购包1：1,890,000.00元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代理服务费收费标准：1.代理服务费按约定由成交供应商支付，在领取成交通知书前，由成交供应商向采购代理机构缴纳代理服务费，一次性付清。 2.代理服务费参考国家计委《招标代理服 务收 费管理暂行办法》（计价格〔2002〕1980号）、国家发展改革委办公厅《关于招标代理服务 收费有关问题的通知》（发改办价格〔2003〕857号）规定的标准执行。 3.代理服务费缴纳账户： 开户名称：陕西兵咨建设咨询有限公司 开户银行：中国银行大雁塔支行 银行账号：102807339680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陕西省应急管理厅</w:t>
      </w:r>
      <w:r>
        <w:rPr>
          <w:rFonts w:ascii="仿宋_GB2312" w:hAnsi="仿宋_GB2312" w:cs="仿宋_GB2312" w:eastAsia="仿宋_GB2312"/>
        </w:rPr>
        <w:t>和</w:t>
      </w:r>
      <w:r>
        <w:rPr>
          <w:rFonts w:ascii="仿宋_GB2312" w:hAnsi="仿宋_GB2312" w:cs="仿宋_GB2312" w:eastAsia="仿宋_GB2312"/>
        </w:rPr>
        <w:t>陕西兵咨建设咨询有限公司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陕西省应急管理厅</w:t>
      </w:r>
      <w:r>
        <w:rPr>
          <w:rFonts w:ascii="仿宋_GB2312" w:hAnsi="仿宋_GB2312" w:cs="仿宋_GB2312" w:eastAsia="仿宋_GB2312"/>
        </w:rPr>
        <w:t>负责解释。除上述招标文件内容，其他内容由</w:t>
      </w:r>
      <w:r>
        <w:rPr>
          <w:rFonts w:ascii="仿宋_GB2312" w:hAnsi="仿宋_GB2312" w:cs="仿宋_GB2312" w:eastAsia="仿宋_GB2312"/>
        </w:rPr>
        <w:t>陕西兵咨建设咨询有限公司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陕西省应急管理厅</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陕西兵咨建设咨询有限公司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1、乙方保证所供产品进货渠道正规，货物为全新的、未使用过的，完全符合国家规范及甲乙双方确定的投标文件质量的要求。 2、乙方提交的货物符合投标文件中所记载的详细配置、技术参数、参数及性能，并应附有此类货物完整、详细的技术资料和说明文件。 3、最终以签订的合同为准。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陕西兵咨建设咨询有限公司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陕西兵咨建设咨询有限公司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陕西兵咨建设咨询有限公司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联系人：招标代理部</w:t>
      </w:r>
    </w:p>
    <w:p>
      <w:pPr>
        <w:pStyle w:val="null3"/>
      </w:pPr>
      <w:r>
        <w:rPr>
          <w:rFonts w:ascii="仿宋_GB2312" w:hAnsi="仿宋_GB2312" w:cs="仿宋_GB2312" w:eastAsia="仿宋_GB2312"/>
        </w:rPr>
        <w:t>联系电话：029-87671160</w:t>
      </w:r>
    </w:p>
    <w:p>
      <w:pPr>
        <w:pStyle w:val="null3"/>
      </w:pPr>
      <w:r>
        <w:rPr>
          <w:rFonts w:ascii="仿宋_GB2312" w:hAnsi="仿宋_GB2312" w:cs="仿宋_GB2312" w:eastAsia="仿宋_GB2312"/>
        </w:rPr>
        <w:t>地址：西安市雁塔区南二环西段82号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为了保障自然灾害发生后，省级工作人员能够迅速有效地开展现场指挥，组织灾害救援救助和灾情核查等工作，根据实际工作需要，计划采购应急救灾装备购置项目。本项目投资额约为189.00万元。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1,890,000.00</w:t>
      </w:r>
    </w:p>
    <w:p>
      <w:pPr>
        <w:pStyle w:val="null3"/>
      </w:pPr>
      <w:r>
        <w:rPr>
          <w:rFonts w:ascii="仿宋_GB2312" w:hAnsi="仿宋_GB2312" w:cs="仿宋_GB2312" w:eastAsia="仿宋_GB2312"/>
        </w:rPr>
        <w:t>采购包最高限价（元）: 1,890,000.00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救灾个人防护装备、个人防雨装备、户外工作服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标的名称：救灾个人防护装备、个人防雨装备、户外工作服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详见参数附件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合同签订后10个日历日内完成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项目资金在省财政厅下达我厅后，所有货物送达甲方指定地点，并清点验收合格后，一次性支付合同总价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（一）现场验收：甲方根据合同要求，在乙方和甲方相关负责人双方同时在场的情况下，进行验收，确认产地、规格、型号和数量。 （二）验收合格后，填写政府采购项目履约验收单（一式肆份）作为对货物的最终认可。</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（一）乙方提供货物的规格、等级、质量必须与招标文件及投标文件内容一致，货物必须是全新未使用过的，保证质量可靠、进货渠道正规。 （二）所提供的货物符合国家现行标准和相应的技术规范，这些标准和技术规范应为合同签订之日为止最新公布发行的标准和技术规范，包括但不限于： GB 18401-2010《国家纺织产品基本安全技术规范》 GB/T 22849-2014《针织T恤衫》 GB/T 32614-2016《户外运动服装 冲锋衣》 GB/T 5453-1997《纺织品 织物透气性的测定》 GB/T 4745-2012《纺织品 防水性能的检测和评价 沾水法》 Q/320105 BCTY04-2019《户外包》 FZ/T 81007-2022 《单、夹服装》 FZ/T 82002-2016 《缝制帽》 QB/T 1616-2005 《运动手套》 QB/T 4553-2013 《轻型登山鞋》 （三）质保期为自货物验收合格后 3年 ，质保期内货物出现质量问题乙方无条件予以更换，费用由乙方承担。 （四）货物面料、成品等符合国家及行业标准合格品要求。 （五）提供服装的标准码系列样衣，与甲方商议后，以确定服装的标准码系列数量。 （六）乙方提供的货物，若发生侵权而产生的一切后果，由乙方负责。甲方保留索赔权。</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（一）合同中未约定的，按《民法典》中的相关条款执行。 （二）未按合同要求提供货物或货物质量不能满足合同要求，甲方应当将乙方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 （三）甲方无正当理由拒收货物时，需向乙方赔付本合同总价款的 1 %的违约金。甲方由于自身原因延期付款的，则每日按照逾期金额的 1 %向乙方偿付违约金。 （四）乙方逾期交货每超过一天，扣除乙方合同总价款的 1 %。若乙方原因逾期交货超过10天的，甲方有权拒收并解除本合同。 （五）如果乙方提交货物经甲方验收不符合合同约定或规定标准的，甲方有权拒收，乙方应当在甲方指定期限内更换。 （六）本合同中各条款约定的违约金可自甲方未支付的款项直接扣除，违约金若不能弥补甲方损失的，乙方还应赔偿甲方损失。 争议解决： （一）本合同在履行过程中发生的争议，由甲、乙双方当事人协商解决，协商不成的按下列第2种方式解决： 1、提交西安仲裁委员会仲裁； 2、依法向甲方所在地人民法院起诉。 （二）本条款为独立条款，本合同的无效、变更、解除和终止均不影响本条款的效力。</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法定代表人（主要负责人）身份证明/授权委托书</w:t>
            </w:r>
          </w:p>
        </w:tc>
        <w:tc>
          <w:tcPr>
            <w:tcW w:type="dxa" w:w="3322"/>
          </w:tcPr>
          <w:p>
            <w:pPr>
              <w:pStyle w:val="null3"/>
            </w:pPr>
            <w:r>
              <w:rPr>
                <w:rFonts w:ascii="仿宋_GB2312" w:hAnsi="仿宋_GB2312" w:cs="仿宋_GB2312" w:eastAsia="仿宋_GB2312"/>
              </w:rPr>
              <w:t>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自2025年6月1日起至投标文件递交截止之日止已缴存的任意一个月的社会保障资金缴存证明或社保机构开具的社会保险参保缴费情况证明；依法不需要缴纳社会保障资金的应提供相关文件证明。社保缴纳所属期为2025年6月1 日至投标文件递交截止之日。</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自2025年6月1日起至投标文件递交截止之日止已缴纳的任意一个月完税凭证或税务机关开具的完税证明（营业税、企业所得税、增值税任意一种即可）；依法免税的应提供相关文件证明。所属期税款为“0”而无缴纳凭证的，应有经税务机关盖章认可的零申报说明或由供应商自行出具并加盖公章的零申报说明等证明。税收缴纳所属期为2025年6月1 日至投标文件递交截止之日。</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被“信用中国”网站（www.creditchina.gov.cn）列入重大税收违法失信主体；不得被中国执行信息公开网（http://zxgk.court.gov.cn/shixin）列入失信被执行人；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（1）投标文件的签字、盖章：投标文件上法定代表人或其委托代理人的签字齐全并加盖单位公章；投标文件应逐页加盖单位公章，且公章清晰可见； （2）投标文件格式：应符合招标文件要求； （3）报价唯一：只能有一个有效报价，不得提交选择性报价，且报价不超过采购预算。</w:t>
            </w:r>
          </w:p>
        </w:tc>
        <w:tc>
          <w:tcPr>
            <w:tcW w:type="dxa" w:w="1661"/>
          </w:tcPr>
          <w:p>
            <w:pPr>
              <w:pStyle w:val="null3"/>
            </w:pPr>
            <w:r>
              <w:rPr>
                <w:rFonts w:ascii="仿宋_GB2312" w:hAnsi="仿宋_GB2312" w:cs="仿宋_GB2312" w:eastAsia="仿宋_GB2312"/>
              </w:rPr>
              <w:t>开标一览表 资格证明文件 产品技术参数表 合同条款偏离表 投标函 中小企业声明函 残疾人福利性单位声明函 技术方案 标的清单 投标文件封面 其他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投标文件内容：投标文件内容齐全、无遗漏。</w:t>
            </w:r>
          </w:p>
        </w:tc>
        <w:tc>
          <w:tcPr>
            <w:tcW w:type="dxa" w:w="1661"/>
          </w:tcPr>
          <w:p>
            <w:pPr>
              <w:pStyle w:val="null3"/>
            </w:pPr>
            <w:r>
              <w:rPr>
                <w:rFonts w:ascii="仿宋_GB2312" w:hAnsi="仿宋_GB2312" w:cs="仿宋_GB2312" w:eastAsia="仿宋_GB2312"/>
              </w:rPr>
              <w:t>开标一览表 资格证明文件 产品技术参数表 合同条款偏离表 投标函 中小企业声明函 残疾人福利性单位声明函 技术方案 标的清单 投标文件封面 其他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（1）对招标文件响应程度：要求全面响应，不能有任何招标人不能接受的附加条件；（2）拟提供产品响应程度：应满足招标文件要求；（3） 交货时间：应满足招标文件要求；（4 ） 服务地点：采购人指定位置；（5）招标有效期：应满足招标文件要求；</w:t>
            </w:r>
          </w:p>
        </w:tc>
        <w:tc>
          <w:tcPr>
            <w:tcW w:type="dxa" w:w="1661"/>
          </w:tcPr>
          <w:p>
            <w:pPr>
              <w:pStyle w:val="null3"/>
            </w:pPr>
            <w:r>
              <w:rPr>
                <w:rFonts w:ascii="仿宋_GB2312" w:hAnsi="仿宋_GB2312" w:cs="仿宋_GB2312" w:eastAsia="仿宋_GB2312"/>
              </w:rPr>
              <w:t>开标一览表 资格证明文件 产品技术参数表 合同条款偏离表 投标函 中小企业声明函 残疾人福利性单位声明函 技术方案 标的清单 投标文件封面 其他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投标产品技术参数评分</w:t>
            </w:r>
          </w:p>
        </w:tc>
        <w:tc>
          <w:tcPr>
            <w:tcW w:type="dxa" w:w="2492"/>
          </w:tcPr>
          <w:p>
            <w:pPr>
              <w:pStyle w:val="null3"/>
            </w:pPr>
            <w:r>
              <w:rPr>
                <w:rFonts w:ascii="仿宋_GB2312" w:hAnsi="仿宋_GB2312" w:cs="仿宋_GB2312" w:eastAsia="仿宋_GB2312"/>
              </w:rPr>
              <w:t>投标人对所投产品技术参数逐条进行明确响应，并提供相关证明材料。其中：技术指标响应全部满足或优于招标文件技术参数要求得26分，每出现一项负偏离扣0.2分，扣完为止。 供应商需提供包括但不限于技术白皮书、产品彩页、检测报告等证明材料。 未提供不得分。</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能提供所投货物的合法来源渠道直接或间接证明文件，证明文件能形成完整证据链（包括但不限于销售协议、代理协议、原厂授权等）提供所有所需设备的完整证据链的得满分7分，每少1项扣0.5分，扣完为止。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供应商根据招标内容和要求提供产品供货方案，内容主要包括①总体供货方案阐述②进度计划安排及保障措施。根据供货计划安排的合理性、与本项目实际情况的符合性，进度保证措施的可靠性、可实施性进行评分。 以上内容完善详细、合理可行的，得12分，每存在一条有缺陷的，扣1.5分，扣完为止。其他或未提供不得分。 （本项所称“缺陷”是指内容不完整或缺少关键点；不适用本项目特性、套用其他项目内容；对同一问题前后表述矛盾；存在逻辑漏洞、科学原理或常识错误；不利于本项目目标的实现等任意一种情形）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具有2022年1月至今（时间以合同签订为准）的类似项目业绩证明文件，复印件加盖公章，每提供一份得2.5分，满分5分。 注：业绩需为类似项目业绩。</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针对本项目提供①应急方案及措施、②质量问题补救措施、③服装配送措施、④验收措施。 1.应急方案及措施等共 4项，投标人提供的方案内容完全满足采购需求，每项计2分，最高计8分； 2.提供的方案内容基本满足采购需求，每项计1分； 3.提供的方案内容不详尽或不适用于本项目每项计0.5 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售后服务内容包含：①售后服务体系情况、②售后服务响应时间与处理时间、③售后服务内容和操作流程、④售后服务保证措施。 1.售后服务共 4 项，投标人提供的方案内容完全满足采购需求，每项计3分，最高计 12 分； 2.提供的方案内容基本满足采购需求，每项计 2 分； 3.提供的方案内容不详尽或不适用于本项目每项计1 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最低有效报价得30分。以本次最低有效投标报价为基准价，投标报价得分=（基准价÷投标报价）×30。 注：对于非专门面向中小企业的项目，对小型和微型企业、监狱企业、福利企业等产品的价格给予 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详见附件：合同条款偏离表</w:t>
      </w:r>
    </w:p>
    <w:p>
      <w:pPr>
        <w:pStyle w:val="null3"/>
        <w:ind w:firstLine="960"/>
      </w:pPr>
      <w:r>
        <w:rPr>
          <w:rFonts w:ascii="仿宋_GB2312" w:hAnsi="仿宋_GB2312" w:cs="仿宋_GB2312" w:eastAsia="仿宋_GB2312"/>
        </w:rPr>
        <w:t>详见附件：其他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详见附件：采购项目供货合同（空白版）(1).docx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