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版本号：SZY20252110175-120251223001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基础医学院多功能酶标仪设备采购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SZY20252110175-1</w:t>
      </w:r>
      <w:r>
        <w:br/>
      </w:r>
      <w:r>
        <w:br/>
      </w:r>
      <w:r>
        <w:br/>
      </w:r>
    </w:p>
    <w:p>
      <w:pPr>
        <w:pStyle w:val="null3"/>
        <w:jc w:val="center"/>
        <w:outlineLvl w:val="2"/>
      </w:pPr>
      <w:r>
        <w:rPr>
          <w:rFonts w:ascii="仿宋_GB2312" w:hAnsi="仿宋_GB2312" w:cs="仿宋_GB2312" w:eastAsia="仿宋_GB2312"/>
          <w:sz w:val="28"/>
          <w:b/>
        </w:rPr>
        <w:t>陕西中医药大学</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陕西中医药大学</w:t>
      </w:r>
      <w:r>
        <w:rPr>
          <w:rFonts w:ascii="仿宋_GB2312" w:hAnsi="仿宋_GB2312" w:cs="仿宋_GB2312" w:eastAsia="仿宋_GB2312"/>
        </w:rPr>
        <w:t>委托，拟对</w:t>
      </w:r>
      <w:r>
        <w:rPr>
          <w:rFonts w:ascii="仿宋_GB2312" w:hAnsi="仿宋_GB2312" w:cs="仿宋_GB2312" w:eastAsia="仿宋_GB2312"/>
        </w:rPr>
        <w:t>基础医学院多功能酶标仪设备采购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SZY20252110175-1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基础医学院多功能酶标仪设备采购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采购多功能酶标仪1台，包括相应配套软件和电脑。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采购包1（基础医学院多功能酶标仪设备采购）：属于专门面向中小企业采购。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投标人应授权合法的人员参加投标全过程，其中法定代表人直接参加投标的，须出具法定代表人身份证明、法人身份证原件及复印件；法定代表人授权代表参加投标的，须出具法定代表人授权书、授权代表身份证原件及复印件；</w:t>
      </w:r>
    </w:p>
    <w:p>
      <w:pPr>
        <w:pStyle w:val="null3"/>
      </w:pPr>
      <w:r>
        <w:rPr>
          <w:rFonts w:ascii="仿宋_GB2312" w:hAnsi="仿宋_GB2312" w:cs="仿宋_GB2312" w:eastAsia="仿宋_GB2312"/>
        </w:rPr>
        <w:t>2、信誉要求：投标人不得为列入信用中国(www.creditchina.gov.cn)的重大税收违法失信主体名单或中国执行信息公开网（http：//zxgk.court.gov.cn/shixin/）的失信被执行人名单记录或中国政府采购网(www.ccgp.gov.cn)的政府采购严重违法失信行为记录名单；</w:t>
      </w:r>
    </w:p>
    <w:p>
      <w:pPr>
        <w:pStyle w:val="null3"/>
      </w:pPr>
      <w:r>
        <w:rPr>
          <w:rFonts w:ascii="仿宋_GB2312" w:hAnsi="仿宋_GB2312" w:cs="仿宋_GB2312" w:eastAsia="仿宋_GB2312"/>
        </w:rPr>
        <w:t>3、非联合体投标：本项目不接受联合体投标。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咸阳世纪大道1号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029-38185083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西安市莲湖区未央路99号荣民中央国际10层1001室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辛苗 邓小玉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029-83669393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说明：缴纳形式：支持现金转账、银行保函等。中标人需在规定时间内 缴纳履约保证金至采购人。若为现金形式，通过银行转账缴至指 定账户，到账后采购人会开具电子或纸质收据；若为银行保函等 非现金形式，需将原件交由采购人查验保管，同时提交加盖相关 印章的复印件备案。 退还方式：在货物安装调试完成并经最终验收合格后三年内退还。 履约方需准备退付申请文件，即退付履约保证金的报告或函件、 保证金收据原件或电子票据、项目验收合格材料等，若以保函形 式缴纳，还需提供企业承诺书。采购人审核材料无误后，办理退 还手续。现金形式的保证金通常按原缴纳渠道原路无息退还；银 行保函等非现金形式，则由采购人出具相关证明解除保证责任。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代理服务费收费标准：代理服务费收费标准：根据委托代理协议约定，收取代理服务费4000元。 招标代理服务费交纳信息 银行户名：中轩项目管理有限公司 开户银行：中国农业银行股份有限公司西安文景路支行 账 号：26116401040011067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w:t>
      </w:r>
      <w:r>
        <w:rPr>
          <w:rFonts w:ascii="仿宋_GB2312" w:hAnsi="仿宋_GB2312" w:cs="仿宋_GB2312" w:eastAsia="仿宋_GB2312"/>
        </w:rPr>
        <w:t>负责解释。除上述招标文件内容，其他内容由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达采购人指定交付地点并安装完毕后，双方共同进行验收。2、项目验收分初验和终验：（1）初验：完成安装调试，由采购人有关部门按照合同、招标文件、投标文件等资料要求，进行验收。（2）终验：项目完成初验，并正常运行后，采购人组织终验，若验收时系统运行状态稳定，各项功能均符合要求，则判定为验收通过，合格后签发《终验合格单》。按中标人投标文件的承诺，并不低于国家相关标准。（3）对于中标人要交付的服务，双方须在工作日内初验收，采购人对中标人提交的服务依据招标文件上的技术要求和国家有关质量标准进行现场初步验收，外观、说明书、包装符合招标文件技术要求的，给予签收，初步验收不合格的不予签收。根据招标文件要求、投标文件及合同约定执行。3、验收标准:（1）产品外形有无破损；（2）产品运行是否稳定；（3）功能是否实现；（4）产品是否符合招标文件中规定的技术要求；（5）相关法律法规规定的验收标准。4、双方在进行验收后应签署书面验收报告，在验收中，如果发现产品与本合同规定不符，采购人有权拒收，有权拒付全部或部分货款。5、如产品存在隐蔽瑕疵或质量问题，采购人在验收后仍有权向中标人提出异议。6、验收依据：（1）合同文本、合同附件、招标文件、投标文件、原厂质保文件。（2）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联系人：辛苗 邓小玉</w:t>
      </w:r>
    </w:p>
    <w:p>
      <w:pPr>
        <w:pStyle w:val="null3"/>
      </w:pPr>
      <w:r>
        <w:rPr>
          <w:rFonts w:ascii="仿宋_GB2312" w:hAnsi="仿宋_GB2312" w:cs="仿宋_GB2312" w:eastAsia="仿宋_GB2312"/>
        </w:rPr>
        <w:t>联系电话：029-83669393</w:t>
      </w:r>
    </w:p>
    <w:p>
      <w:pPr>
        <w:pStyle w:val="null3"/>
      </w:pPr>
      <w:r>
        <w:rPr>
          <w:rFonts w:ascii="仿宋_GB2312" w:hAnsi="仿宋_GB2312" w:cs="仿宋_GB2312" w:eastAsia="仿宋_GB2312"/>
        </w:rPr>
        <w:t>地址：西安市莲湖区未央路99号荣民中央国际10层1001室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采购多功能酶标仪 1 台，包括相应配套软件和电脑。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陕西中医药大学基础医学院多功能酶标仪设备采购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标的名称：陕西中医药大学基础医学院多功能酶标仪设备采购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多功能酶标仪1台，包括相应配套软件和电脑。</w:t>
            </w:r>
          </w:p>
          <w:p>
            <w:pPr>
              <w:pStyle w:val="null3"/>
            </w:pPr>
            <w:r>
              <w:rPr>
                <w:rFonts w:ascii="仿宋_GB2312" w:hAnsi="仿宋_GB2312" w:cs="仿宋_GB2312" w:eastAsia="仿宋_GB2312"/>
                <w:sz w:val="19"/>
                <w:color w:val="000000"/>
              </w:rPr>
              <w:t>1.具有检测吸收光功能；</w:t>
            </w:r>
          </w:p>
          <w:p>
            <w:pPr>
              <w:pStyle w:val="null3"/>
            </w:pPr>
            <w:r>
              <w:rPr>
                <w:rFonts w:ascii="仿宋_GB2312" w:hAnsi="仿宋_GB2312" w:cs="仿宋_GB2312" w:eastAsia="仿宋_GB2312"/>
                <w:sz w:val="19"/>
                <w:color w:val="000000"/>
              </w:rPr>
              <w:t>2.具有检测荧光功能：具有光栅和滤光片(3组具有红光、绿光、蓝</w:t>
            </w:r>
            <w:r>
              <w:rPr>
                <w:rFonts w:ascii="仿宋_GB2312" w:hAnsi="仿宋_GB2312" w:cs="仿宋_GB2312" w:eastAsia="仿宋_GB2312"/>
                <w:sz w:val="19"/>
                <w:color w:val="000000"/>
              </w:rPr>
              <w:t>光)两种模式；</w:t>
            </w:r>
          </w:p>
          <w:p>
            <w:pPr>
              <w:pStyle w:val="null3"/>
            </w:pPr>
            <w:r>
              <w:rPr>
                <w:rFonts w:ascii="仿宋_GB2312" w:hAnsi="仿宋_GB2312" w:cs="仿宋_GB2312" w:eastAsia="仿宋_GB2312"/>
                <w:sz w:val="19"/>
                <w:color w:val="000000"/>
              </w:rPr>
              <w:t>3.具有检测化学发光功能；</w:t>
            </w:r>
          </w:p>
          <w:p>
            <w:pPr>
              <w:pStyle w:val="null3"/>
            </w:pPr>
            <w:r>
              <w:rPr>
                <w:rFonts w:ascii="仿宋_GB2312" w:hAnsi="仿宋_GB2312" w:cs="仿宋_GB2312" w:eastAsia="仿宋_GB2312"/>
                <w:sz w:val="19"/>
                <w:color w:val="000000"/>
              </w:rPr>
              <w:t>4.具有时间分辨荧光功能；</w:t>
            </w:r>
          </w:p>
          <w:p>
            <w:pPr>
              <w:pStyle w:val="null3"/>
            </w:pPr>
            <w:r>
              <w:rPr>
                <w:rFonts w:ascii="仿宋_GB2312" w:hAnsi="仿宋_GB2312" w:cs="仿宋_GB2312" w:eastAsia="仿宋_GB2312"/>
                <w:sz w:val="19"/>
                <w:color w:val="000000"/>
              </w:rPr>
              <w:t>5.具有荧光偏振功能；</w:t>
            </w:r>
          </w:p>
          <w:p>
            <w:pPr>
              <w:pStyle w:val="null3"/>
            </w:pPr>
            <w:r>
              <w:rPr>
                <w:rFonts w:ascii="仿宋_GB2312" w:hAnsi="仿宋_GB2312" w:cs="仿宋_GB2312" w:eastAsia="仿宋_GB2312"/>
                <w:sz w:val="19"/>
                <w:color w:val="000000"/>
              </w:rPr>
              <w:t>6.具有温控孵育功能；</w:t>
            </w:r>
          </w:p>
          <w:p>
            <w:pPr>
              <w:pStyle w:val="null3"/>
            </w:pPr>
            <w:r>
              <w:rPr>
                <w:rFonts w:ascii="仿宋_GB2312" w:hAnsi="仿宋_GB2312" w:cs="仿宋_GB2312" w:eastAsia="仿宋_GB2312"/>
                <w:sz w:val="19"/>
                <w:color w:val="000000"/>
              </w:rPr>
              <w:t>7.具有震荡混匀功能；</w:t>
            </w:r>
          </w:p>
          <w:p>
            <w:pPr>
              <w:pStyle w:val="null3"/>
            </w:pPr>
            <w:r>
              <w:rPr>
                <w:rFonts w:ascii="仿宋_GB2312" w:hAnsi="仿宋_GB2312" w:cs="仿宋_GB2312" w:eastAsia="仿宋_GB2312"/>
                <w:sz w:val="19"/>
                <w:color w:val="000000"/>
              </w:rPr>
              <w:t>8.具有自动同步加液功能：至少2个；</w:t>
            </w:r>
          </w:p>
          <w:p>
            <w:pPr>
              <w:pStyle w:val="null3"/>
            </w:pPr>
            <w:r>
              <w:rPr>
                <w:rFonts w:ascii="仿宋_GB2312" w:hAnsi="仿宋_GB2312" w:cs="仿宋_GB2312" w:eastAsia="仿宋_GB2312"/>
                <w:sz w:val="19"/>
                <w:color w:val="000000"/>
              </w:rPr>
              <w:t>9.具有相应分析数据软件；</w:t>
            </w:r>
          </w:p>
          <w:p>
            <w:pPr>
              <w:pStyle w:val="null3"/>
            </w:pPr>
            <w:r>
              <w:rPr>
                <w:rFonts w:ascii="仿宋_GB2312" w:hAnsi="仿宋_GB2312" w:cs="仿宋_GB2312" w:eastAsia="仿宋_GB2312"/>
                <w:sz w:val="19"/>
                <w:color w:val="000000"/>
              </w:rPr>
              <w:t>10.可进行核酸检测260nm/蛋白检测280nm/ELISA/细胞活力/酶动</w:t>
            </w:r>
            <w:r>
              <w:rPr>
                <w:rFonts w:ascii="仿宋_GB2312" w:hAnsi="仿宋_GB2312" w:cs="仿宋_GB2312" w:eastAsia="仿宋_GB2312"/>
                <w:sz w:val="19"/>
                <w:color w:val="000000"/>
              </w:rPr>
              <w:t>力学/MTT/细胞生长曲线/活性氧检测//细胞凋亡/报告基因检测等生物</w:t>
            </w:r>
            <w:r>
              <w:rPr>
                <w:rFonts w:ascii="仿宋_GB2312" w:hAnsi="仿宋_GB2312" w:cs="仿宋_GB2312" w:eastAsia="仿宋_GB2312"/>
                <w:sz w:val="19"/>
                <w:color w:val="000000"/>
              </w:rPr>
              <w:t>学相关实验检测。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陕西中医药大学基础医学院分子生物学实验室。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货物安装调试完成并经初步验收合格后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货物经最终验收合格后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1、产品到达采购人指定交付地点并安装完毕后，双方共同进行验收。2、项目验收分初验和终验： （1）初验：完成安装调试，由采购人有关部门按照合同、招标文件、投标文件等资料要求，进行验收。（2）终验：项目完成初验，并正常运行后，采购人组织终验，若验收时系统运行状态稳定，各项功能均符合要求，则判定为验收通过，合格后签发《终验合格单》。按中标人投标文件的承诺，并不低于国家相关标准。（3）对于中标人要交付的服务，双方须在工作日内初验收，采购人对中标人提交的服务依据招标文件上的技术要求和国家有关质量标准进行现场初步验收， 外观、说明书、包装符合招标文件技术要求的，给予签收，初步验收不合格的不予签收。根据招标文件要求、投标文件及合同约定执行。3、验收标准:（1）产品外形有无破损；（2）产品运行是否稳定；（3）功能是否实现；（4）产品是否符合招标文件中规定的技术要求；（5）相关法律法规规定的验收标准。4、双方在进行验收后应签署书面验收报告，在验收中，如果发现产品与本合同规定不符，采购人有权拒收，有权拒付全部或部分货款。5、如产品存在隐蔽瑕疵或质量问题，采购人在验收后仍有权向中标人提出异议。6、验收依据：（1）合同文本、合同附件、招标文件、投标文件、原厂质保文件。（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1、包装方式 （1）除合同另有规定外，中标人提供的全部货物，均应确保安全无损运抵采购人指定地点。 （2）每一个包装箱内应附一份详细装箱单。 2、运输方式 （1）中标人负责所有货物的运输。确保货物安全、完整到达使用地点，运杂费用包含在总价内，包括货物从供货地点到使用地点的运输费、保险费、搬运费、安装调试费等。 （2）所有货物在运输、搬运、安装、调试的过程中，造成采购人损失的，由中标人为采购人修复或更新。</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 5 年。2、质保期内：（人为损坏除外）自货物验收合格之日起开始计算，质保期 5 年，产品上门维修和更新。若保质期内机器损坏，则无理由换新，同时延长一年质保期。保修期内“三包”责任所产生的费用由中标人承担。3、中标人须保证提供货物符合招标人的有关标准；保证货物是全新、未使用过的原装合格产品。4、质保期满后：设备提供上门维护、维修服务，仅收取零配件费用，免人工费和差旅费等其他任何费用。厂家对软件提供终 身技术支持，软件免费升级，不收取任何费用。设备在使用寿命周期内，为确保货物的正常使用，公司派技术人员定期（每年至少一次）对设备进行全面维护和调试。</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中标人未全面履行合同义务或者发生违约，采购人有权终止合同，依法向中标人进行经济索赔，并报请政府采购监督管理机关进行相应的行政处罚。采购人违约的，应当赔偿给中标人造成的经济损失。具体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1、合同价款 （1）合同总价包括：货物总价、货物运达指定地点的运杂费（含运输费、保险费）、安装调试费、检测验收费、培训费、其他（含人工费、向税务部门交纳的各项税费等）等至交付采购人使用的一切含税费用。 （2）本合同总价还包含中标人应当提供的伴随服务和售后服务费用。 （3）确定各类产品的单价，总价不得超出合同总价，同时不受市场价格变化因素的影响。 2、中标人在领取中标通知书前，须向采购代理机构提供纸质版投标文件2套，且提供的投标文件必须与在陕西省政府采购综合管理平台的项目电子化交易系统中递交的电子投标文件内容一致，纸质版投标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须具有独立承担民事责任能力的法人、其他组织或自然人，并出具合法有效的营业执照或事业单位法人证书等国家规定的相关证明，自然人参与的提供其身份证明；投标人须提供2024年12月至今任意一个月已缴纳完税凭证或税务机关开具的完税证明，依法免税或无须缴纳税收的投标人应提供相关文件证明；投标人须提供2024年12月至今任意一个月已缴纳的社会保障资金缴存单据或社保机构开具的社会保险参保缴费情况证明，依法不需要缴纳社会保障资金的投标人应提供相关证明；投标人须提供具备履行合同所必需的设备和专业技术能力的证明材料(由投标人参照项目需求提供说明材料或者承诺)；投标人须提供参加采购活动前三年内在经营活动中没有重大违法记录的书面声明；投标人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信用担保机构出具的投标担保函；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定代表人身份证明、法人身份证原件及复印件；法定代表人授权代表参加投标的，须出具法定代表人授权书、授权代表身份证原件及复印件；</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投标人不得为列入信用中国(www.creditchina.gov.cn)的重大税收违法失信主体名单或中国执行信息公开网（http：//zxgk.court.gov.cn/shixin/）的失信被执行人名单记录或中国政府采购网(www.ccgp.gov.cn)的政府采购严重违法失信行为记录名单；</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投标文件中的项目名称、项目编号</w:t>
            </w:r>
          </w:p>
        </w:tc>
        <w:tc>
          <w:tcPr>
            <w:tcW w:type="dxa" w:w="3322"/>
          </w:tcPr>
          <w:p>
            <w:pPr>
              <w:pStyle w:val="null3"/>
            </w:pPr>
            <w:r>
              <w:rPr>
                <w:rFonts w:ascii="仿宋_GB2312" w:hAnsi="仿宋_GB2312" w:cs="仿宋_GB2312" w:eastAsia="仿宋_GB2312"/>
              </w:rPr>
              <w:t>与所投项目名称、项目编号完全一致(合格)；与所投项目名称或项目编号不一致(不合格)。</w:t>
            </w:r>
          </w:p>
        </w:tc>
        <w:tc>
          <w:tcPr>
            <w:tcW w:type="dxa" w:w="1661"/>
          </w:tcPr>
          <w:p>
            <w:pPr>
              <w:pStyle w:val="null3"/>
            </w:pPr>
            <w:r>
              <w:rPr>
                <w:rFonts w:ascii="仿宋_GB2312" w:hAnsi="仿宋_GB2312" w:cs="仿宋_GB2312" w:eastAsia="仿宋_GB2312"/>
              </w:rPr>
              <w:t>投标方案.docx 开标一览表 中小企业声明函 商务应答表 产品技术参数表 投标人应提交的相关资格证明文件.docx 投标函 节能环保、环境标志产品.docx 残疾人福利性单位声明函 标的清单 投标文件封面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投标报价唯一且投标报价未超过最高限价(合格)；投出现有选择性报价或投标报价超过最高限价(不合格)。</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 投标文件的签署、盖章不满足招标文件要求(不合格)。</w:t>
            </w:r>
          </w:p>
        </w:tc>
        <w:tc>
          <w:tcPr>
            <w:tcW w:type="dxa" w:w="1661"/>
          </w:tcPr>
          <w:p>
            <w:pPr>
              <w:pStyle w:val="null3"/>
            </w:pPr>
            <w:r>
              <w:rPr>
                <w:rFonts w:ascii="仿宋_GB2312" w:hAnsi="仿宋_GB2312" w:cs="仿宋_GB2312" w:eastAsia="仿宋_GB2312"/>
              </w:rPr>
              <w:t>开标一览表 投标方案.docx 中小企业声明函 商务应答表 产品技术参数表 投标人应提交的相关资格证明文件.docx 投标函 残疾人福利性单位声明函 节能环保、环境标志产品.docx 标的清单 投标文件封面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 投标文件无投标有效期或有效期不满足招标文件要求(不合格)。</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交货期满足招标文件要求（合格）；交货期不满足招标文件要求（不合格）。</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实质性要求和商务要求响应且没有采购人不能接受的附加条件（合格）；实质性要求和商务要求未响应且有采购人不能接受的附加条件（不合格）。</w:t>
            </w:r>
          </w:p>
        </w:tc>
        <w:tc>
          <w:tcPr>
            <w:tcW w:type="dxa" w:w="1661"/>
          </w:tcPr>
          <w:p>
            <w:pPr>
              <w:pStyle w:val="null3"/>
            </w:pPr>
            <w:r>
              <w:rPr>
                <w:rFonts w:ascii="仿宋_GB2312" w:hAnsi="仿宋_GB2312" w:cs="仿宋_GB2312" w:eastAsia="仿宋_GB2312"/>
              </w:rPr>
              <w:t>开标一览表 投标方案.docx 中小企业声明函 商务应答表 产品技术参数表 投标人应提交的相关资格证明文件.docx 投标函 残疾人福利性单位声明函 节能环保、环境标志产品.docx 标的清单 投标文件封面 投标人承诺书.docx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 。</w:t>
            </w:r>
          </w:p>
        </w:tc>
        <w:tc>
          <w:tcPr>
            <w:tcW w:type="dxa" w:w="1661"/>
          </w:tcPr>
          <w:p>
            <w:pPr>
              <w:pStyle w:val="null3"/>
            </w:pPr>
            <w:r>
              <w:rPr>
                <w:rFonts w:ascii="仿宋_GB2312" w:hAnsi="仿宋_GB2312" w:cs="仿宋_GB2312" w:eastAsia="仿宋_GB2312"/>
              </w:rPr>
              <w:t>开标一览表 投标方案.docx 中小企业声明函 商务应答表 产品技术参数表 投标人应提交的相关资格证明文件.docx 投标函 残疾人福利性单位声明函 节能环保、环境标志产品.docx 标的清单 投标文件封面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投标人所提供的产品技术参数、性能完全满足招标文件要求，没有负偏离的得基本分20分，每负偏离一项扣 2 分，扣完为止。 注：根据投标人提供所投产品的技术指标（功能、参数）及相应的证明材料（包括但不限于产品彩页、测试报告、官网和功能截图）等，评审委员会对供应商技术响应情况进行评判，经评审专家审定得分。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一、评审内容：投标人针对本项目提出具体的实施方案，方案内容包含：①安装调试技术方案；②质量保证措施；③进度安排；④供货方案；⑤验收方案； 二、评审标准：1.完整性：方案须全面，对评审内容中的各项要求有详细描述；2.可实施性：切合本项目实际情况，实施步骤清晰、合理；3.针对性：方案能够紧扣本项目所采购设备种类等实际情况，内容科学合理； 三、赋分依据：上述5项评审内容全部满足评审标准得8分；每有一个评审内容缺项扣1.6分，扣完为止；每有一项评审内容存在缺陷，扣0.5分。说明：缺陷是指内容没有结合项目实际需求、虽有内容但不完善、内容表述前后不一致、套用其他项目方案或与项目需求不匹配及其他不利于项目实施等情形中的任意一种。</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一、评审内容：投标人针对本项目提出具体的培训方案，主要负责为使用单位培训操作维护人员，方案内容包含：①培训内容；②培训时间安排；③培训结果考核； 二、评审标准：1、完整性：方案须全面，对评审内容中的各项要求有详细描述；2、可实施性：切合本项目实际情况，实施步骤清晰、合理；3、针对性：方案能够紧扣本项目所采购设备种类等实际情况，内容科学合理； 三、赋分依据：上述 3 项评审内容全部满足评审标准得 9 分；每有一个评审内容缺项扣 3 分，扣完为止；每有一项评审内容存在缺陷，扣 2 分。说明：缺陷是指内容没有结合项目实际需求、虽有内容但不完善、内容表述前后不一致、套用其他项目方案或与项目需求不匹配及其他不利于项目实施等情形中的任意一种。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在招标文件要求质保期的基础上每增加一年得1.5分，最高得3分。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根据投标人提供的产品合法来源渠道证明资料（包括但不限于销售协议、代理协议、原厂授权等）进行评审。提供证明资料得 3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节能环保、环境 标志产品</w:t>
            </w:r>
          </w:p>
        </w:tc>
        <w:tc>
          <w:tcPr>
            <w:tcW w:type="dxa" w:w="2492"/>
          </w:tcPr>
          <w:p>
            <w:pPr>
              <w:pStyle w:val="null3"/>
            </w:pPr>
            <w:r>
              <w:rPr>
                <w:rFonts w:ascii="仿宋_GB2312" w:hAnsi="仿宋_GB2312" w:cs="仿宋_GB2312" w:eastAsia="仿宋_GB2312"/>
              </w:rPr>
              <w:t>投标人所投产品为节能产品及环保标志清单中的产品的得1分。评审依据：证明材料包括但不限于节能产品认证证书及环境标志产品认证证书的相关证明材料。</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具体的售后服务方案，方案内容包含：①售后服务及维护保障体系；②售后服务人员组织；③备品、备件供应计划；④针对产品质量及系统响应问题的响应时间：在接到用户报修通知后 2 小时内响应，4 小时内到达现场，24 小时内解决问题。 二、评审标准：1、完整性：方案须全面，对评审内容中的各项要求有详细描述；2、可实施性：切合本项目实际情况，实施步骤清晰、合理；3、针对性：方案能够紧扣本项目所采购设备种类等实际情况，内容科学合理；4、第④项由评标委员会横向比较，综合评审； 三、赋分依据：上述 4 项评审内容全部满足评审标准得 16 分；每有一个评审内容缺项扣 4 分，扣完为止；每有一项评审内容存在缺陷，扣 2 分。说明：缺陷是指内容没有结合项目实际需求、虽有内容但不完善、内容表述前后不一致、套用其他项目方案或与项目需求配及其他不利于项目实施等情形中的任意一种。</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具有2022年至今以来类似项目业绩，以合同签订的时间为准，并加盖投标人公章的合同关键页（应包含合同首页、采购内容、金额所在页和签字盖章页及合同签订日期页等），每提供1个得1分，最多5分。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满足招标文件要求且投标价格最低的投标报价为投标基准价，其价格分为满分。其他投标人的价格分统一按照下列公式计算：投标报价得分=（投标基准价/投标报价）×35%×100。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详见附件：节能环保、环境标志产品.docx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详见附件：投标人应提交的相关资格证明文件.docx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