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EBBC5">
      <w:pPr>
        <w:pStyle w:val="4"/>
        <w:jc w:val="center"/>
        <w:outlineLvl w:val="1"/>
        <w:rPr>
          <w:color w:val="auto"/>
        </w:rPr>
      </w:pPr>
      <w:bookmarkStart w:id="51" w:name="_GoBack"/>
      <w:r>
        <w:rPr>
          <w:rFonts w:ascii="仿宋_GB2312" w:hAnsi="仿宋_GB2312" w:eastAsia="仿宋_GB2312" w:cs="仿宋_GB2312"/>
          <w:b/>
          <w:color w:val="auto"/>
          <w:sz w:val="36"/>
        </w:rPr>
        <w:t>拟签订合同文本</w:t>
      </w:r>
    </w:p>
    <w:bookmarkEnd w:id="51"/>
    <w:p w14:paraId="56484FAB">
      <w:pPr>
        <w:spacing w:line="420" w:lineRule="exact"/>
        <w:ind w:firstLine="482" w:firstLineChars="200"/>
        <w:jc w:val="center"/>
        <w:rPr>
          <w:rFonts w:ascii="宋体" w:hAnsi="宋体" w:eastAsia="仿宋"/>
          <w:b/>
          <w:color w:val="auto"/>
          <w:sz w:val="24"/>
          <w:szCs w:val="24"/>
        </w:rPr>
      </w:pPr>
      <w:bookmarkStart w:id="0" w:name="_Toc4646"/>
      <w:bookmarkStart w:id="1" w:name="_Toc10446"/>
      <w:r>
        <w:rPr>
          <w:rFonts w:hint="eastAsia" w:ascii="宋体" w:hAnsi="宋体" w:eastAsia="仿宋"/>
          <w:b/>
          <w:color w:val="auto"/>
          <w:sz w:val="24"/>
          <w:szCs w:val="24"/>
        </w:rPr>
        <w:t>（合同模板仅供参考，除实质性内容外，其他内容以实际签订为准）</w:t>
      </w:r>
    </w:p>
    <w:bookmarkEnd w:id="0"/>
    <w:bookmarkEnd w:id="1"/>
    <w:p w14:paraId="5C521AEA">
      <w:pPr>
        <w:pStyle w:val="5"/>
        <w:keepNext w:val="0"/>
        <w:keepLines w:val="0"/>
        <w:pageBreakBefore w:val="0"/>
        <w:kinsoku/>
        <w:wordWrap/>
        <w:overflowPunct/>
        <w:topLinePunct w:val="0"/>
        <w:bidi w:val="0"/>
        <w:spacing w:line="240" w:lineRule="auto"/>
        <w:ind w:firstLine="480"/>
        <w:textAlignment w:val="auto"/>
        <w:rPr>
          <w:rFonts w:eastAsia="仿宋" w:cs="Times New Roman"/>
          <w:color w:val="auto"/>
          <w:sz w:val="20"/>
          <w:szCs w:val="20"/>
        </w:rPr>
      </w:pPr>
      <w:bookmarkStart w:id="2" w:name="_Toc497206293"/>
      <w:bookmarkStart w:id="3" w:name="_Toc497206183"/>
      <w:r>
        <w:rPr>
          <w:rFonts w:hint="eastAsia" w:eastAsia="仿宋" w:cs="Times New Roman"/>
          <w:color w:val="auto"/>
          <w:sz w:val="20"/>
          <w:szCs w:val="20"/>
        </w:rPr>
        <w:t xml:space="preserve">合同编号：                                         </w:t>
      </w:r>
    </w:p>
    <w:p w14:paraId="19819C2E">
      <w:pPr>
        <w:pStyle w:val="5"/>
        <w:keepNext w:val="0"/>
        <w:keepLines w:val="0"/>
        <w:pageBreakBefore w:val="0"/>
        <w:kinsoku/>
        <w:wordWrap/>
        <w:overflowPunct/>
        <w:topLinePunct w:val="0"/>
        <w:bidi w:val="0"/>
        <w:spacing w:line="240" w:lineRule="auto"/>
        <w:ind w:firstLine="480"/>
        <w:textAlignment w:val="auto"/>
        <w:rPr>
          <w:rFonts w:eastAsia="仿宋" w:cs="Times New Roman"/>
          <w:color w:val="auto"/>
          <w:sz w:val="20"/>
          <w:szCs w:val="20"/>
        </w:rPr>
      </w:pPr>
      <w:r>
        <w:rPr>
          <w:rFonts w:hint="eastAsia" w:eastAsia="仿宋" w:cs="Times New Roman"/>
          <w:color w:val="auto"/>
          <w:sz w:val="20"/>
          <w:szCs w:val="20"/>
        </w:rPr>
        <w:t xml:space="preserve">签订地点：          </w:t>
      </w:r>
    </w:p>
    <w:p w14:paraId="28118DAD">
      <w:pPr>
        <w:pStyle w:val="5"/>
        <w:keepNext w:val="0"/>
        <w:keepLines w:val="0"/>
        <w:pageBreakBefore w:val="0"/>
        <w:kinsoku/>
        <w:wordWrap/>
        <w:overflowPunct/>
        <w:topLinePunct w:val="0"/>
        <w:bidi w:val="0"/>
        <w:spacing w:line="240" w:lineRule="auto"/>
        <w:ind w:firstLine="480"/>
        <w:textAlignment w:val="auto"/>
        <w:rPr>
          <w:rFonts w:eastAsia="仿宋" w:cs="Times New Roman"/>
          <w:color w:val="auto"/>
          <w:sz w:val="20"/>
          <w:szCs w:val="20"/>
        </w:rPr>
      </w:pPr>
      <w:r>
        <w:rPr>
          <w:rFonts w:hint="eastAsia" w:eastAsia="仿宋" w:cs="Times New Roman"/>
          <w:color w:val="auto"/>
          <w:sz w:val="20"/>
          <w:szCs w:val="20"/>
        </w:rPr>
        <w:t>签订时间</w:t>
      </w:r>
      <w:r>
        <w:rPr>
          <w:rFonts w:hint="eastAsia" w:eastAsia="仿宋" w:cs="Times New Roman"/>
          <w:b/>
          <w:color w:val="auto"/>
          <w:sz w:val="20"/>
          <w:szCs w:val="20"/>
        </w:rPr>
        <w:t>:</w:t>
      </w:r>
      <w:r>
        <w:rPr>
          <w:rFonts w:hint="eastAsia" w:eastAsia="仿宋" w:cs="Times New Roman"/>
          <w:color w:val="auto"/>
          <w:sz w:val="20"/>
          <w:szCs w:val="20"/>
        </w:rPr>
        <w:t xml:space="preserve"> </w:t>
      </w:r>
    </w:p>
    <w:p w14:paraId="3F69DA65">
      <w:pPr>
        <w:pStyle w:val="5"/>
        <w:keepNext w:val="0"/>
        <w:keepLines w:val="0"/>
        <w:pageBreakBefore w:val="0"/>
        <w:kinsoku/>
        <w:wordWrap/>
        <w:overflowPunct/>
        <w:topLinePunct w:val="0"/>
        <w:bidi w:val="0"/>
        <w:spacing w:line="240" w:lineRule="auto"/>
        <w:ind w:firstLine="480"/>
        <w:textAlignment w:val="auto"/>
        <w:rPr>
          <w:rFonts w:eastAsia="仿宋" w:cs="Times New Roman"/>
          <w:color w:val="auto"/>
          <w:sz w:val="20"/>
          <w:szCs w:val="20"/>
        </w:rPr>
      </w:pPr>
      <w:r>
        <w:rPr>
          <w:rFonts w:hint="eastAsia" w:eastAsia="仿宋" w:cs="Times New Roman"/>
          <w:color w:val="auto"/>
          <w:sz w:val="20"/>
          <w:szCs w:val="20"/>
        </w:rPr>
        <w:t xml:space="preserve">甲方（采购人）：                                          </w:t>
      </w:r>
    </w:p>
    <w:p w14:paraId="1D3ACC5D">
      <w:pPr>
        <w:pStyle w:val="5"/>
        <w:keepNext w:val="0"/>
        <w:keepLines w:val="0"/>
        <w:pageBreakBefore w:val="0"/>
        <w:kinsoku/>
        <w:wordWrap/>
        <w:overflowPunct/>
        <w:topLinePunct w:val="0"/>
        <w:bidi w:val="0"/>
        <w:spacing w:line="240" w:lineRule="auto"/>
        <w:ind w:firstLine="480"/>
        <w:textAlignment w:val="auto"/>
        <w:rPr>
          <w:rFonts w:eastAsia="仿宋" w:cs="Times New Roman"/>
          <w:color w:val="auto"/>
          <w:sz w:val="20"/>
          <w:szCs w:val="20"/>
        </w:rPr>
      </w:pPr>
      <w:r>
        <w:rPr>
          <w:rFonts w:hint="eastAsia" w:eastAsia="仿宋" w:cs="Times New Roman"/>
          <w:color w:val="auto"/>
          <w:sz w:val="20"/>
          <w:szCs w:val="20"/>
        </w:rPr>
        <w:t>乙方（</w:t>
      </w:r>
      <w:r>
        <w:rPr>
          <w:rFonts w:hint="eastAsia" w:eastAsia="仿宋" w:cs="Times New Roman"/>
          <w:color w:val="auto"/>
          <w:sz w:val="20"/>
          <w:szCs w:val="20"/>
          <w:lang w:val="en-US" w:eastAsia="zh-CN"/>
        </w:rPr>
        <w:t>中标人</w:t>
      </w:r>
      <w:r>
        <w:rPr>
          <w:rFonts w:hint="eastAsia" w:eastAsia="仿宋" w:cs="Times New Roman"/>
          <w:color w:val="auto"/>
          <w:sz w:val="20"/>
          <w:szCs w:val="20"/>
        </w:rPr>
        <w:t xml:space="preserve">）：                              </w:t>
      </w:r>
    </w:p>
    <w:p w14:paraId="2F3AF6EC">
      <w:pPr>
        <w:keepNext w:val="0"/>
        <w:keepLines w:val="0"/>
        <w:pageBreakBefore w:val="0"/>
        <w:tabs>
          <w:tab w:val="left" w:pos="735"/>
        </w:tabs>
        <w:kinsoku/>
        <w:wordWrap/>
        <w:overflowPunct/>
        <w:topLinePunct w:val="0"/>
        <w:autoSpaceDE w:val="0"/>
        <w:autoSpaceDN w:val="0"/>
        <w:bidi w:val="0"/>
        <w:adjustRightInd w:val="0"/>
        <w:snapToGrid w:val="0"/>
        <w:spacing w:line="240" w:lineRule="auto"/>
        <w:ind w:firstLine="400" w:firstLineChars="200"/>
        <w:textAlignment w:val="auto"/>
        <w:rPr>
          <w:rFonts w:eastAsia="仿宋"/>
          <w:color w:val="auto"/>
          <w:sz w:val="20"/>
          <w:szCs w:val="20"/>
        </w:rPr>
      </w:pPr>
      <w:bookmarkStart w:id="4" w:name="_Toc28531"/>
      <w:bookmarkStart w:id="5" w:name="_Toc30788"/>
      <w:r>
        <w:rPr>
          <w:rFonts w:hint="eastAsia" w:eastAsia="仿宋"/>
          <w:color w:val="auto"/>
          <w:sz w:val="20"/>
          <w:szCs w:val="20"/>
        </w:rPr>
        <w:t xml:space="preserve">根据《中华人民共和国政府采购法》及实施条例、《中华人民共和国民法典》和甲方采购项目 </w:t>
      </w:r>
      <w:r>
        <w:rPr>
          <w:rFonts w:hint="eastAsia" w:eastAsia="仿宋"/>
          <w:color w:val="auto"/>
          <w:sz w:val="20"/>
          <w:szCs w:val="20"/>
          <w:u w:val="single"/>
        </w:rPr>
        <w:t xml:space="preserve">                 </w:t>
      </w:r>
      <w:r>
        <w:rPr>
          <w:rFonts w:hint="eastAsia" w:eastAsia="仿宋"/>
          <w:color w:val="auto"/>
          <w:sz w:val="20"/>
          <w:szCs w:val="20"/>
        </w:rPr>
        <w:t>（采购项目编号：</w:t>
      </w:r>
      <w:r>
        <w:rPr>
          <w:rFonts w:hint="eastAsia" w:eastAsia="仿宋"/>
          <w:color w:val="auto"/>
          <w:sz w:val="20"/>
          <w:szCs w:val="20"/>
          <w:u w:val="single"/>
        </w:rPr>
        <w:t xml:space="preserve">             </w:t>
      </w:r>
      <w:r>
        <w:rPr>
          <w:rFonts w:hint="eastAsia" w:eastAsia="仿宋"/>
          <w:color w:val="auto"/>
          <w:sz w:val="20"/>
          <w:szCs w:val="20"/>
        </w:rPr>
        <w:t>）的招标文件、乙方的投标文件，为保证甲方采购项目的顺利实施，甲、乙双方同意签订本合同，并共同遵守如下条款：</w:t>
      </w:r>
      <w:bookmarkEnd w:id="4"/>
      <w:bookmarkEnd w:id="5"/>
    </w:p>
    <w:p w14:paraId="011A269B">
      <w:pPr>
        <w:pStyle w:val="4"/>
        <w:outlineLvl w:val="2"/>
        <w:rPr>
          <w:rFonts w:ascii="仿宋_GB2312" w:hAnsi="仿宋_GB2312" w:eastAsia="仿宋_GB2312" w:cs="仿宋_GB2312"/>
          <w:b/>
          <w:color w:val="auto"/>
          <w:sz w:val="28"/>
        </w:rPr>
      </w:pPr>
      <w:bookmarkStart w:id="6" w:name="_Toc30653"/>
      <w:bookmarkStart w:id="7" w:name="_Toc26352"/>
      <w:r>
        <w:rPr>
          <w:rFonts w:hint="eastAsia" w:ascii="仿宋_GB2312" w:hAnsi="仿宋_GB2312" w:eastAsia="仿宋_GB2312" w:cs="仿宋_GB2312"/>
          <w:b/>
          <w:color w:val="auto"/>
          <w:sz w:val="28"/>
        </w:rPr>
        <w:t>1、合同标的</w:t>
      </w:r>
      <w:bookmarkEnd w:id="2"/>
      <w:bookmarkEnd w:id="3"/>
      <w:bookmarkEnd w:id="6"/>
      <w:bookmarkEnd w:id="7"/>
    </w:p>
    <w:p w14:paraId="04A40846">
      <w:pPr>
        <w:keepNext w:val="0"/>
        <w:keepLines w:val="0"/>
        <w:pageBreakBefore w:val="0"/>
        <w:kinsoku/>
        <w:wordWrap/>
        <w:overflowPunct/>
        <w:topLinePunct w:val="0"/>
        <w:bidi w:val="0"/>
        <w:spacing w:line="240" w:lineRule="auto"/>
        <w:ind w:firstLine="400" w:firstLineChars="200"/>
        <w:textAlignment w:val="auto"/>
        <w:rPr>
          <w:rFonts w:eastAsia="仿宋"/>
          <w:color w:val="auto"/>
          <w:sz w:val="20"/>
          <w:szCs w:val="20"/>
        </w:rPr>
      </w:pPr>
      <w:r>
        <w:rPr>
          <w:rFonts w:hint="eastAsia" w:eastAsia="仿宋"/>
          <w:color w:val="auto"/>
          <w:sz w:val="20"/>
          <w:szCs w:val="20"/>
        </w:rPr>
        <w:t>乙方向甲方提供下列货物（产品）：</w:t>
      </w:r>
    </w:p>
    <w:tbl>
      <w:tblPr>
        <w:tblStyle w:val="2"/>
        <w:tblW w:w="96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3"/>
        <w:gridCol w:w="1183"/>
        <w:gridCol w:w="711"/>
        <w:gridCol w:w="1308"/>
        <w:gridCol w:w="935"/>
        <w:gridCol w:w="992"/>
        <w:gridCol w:w="1045"/>
        <w:gridCol w:w="1032"/>
        <w:gridCol w:w="1065"/>
      </w:tblGrid>
      <w:tr w14:paraId="11B94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333" w:type="dxa"/>
            <w:noWrap w:val="0"/>
            <w:vAlign w:val="center"/>
          </w:tcPr>
          <w:p w14:paraId="1A0267D6">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r>
              <w:rPr>
                <w:rFonts w:hint="eastAsia" w:eastAsia="仿宋"/>
                <w:color w:val="auto"/>
                <w:sz w:val="20"/>
                <w:szCs w:val="20"/>
              </w:rPr>
              <w:t>货物名称</w:t>
            </w:r>
          </w:p>
        </w:tc>
        <w:tc>
          <w:tcPr>
            <w:tcW w:w="1183" w:type="dxa"/>
            <w:noWrap w:val="0"/>
            <w:vAlign w:val="center"/>
          </w:tcPr>
          <w:p w14:paraId="054A8762">
            <w:pPr>
              <w:keepNext w:val="0"/>
              <w:keepLines w:val="0"/>
              <w:pageBreakBefore w:val="0"/>
              <w:kinsoku/>
              <w:wordWrap/>
              <w:overflowPunct/>
              <w:topLinePunct w:val="0"/>
              <w:bidi w:val="0"/>
              <w:spacing w:line="240" w:lineRule="auto"/>
              <w:jc w:val="center"/>
              <w:textAlignment w:val="auto"/>
              <w:rPr>
                <w:rFonts w:eastAsia="仿宋"/>
                <w:color w:val="auto"/>
                <w:sz w:val="20"/>
                <w:szCs w:val="20"/>
              </w:rPr>
            </w:pPr>
            <w:r>
              <w:rPr>
                <w:rFonts w:hint="eastAsia" w:eastAsia="仿宋"/>
                <w:color w:val="auto"/>
                <w:sz w:val="20"/>
                <w:szCs w:val="20"/>
              </w:rPr>
              <w:t>型号规格</w:t>
            </w:r>
          </w:p>
        </w:tc>
        <w:tc>
          <w:tcPr>
            <w:tcW w:w="711" w:type="dxa"/>
            <w:noWrap w:val="0"/>
            <w:vAlign w:val="center"/>
          </w:tcPr>
          <w:p w14:paraId="1C401DDE">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r>
              <w:rPr>
                <w:rFonts w:hint="eastAsia" w:eastAsia="仿宋"/>
                <w:color w:val="auto"/>
                <w:sz w:val="20"/>
                <w:szCs w:val="20"/>
              </w:rPr>
              <w:t>品牌</w:t>
            </w:r>
          </w:p>
        </w:tc>
        <w:tc>
          <w:tcPr>
            <w:tcW w:w="1308" w:type="dxa"/>
            <w:noWrap w:val="0"/>
            <w:vAlign w:val="center"/>
          </w:tcPr>
          <w:p w14:paraId="78EE8E01">
            <w:pPr>
              <w:keepNext w:val="0"/>
              <w:keepLines w:val="0"/>
              <w:pageBreakBefore w:val="0"/>
              <w:kinsoku/>
              <w:wordWrap/>
              <w:overflowPunct/>
              <w:topLinePunct w:val="0"/>
              <w:bidi w:val="0"/>
              <w:spacing w:line="240" w:lineRule="auto"/>
              <w:jc w:val="center"/>
              <w:textAlignment w:val="auto"/>
              <w:rPr>
                <w:rFonts w:eastAsia="仿宋"/>
                <w:color w:val="auto"/>
                <w:sz w:val="20"/>
                <w:szCs w:val="20"/>
              </w:rPr>
            </w:pPr>
            <w:r>
              <w:rPr>
                <w:rFonts w:hint="eastAsia" w:eastAsia="仿宋"/>
                <w:color w:val="auto"/>
                <w:sz w:val="20"/>
                <w:szCs w:val="20"/>
              </w:rPr>
              <w:t>生产厂家</w:t>
            </w:r>
          </w:p>
        </w:tc>
        <w:tc>
          <w:tcPr>
            <w:tcW w:w="935" w:type="dxa"/>
            <w:noWrap w:val="0"/>
            <w:vAlign w:val="center"/>
          </w:tcPr>
          <w:p w14:paraId="01E33368">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r>
              <w:rPr>
                <w:rFonts w:hint="eastAsia" w:eastAsia="仿宋"/>
                <w:color w:val="auto"/>
                <w:sz w:val="20"/>
                <w:szCs w:val="20"/>
              </w:rPr>
              <w:t>单位</w:t>
            </w:r>
          </w:p>
        </w:tc>
        <w:tc>
          <w:tcPr>
            <w:tcW w:w="992" w:type="dxa"/>
            <w:noWrap w:val="0"/>
            <w:vAlign w:val="center"/>
          </w:tcPr>
          <w:p w14:paraId="5495718F">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r>
              <w:rPr>
                <w:rFonts w:hint="eastAsia" w:eastAsia="仿宋"/>
                <w:color w:val="auto"/>
                <w:sz w:val="20"/>
                <w:szCs w:val="20"/>
              </w:rPr>
              <w:t>数量</w:t>
            </w:r>
          </w:p>
        </w:tc>
        <w:tc>
          <w:tcPr>
            <w:tcW w:w="1045" w:type="dxa"/>
            <w:noWrap w:val="0"/>
            <w:vAlign w:val="bottom"/>
          </w:tcPr>
          <w:p w14:paraId="76E21A58">
            <w:pPr>
              <w:keepNext w:val="0"/>
              <w:keepLines w:val="0"/>
              <w:pageBreakBefore w:val="0"/>
              <w:kinsoku/>
              <w:wordWrap/>
              <w:overflowPunct/>
              <w:topLinePunct w:val="0"/>
              <w:bidi w:val="0"/>
              <w:spacing w:line="240" w:lineRule="auto"/>
              <w:jc w:val="center"/>
              <w:textAlignment w:val="auto"/>
              <w:rPr>
                <w:rFonts w:eastAsia="仿宋"/>
                <w:color w:val="auto"/>
                <w:sz w:val="20"/>
                <w:szCs w:val="20"/>
              </w:rPr>
            </w:pPr>
            <w:r>
              <w:rPr>
                <w:rFonts w:hint="eastAsia" w:eastAsia="仿宋"/>
                <w:color w:val="auto"/>
                <w:sz w:val="20"/>
                <w:szCs w:val="20"/>
              </w:rPr>
              <w:t>单价（元）</w:t>
            </w:r>
          </w:p>
        </w:tc>
        <w:tc>
          <w:tcPr>
            <w:tcW w:w="1032" w:type="dxa"/>
            <w:noWrap w:val="0"/>
            <w:vAlign w:val="center"/>
          </w:tcPr>
          <w:p w14:paraId="4F971B33">
            <w:pPr>
              <w:keepNext w:val="0"/>
              <w:keepLines w:val="0"/>
              <w:pageBreakBefore w:val="0"/>
              <w:kinsoku/>
              <w:wordWrap/>
              <w:overflowPunct/>
              <w:topLinePunct w:val="0"/>
              <w:bidi w:val="0"/>
              <w:spacing w:line="240" w:lineRule="auto"/>
              <w:jc w:val="center"/>
              <w:textAlignment w:val="auto"/>
              <w:rPr>
                <w:rFonts w:eastAsia="仿宋"/>
                <w:color w:val="auto"/>
                <w:sz w:val="20"/>
                <w:szCs w:val="20"/>
              </w:rPr>
            </w:pPr>
            <w:r>
              <w:rPr>
                <w:rFonts w:hint="eastAsia" w:eastAsia="仿宋"/>
                <w:color w:val="auto"/>
                <w:sz w:val="20"/>
                <w:szCs w:val="20"/>
              </w:rPr>
              <w:t>总价（元）</w:t>
            </w:r>
          </w:p>
        </w:tc>
        <w:tc>
          <w:tcPr>
            <w:tcW w:w="1065" w:type="dxa"/>
            <w:noWrap w:val="0"/>
            <w:vAlign w:val="center"/>
          </w:tcPr>
          <w:p w14:paraId="56A9EED4">
            <w:pPr>
              <w:keepNext w:val="0"/>
              <w:keepLines w:val="0"/>
              <w:pageBreakBefore w:val="0"/>
              <w:kinsoku/>
              <w:wordWrap/>
              <w:overflowPunct/>
              <w:topLinePunct w:val="0"/>
              <w:bidi w:val="0"/>
              <w:spacing w:line="240" w:lineRule="auto"/>
              <w:jc w:val="center"/>
              <w:textAlignment w:val="auto"/>
              <w:rPr>
                <w:rFonts w:eastAsia="仿宋"/>
                <w:color w:val="auto"/>
                <w:sz w:val="20"/>
                <w:szCs w:val="20"/>
              </w:rPr>
            </w:pPr>
            <w:r>
              <w:rPr>
                <w:rFonts w:hint="eastAsia" w:eastAsia="仿宋"/>
                <w:color w:val="auto"/>
                <w:sz w:val="20"/>
                <w:szCs w:val="20"/>
              </w:rPr>
              <w:t>交货期</w:t>
            </w:r>
          </w:p>
        </w:tc>
      </w:tr>
      <w:tr w14:paraId="78A03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333" w:type="dxa"/>
            <w:noWrap w:val="0"/>
            <w:vAlign w:val="center"/>
          </w:tcPr>
          <w:p w14:paraId="2CCAAAF4">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183" w:type="dxa"/>
            <w:noWrap w:val="0"/>
            <w:vAlign w:val="center"/>
          </w:tcPr>
          <w:p w14:paraId="7A6E6DB7">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711" w:type="dxa"/>
            <w:noWrap w:val="0"/>
            <w:vAlign w:val="center"/>
          </w:tcPr>
          <w:p w14:paraId="1704E78D">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308" w:type="dxa"/>
            <w:noWrap w:val="0"/>
            <w:vAlign w:val="center"/>
          </w:tcPr>
          <w:p w14:paraId="569BAF5A">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935" w:type="dxa"/>
            <w:noWrap w:val="0"/>
            <w:vAlign w:val="center"/>
          </w:tcPr>
          <w:p w14:paraId="23CDBFC7">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992" w:type="dxa"/>
            <w:noWrap w:val="0"/>
            <w:vAlign w:val="center"/>
          </w:tcPr>
          <w:p w14:paraId="5E8662F7">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045" w:type="dxa"/>
            <w:noWrap w:val="0"/>
            <w:vAlign w:val="center"/>
          </w:tcPr>
          <w:p w14:paraId="1D470DEE">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032" w:type="dxa"/>
            <w:noWrap w:val="0"/>
            <w:vAlign w:val="center"/>
          </w:tcPr>
          <w:p w14:paraId="28D47688">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065" w:type="dxa"/>
            <w:noWrap w:val="0"/>
            <w:vAlign w:val="center"/>
          </w:tcPr>
          <w:p w14:paraId="299E682B">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r>
      <w:tr w14:paraId="4DCB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333" w:type="dxa"/>
            <w:noWrap w:val="0"/>
            <w:vAlign w:val="center"/>
          </w:tcPr>
          <w:p w14:paraId="649D6D55">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183" w:type="dxa"/>
            <w:noWrap w:val="0"/>
            <w:vAlign w:val="center"/>
          </w:tcPr>
          <w:p w14:paraId="027812B1">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711" w:type="dxa"/>
            <w:noWrap w:val="0"/>
            <w:vAlign w:val="center"/>
          </w:tcPr>
          <w:p w14:paraId="18E1018C">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308" w:type="dxa"/>
            <w:noWrap w:val="0"/>
            <w:vAlign w:val="center"/>
          </w:tcPr>
          <w:p w14:paraId="5B79E4C8">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935" w:type="dxa"/>
            <w:noWrap w:val="0"/>
            <w:vAlign w:val="center"/>
          </w:tcPr>
          <w:p w14:paraId="64941EBA">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992" w:type="dxa"/>
            <w:noWrap w:val="0"/>
            <w:vAlign w:val="center"/>
          </w:tcPr>
          <w:p w14:paraId="45E90281">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045" w:type="dxa"/>
            <w:noWrap w:val="0"/>
            <w:vAlign w:val="center"/>
          </w:tcPr>
          <w:p w14:paraId="7880AEA9">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032" w:type="dxa"/>
            <w:noWrap w:val="0"/>
            <w:vAlign w:val="center"/>
          </w:tcPr>
          <w:p w14:paraId="4136510D">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c>
          <w:tcPr>
            <w:tcW w:w="1065" w:type="dxa"/>
            <w:noWrap w:val="0"/>
            <w:vAlign w:val="center"/>
          </w:tcPr>
          <w:p w14:paraId="7815FDCB">
            <w:pPr>
              <w:keepNext w:val="0"/>
              <w:keepLines w:val="0"/>
              <w:pageBreakBefore w:val="0"/>
              <w:kinsoku/>
              <w:wordWrap/>
              <w:overflowPunct/>
              <w:topLinePunct w:val="0"/>
              <w:bidi w:val="0"/>
              <w:spacing w:line="240" w:lineRule="auto"/>
              <w:jc w:val="center"/>
              <w:textAlignment w:val="auto"/>
              <w:rPr>
                <w:rFonts w:eastAsia="仿宋"/>
                <w:b/>
                <w:color w:val="auto"/>
                <w:sz w:val="20"/>
                <w:szCs w:val="20"/>
              </w:rPr>
            </w:pPr>
          </w:p>
        </w:tc>
      </w:tr>
      <w:tr w14:paraId="51BAA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333" w:type="dxa"/>
            <w:noWrap w:val="0"/>
            <w:vAlign w:val="center"/>
          </w:tcPr>
          <w:p w14:paraId="66C5C837">
            <w:pPr>
              <w:keepNext w:val="0"/>
              <w:keepLines w:val="0"/>
              <w:pageBreakBefore w:val="0"/>
              <w:kinsoku/>
              <w:wordWrap/>
              <w:overflowPunct/>
              <w:topLinePunct w:val="0"/>
              <w:bidi w:val="0"/>
              <w:snapToGrid w:val="0"/>
              <w:spacing w:line="240" w:lineRule="auto"/>
              <w:jc w:val="center"/>
              <w:textAlignment w:val="auto"/>
              <w:rPr>
                <w:rFonts w:eastAsia="仿宋"/>
                <w:b/>
                <w:color w:val="auto"/>
                <w:sz w:val="20"/>
                <w:szCs w:val="20"/>
              </w:rPr>
            </w:pPr>
            <w:r>
              <w:rPr>
                <w:rFonts w:hint="eastAsia" w:eastAsia="仿宋"/>
                <w:color w:val="auto"/>
                <w:sz w:val="20"/>
                <w:szCs w:val="20"/>
              </w:rPr>
              <w:t>合计（元）</w:t>
            </w:r>
          </w:p>
        </w:tc>
        <w:tc>
          <w:tcPr>
            <w:tcW w:w="8271" w:type="dxa"/>
            <w:gridSpan w:val="8"/>
            <w:noWrap w:val="0"/>
            <w:vAlign w:val="center"/>
          </w:tcPr>
          <w:p w14:paraId="08FE5057">
            <w:pPr>
              <w:keepNext w:val="0"/>
              <w:keepLines w:val="0"/>
              <w:pageBreakBefore w:val="0"/>
              <w:kinsoku/>
              <w:wordWrap/>
              <w:overflowPunct/>
              <w:topLinePunct w:val="0"/>
              <w:bidi w:val="0"/>
              <w:snapToGrid w:val="0"/>
              <w:spacing w:line="240" w:lineRule="auto"/>
              <w:textAlignment w:val="auto"/>
              <w:rPr>
                <w:rFonts w:eastAsia="仿宋"/>
                <w:color w:val="auto"/>
                <w:sz w:val="20"/>
                <w:szCs w:val="20"/>
              </w:rPr>
            </w:pPr>
            <w:r>
              <w:rPr>
                <w:rFonts w:hint="eastAsia" w:eastAsia="仿宋"/>
                <w:color w:val="auto"/>
                <w:sz w:val="20"/>
                <w:szCs w:val="20"/>
              </w:rPr>
              <w:t>小写：</w:t>
            </w:r>
          </w:p>
          <w:p w14:paraId="48C57394">
            <w:pPr>
              <w:keepNext w:val="0"/>
              <w:keepLines w:val="0"/>
              <w:pageBreakBefore w:val="0"/>
              <w:kinsoku/>
              <w:wordWrap/>
              <w:overflowPunct/>
              <w:topLinePunct w:val="0"/>
              <w:bidi w:val="0"/>
              <w:snapToGrid w:val="0"/>
              <w:spacing w:line="240" w:lineRule="auto"/>
              <w:textAlignment w:val="auto"/>
              <w:rPr>
                <w:rFonts w:eastAsia="仿宋"/>
                <w:b/>
                <w:color w:val="auto"/>
                <w:sz w:val="20"/>
                <w:szCs w:val="20"/>
              </w:rPr>
            </w:pPr>
            <w:r>
              <w:rPr>
                <w:rFonts w:hint="eastAsia" w:eastAsia="仿宋"/>
                <w:color w:val="auto"/>
                <w:sz w:val="20"/>
                <w:szCs w:val="20"/>
              </w:rPr>
              <w:t>大写：</w:t>
            </w:r>
          </w:p>
        </w:tc>
      </w:tr>
    </w:tbl>
    <w:p w14:paraId="1DF344AF">
      <w:pPr>
        <w:pStyle w:val="4"/>
        <w:outlineLvl w:val="2"/>
        <w:rPr>
          <w:rFonts w:hint="eastAsia" w:ascii="仿宋_GB2312" w:hAnsi="仿宋_GB2312" w:eastAsia="仿宋_GB2312" w:cs="仿宋_GB2312"/>
          <w:b/>
          <w:color w:val="auto"/>
          <w:sz w:val="28"/>
        </w:rPr>
      </w:pPr>
      <w:bookmarkStart w:id="8" w:name="_Toc27848"/>
      <w:bookmarkStart w:id="9" w:name="_Toc497206184"/>
      <w:bookmarkStart w:id="10" w:name="_Toc497206294"/>
      <w:bookmarkStart w:id="11" w:name="_Toc13114"/>
      <w:r>
        <w:rPr>
          <w:rFonts w:hint="eastAsia" w:ascii="仿宋_GB2312" w:hAnsi="仿宋_GB2312" w:eastAsia="仿宋_GB2312" w:cs="仿宋_GB2312"/>
          <w:b/>
          <w:color w:val="auto"/>
          <w:sz w:val="28"/>
        </w:rPr>
        <w:t>2、合同价款</w:t>
      </w:r>
      <w:bookmarkEnd w:id="8"/>
      <w:bookmarkEnd w:id="9"/>
      <w:bookmarkEnd w:id="10"/>
      <w:bookmarkEnd w:id="11"/>
    </w:p>
    <w:p w14:paraId="7E579C40">
      <w:pPr>
        <w:keepNext w:val="0"/>
        <w:keepLines w:val="0"/>
        <w:pageBreakBefore w:val="0"/>
        <w:tabs>
          <w:tab w:val="left" w:pos="735"/>
        </w:tabs>
        <w:kinsoku/>
        <w:wordWrap/>
        <w:overflowPunct/>
        <w:topLinePunct w:val="0"/>
        <w:autoSpaceDE w:val="0"/>
        <w:autoSpaceDN w:val="0"/>
        <w:bidi w:val="0"/>
        <w:adjustRightInd w:val="0"/>
        <w:snapToGrid w:val="0"/>
        <w:spacing w:line="240" w:lineRule="auto"/>
        <w:ind w:firstLine="400" w:firstLineChars="200"/>
        <w:textAlignment w:val="auto"/>
        <w:rPr>
          <w:rFonts w:hint="eastAsia" w:eastAsia="仿宋"/>
          <w:color w:val="auto"/>
          <w:sz w:val="20"/>
          <w:szCs w:val="20"/>
          <w:u w:val="single"/>
        </w:rPr>
      </w:pPr>
      <w:r>
        <w:rPr>
          <w:rFonts w:hint="eastAsia" w:eastAsia="仿宋"/>
          <w:color w:val="auto"/>
          <w:sz w:val="20"/>
          <w:szCs w:val="20"/>
        </w:rPr>
        <w:t>2.1、合同总价：</w:t>
      </w:r>
      <w:r>
        <w:rPr>
          <w:rFonts w:hint="eastAsia" w:eastAsia="仿宋"/>
          <w:color w:val="auto"/>
          <w:sz w:val="20"/>
          <w:szCs w:val="20"/>
          <w:u w:val="single"/>
        </w:rPr>
        <w:t xml:space="preserve">          </w:t>
      </w:r>
    </w:p>
    <w:p w14:paraId="0439E605">
      <w:pPr>
        <w:keepNext w:val="0"/>
        <w:keepLines w:val="0"/>
        <w:pageBreakBefore w:val="0"/>
        <w:tabs>
          <w:tab w:val="left" w:pos="735"/>
        </w:tabs>
        <w:kinsoku/>
        <w:wordWrap/>
        <w:overflowPunct/>
        <w:topLinePunct w:val="0"/>
        <w:autoSpaceDE w:val="0"/>
        <w:autoSpaceDN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2.2、合同总价包括：</w:t>
      </w:r>
      <w:r>
        <w:rPr>
          <w:rFonts w:hint="eastAsia" w:eastAsia="仿宋"/>
          <w:color w:val="auto"/>
          <w:sz w:val="20"/>
          <w:szCs w:val="20"/>
          <w:lang w:val="zh-CN"/>
        </w:rPr>
        <w:t>货物总价、货物运达指定地点的运杂费（含运输费、保险费）、安装调试费、检测验收费、</w:t>
      </w:r>
      <w:r>
        <w:rPr>
          <w:rFonts w:hint="eastAsia" w:eastAsia="仿宋"/>
          <w:color w:val="auto"/>
          <w:sz w:val="20"/>
          <w:szCs w:val="20"/>
        </w:rPr>
        <w:t>培训费、</w:t>
      </w:r>
      <w:r>
        <w:rPr>
          <w:rFonts w:hint="eastAsia" w:eastAsia="仿宋"/>
          <w:color w:val="auto"/>
          <w:sz w:val="20"/>
          <w:szCs w:val="20"/>
          <w:lang w:val="zh-CN"/>
        </w:rPr>
        <w:t>其他（含</w:t>
      </w:r>
      <w:r>
        <w:rPr>
          <w:rFonts w:hint="eastAsia" w:eastAsia="仿宋"/>
          <w:color w:val="auto"/>
          <w:sz w:val="20"/>
          <w:szCs w:val="20"/>
        </w:rPr>
        <w:t>人工费、</w:t>
      </w:r>
      <w:r>
        <w:rPr>
          <w:rFonts w:hint="eastAsia" w:eastAsia="仿宋"/>
          <w:color w:val="auto"/>
          <w:sz w:val="20"/>
          <w:szCs w:val="20"/>
          <w:lang w:val="zh-CN"/>
        </w:rPr>
        <w:t>向税务部门交纳的各项税费等）等至交付甲方使用的一切含税费用。</w:t>
      </w:r>
      <w:r>
        <w:rPr>
          <w:rFonts w:hint="eastAsia" w:eastAsia="仿宋"/>
          <w:color w:val="auto"/>
          <w:sz w:val="20"/>
          <w:szCs w:val="20"/>
        </w:rPr>
        <w:t xml:space="preserve">     </w:t>
      </w:r>
    </w:p>
    <w:p w14:paraId="7BC8D55F">
      <w:pPr>
        <w:keepNext w:val="0"/>
        <w:keepLines w:val="0"/>
        <w:pageBreakBefore w:val="0"/>
        <w:tabs>
          <w:tab w:val="left" w:pos="735"/>
        </w:tabs>
        <w:kinsoku/>
        <w:wordWrap/>
        <w:overflowPunct/>
        <w:topLinePunct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2.3、本合同总价还包含乙方应当提供的伴随服务和售后服务费用。</w:t>
      </w:r>
    </w:p>
    <w:p w14:paraId="7601F69B">
      <w:pPr>
        <w:keepNext w:val="0"/>
        <w:keepLines w:val="0"/>
        <w:pageBreakBefore w:val="0"/>
        <w:tabs>
          <w:tab w:val="left" w:pos="735"/>
        </w:tabs>
        <w:kinsoku/>
        <w:wordWrap/>
        <w:overflowPunct/>
        <w:topLinePunct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2.4、确定各类产品的单价，总价不得超出合同总价，同时不受市场价格变化因素的影响。</w:t>
      </w:r>
    </w:p>
    <w:p w14:paraId="156385B4">
      <w:pPr>
        <w:pStyle w:val="4"/>
        <w:outlineLvl w:val="2"/>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3、款项结算</w:t>
      </w:r>
    </w:p>
    <w:p w14:paraId="7B0955A4">
      <w:pPr>
        <w:keepNext w:val="0"/>
        <w:keepLines w:val="0"/>
        <w:pageBreakBefore w:val="0"/>
        <w:tabs>
          <w:tab w:val="left" w:pos="735"/>
        </w:tabs>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3.1、</w:t>
      </w:r>
      <w:bookmarkStart w:id="12" w:name="OLE_LINK3"/>
      <w:r>
        <w:rPr>
          <w:rFonts w:hint="eastAsia" w:eastAsia="仿宋"/>
          <w:color w:val="auto"/>
          <w:sz w:val="20"/>
          <w:szCs w:val="20"/>
        </w:rPr>
        <w:t>付款方式：</w:t>
      </w:r>
      <w:r>
        <w:rPr>
          <w:rFonts w:hint="eastAsia" w:eastAsia="仿宋"/>
          <w:color w:val="auto"/>
          <w:sz w:val="20"/>
          <w:szCs w:val="20"/>
          <w:lang w:val="en-US" w:eastAsia="zh-CN"/>
        </w:rPr>
        <w:t>货物安装调试完成并经初步验收合格后30个自然日内，甲方按中标价的60%支付款项；货物经最终验收合格后90个自然日内，甲方按中标价的40%支付剩余款项</w:t>
      </w:r>
      <w:r>
        <w:rPr>
          <w:rFonts w:hint="eastAsia" w:eastAsia="仿宋"/>
          <w:color w:val="auto"/>
          <w:sz w:val="20"/>
          <w:szCs w:val="20"/>
        </w:rPr>
        <w:t>。</w:t>
      </w:r>
    </w:p>
    <w:bookmarkEnd w:id="12"/>
    <w:p w14:paraId="6B7D6718">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sz w:val="20"/>
          <w:szCs w:val="20"/>
          <w:lang w:val="zh-CN"/>
        </w:rPr>
      </w:pPr>
      <w:bookmarkStart w:id="13" w:name="_Toc497206297"/>
      <w:bookmarkStart w:id="14" w:name="_Toc14025"/>
      <w:bookmarkStart w:id="15" w:name="_Toc497206187"/>
      <w:bookmarkStart w:id="16" w:name="_Toc18747"/>
      <w:r>
        <w:rPr>
          <w:rFonts w:hint="eastAsia" w:eastAsia="仿宋"/>
          <w:color w:val="auto"/>
          <w:sz w:val="20"/>
          <w:szCs w:val="20"/>
          <w:lang w:eastAsia="zh-CN"/>
        </w:rPr>
        <w:t>（</w:t>
      </w:r>
      <w:r>
        <w:rPr>
          <w:rFonts w:hint="eastAsia" w:eastAsia="仿宋"/>
          <w:color w:val="auto"/>
          <w:sz w:val="20"/>
          <w:szCs w:val="20"/>
          <w:lang w:val="en-US" w:eastAsia="zh-CN"/>
        </w:rPr>
        <w:t>1</w:t>
      </w:r>
      <w:r>
        <w:rPr>
          <w:rFonts w:hint="eastAsia" w:eastAsia="仿宋"/>
          <w:color w:val="auto"/>
          <w:sz w:val="20"/>
          <w:szCs w:val="20"/>
          <w:lang w:eastAsia="zh-CN"/>
        </w:rPr>
        <w:t>）</w:t>
      </w:r>
      <w:r>
        <w:rPr>
          <w:rFonts w:hint="eastAsia" w:eastAsia="仿宋"/>
          <w:color w:val="auto"/>
          <w:sz w:val="20"/>
          <w:szCs w:val="20"/>
          <w:lang w:val="zh-CN"/>
        </w:rPr>
        <w:t>结算方式：甲方与乙方直接结算，发票直开甲方。</w:t>
      </w:r>
    </w:p>
    <w:p w14:paraId="5F715581">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sz w:val="20"/>
          <w:szCs w:val="20"/>
          <w:lang w:val="zh-CN"/>
        </w:rPr>
      </w:pPr>
      <w:r>
        <w:rPr>
          <w:rFonts w:hint="eastAsia" w:eastAsia="仿宋"/>
          <w:color w:val="auto"/>
          <w:sz w:val="20"/>
          <w:szCs w:val="20"/>
          <w:lang w:eastAsia="zh-CN"/>
        </w:rPr>
        <w:t>（</w:t>
      </w:r>
      <w:r>
        <w:rPr>
          <w:rFonts w:hint="eastAsia" w:eastAsia="仿宋"/>
          <w:color w:val="auto"/>
          <w:sz w:val="20"/>
          <w:szCs w:val="20"/>
          <w:lang w:val="en-US" w:eastAsia="zh-CN"/>
        </w:rPr>
        <w:t>2</w:t>
      </w:r>
      <w:r>
        <w:rPr>
          <w:rFonts w:hint="eastAsia" w:eastAsia="仿宋"/>
          <w:color w:val="auto"/>
          <w:sz w:val="20"/>
          <w:szCs w:val="20"/>
          <w:lang w:eastAsia="zh-CN"/>
        </w:rPr>
        <w:t>）</w:t>
      </w:r>
      <w:r>
        <w:rPr>
          <w:rFonts w:hint="eastAsia" w:eastAsia="仿宋"/>
          <w:color w:val="auto"/>
          <w:sz w:val="20"/>
          <w:szCs w:val="20"/>
          <w:lang w:val="zh-CN"/>
        </w:rPr>
        <w:t>支付方式：银行转账。</w:t>
      </w:r>
    </w:p>
    <w:p w14:paraId="4BEAF418">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u w:val="none"/>
          <w:lang w:val="en-US" w:eastAsia="zh-CN"/>
        </w:rPr>
      </w:pPr>
      <w:r>
        <w:rPr>
          <w:rFonts w:hint="eastAsia" w:eastAsia="仿宋"/>
          <w:color w:val="auto"/>
          <w:sz w:val="20"/>
          <w:szCs w:val="20"/>
          <w:lang w:val="en-US" w:eastAsia="zh-CN"/>
        </w:rPr>
        <w:t>3.3、履约保证金金额：</w:t>
      </w:r>
      <w:r>
        <w:rPr>
          <w:rFonts w:hint="eastAsia" w:eastAsia="仿宋"/>
          <w:color w:val="auto"/>
          <w:sz w:val="20"/>
          <w:szCs w:val="20"/>
          <w:u w:val="single"/>
          <w:lang w:val="en-US" w:eastAsia="zh-CN"/>
        </w:rPr>
        <w:t xml:space="preserve">         </w:t>
      </w:r>
      <w:r>
        <w:rPr>
          <w:rFonts w:hint="eastAsia" w:eastAsia="仿宋"/>
          <w:color w:val="auto"/>
          <w:sz w:val="20"/>
          <w:szCs w:val="20"/>
          <w:u w:val="none"/>
          <w:lang w:val="en-US" w:eastAsia="zh-CN"/>
        </w:rPr>
        <w:t>元，</w:t>
      </w:r>
    </w:p>
    <w:p w14:paraId="298E60C8">
      <w:pPr>
        <w:keepNext w:val="0"/>
        <w:keepLines w:val="0"/>
        <w:pageBreakBefore w:val="0"/>
        <w:tabs>
          <w:tab w:val="left" w:pos="735"/>
        </w:tabs>
        <w:kinsoku/>
        <w:wordWrap/>
        <w:overflowPunct/>
        <w:topLinePunct w:val="0"/>
        <w:bidi w:val="0"/>
        <w:adjustRightInd w:val="0"/>
        <w:snapToGrid w:val="0"/>
        <w:spacing w:line="240" w:lineRule="auto"/>
        <w:ind w:firstLine="400" w:firstLineChars="200"/>
        <w:textAlignment w:val="auto"/>
        <w:rPr>
          <w:rFonts w:hint="default" w:eastAsia="仿宋"/>
          <w:color w:val="auto"/>
          <w:sz w:val="20"/>
          <w:szCs w:val="20"/>
          <w:u w:val="none"/>
          <w:lang w:val="en-US" w:eastAsia="zh-CN"/>
        </w:rPr>
      </w:pPr>
      <w:r>
        <w:rPr>
          <w:rFonts w:hint="eastAsia" w:eastAsia="仿宋"/>
          <w:color w:val="auto"/>
          <w:sz w:val="20"/>
          <w:szCs w:val="20"/>
          <w:u w:val="none"/>
          <w:lang w:val="en-US" w:eastAsia="zh-CN"/>
        </w:rPr>
        <w:t>（1）缴纳方式：支持现金转账、银行保函等。乙方需在规定时间内缴纳合同金额的5%作为履约保证金至甲方。若为现金形式，通过银行转账缴至指定账户，到账后甲方会开具电子或纸质收据；若为银行保函等非现金形式，需将原件交由甲方查验保管，同时提交加盖相关印章的复印件备案。</w:t>
      </w:r>
    </w:p>
    <w:p w14:paraId="7C75B3FA">
      <w:pPr>
        <w:keepNext w:val="0"/>
        <w:keepLines w:val="0"/>
        <w:pageBreakBefore w:val="0"/>
        <w:tabs>
          <w:tab w:val="left" w:pos="735"/>
        </w:tabs>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u w:val="none"/>
          <w:lang w:val="en-US" w:eastAsia="zh-CN"/>
        </w:rPr>
        <w:t>退还方式：在货物安装调试完成并经最终验收合格后三年内退还。乙方需准备退付申请文件，即退付履约保证金的报告或函件、保证金收据原件或电子票据、项目验收合格材料等，若以保函形式缴纳，还需提供企业承诺书。甲方审核材料无误后，办理退还手续。现金形式的保证金通常按原缴纳渠道原路无息退还；银行保函等非现金形式，则由甲方出具相关证明解除保证责任。</w:t>
      </w:r>
    </w:p>
    <w:p w14:paraId="14151E33">
      <w:pPr>
        <w:pStyle w:val="4"/>
        <w:outlineLvl w:val="2"/>
        <w:rPr>
          <w:rFonts w:hint="eastAsia" w:ascii="仿宋_GB2312" w:hAnsi="仿宋_GB2312" w:eastAsia="仿宋_GB2312" w:cs="仿宋_GB2312"/>
          <w:b/>
          <w:color w:val="auto"/>
          <w:sz w:val="28"/>
          <w:lang w:val="zh-CN" w:eastAsia="zh-CN"/>
        </w:rPr>
      </w:pPr>
      <w:r>
        <w:rPr>
          <w:rFonts w:hint="eastAsia" w:ascii="仿宋_GB2312" w:hAnsi="仿宋_GB2312" w:eastAsia="仿宋_GB2312" w:cs="仿宋_GB2312"/>
          <w:b/>
          <w:color w:val="auto"/>
          <w:sz w:val="28"/>
          <w:lang w:val="en-US" w:eastAsia="zh-CN"/>
        </w:rPr>
        <w:t>4</w:t>
      </w:r>
      <w:r>
        <w:rPr>
          <w:rFonts w:hint="eastAsia" w:ascii="仿宋_GB2312" w:hAnsi="仿宋_GB2312" w:eastAsia="仿宋_GB2312" w:cs="仿宋_GB2312"/>
          <w:b/>
          <w:color w:val="auto"/>
          <w:sz w:val="28"/>
          <w:lang w:val="zh-CN" w:eastAsia="zh-CN"/>
        </w:rPr>
        <w:t>、交货条件</w:t>
      </w:r>
      <w:bookmarkEnd w:id="13"/>
      <w:bookmarkEnd w:id="14"/>
      <w:bookmarkEnd w:id="15"/>
      <w:bookmarkEnd w:id="16"/>
    </w:p>
    <w:p w14:paraId="3E540A84">
      <w:pPr>
        <w:keepNext w:val="0"/>
        <w:keepLines w:val="0"/>
        <w:pageBreakBefore w:val="0"/>
        <w:tabs>
          <w:tab w:val="left" w:pos="735"/>
        </w:tabs>
        <w:kinsoku/>
        <w:wordWrap/>
        <w:overflowPunct/>
        <w:topLinePunct w:val="0"/>
        <w:autoSpaceDE w:val="0"/>
        <w:autoSpaceDN w:val="0"/>
        <w:bidi w:val="0"/>
        <w:adjustRightInd w:val="0"/>
        <w:snapToGrid w:val="0"/>
        <w:spacing w:line="240" w:lineRule="auto"/>
        <w:ind w:firstLine="400" w:firstLineChars="200"/>
        <w:textAlignment w:val="auto"/>
        <w:rPr>
          <w:rFonts w:eastAsia="仿宋"/>
          <w:color w:val="auto"/>
          <w:sz w:val="20"/>
          <w:szCs w:val="20"/>
          <w:u w:val="single"/>
        </w:rPr>
      </w:pPr>
      <w:r>
        <w:rPr>
          <w:rFonts w:hint="eastAsia" w:eastAsia="仿宋"/>
          <w:color w:val="auto"/>
          <w:sz w:val="20"/>
          <w:szCs w:val="20"/>
          <w:lang w:val="en-US" w:eastAsia="zh-CN"/>
        </w:rPr>
        <w:t>4</w:t>
      </w:r>
      <w:r>
        <w:rPr>
          <w:rFonts w:hint="eastAsia" w:eastAsia="仿宋"/>
          <w:color w:val="auto"/>
          <w:sz w:val="20"/>
          <w:szCs w:val="20"/>
        </w:rPr>
        <w:t>.1、交货地点：</w:t>
      </w:r>
      <w:r>
        <w:rPr>
          <w:rFonts w:hint="eastAsia" w:eastAsia="仿宋"/>
          <w:color w:val="auto"/>
          <w:sz w:val="20"/>
          <w:szCs w:val="20"/>
          <w:u w:val="single"/>
        </w:rPr>
        <w:t xml:space="preserve">               </w:t>
      </w:r>
    </w:p>
    <w:p w14:paraId="5F91E58C">
      <w:pPr>
        <w:keepNext w:val="0"/>
        <w:keepLines w:val="0"/>
        <w:pageBreakBefore w:val="0"/>
        <w:tabs>
          <w:tab w:val="left" w:pos="735"/>
        </w:tabs>
        <w:kinsoku/>
        <w:wordWrap/>
        <w:overflowPunct/>
        <w:topLinePunct w:val="0"/>
        <w:autoSpaceDE w:val="0"/>
        <w:autoSpaceDN w:val="0"/>
        <w:bidi w:val="0"/>
        <w:adjustRightInd w:val="0"/>
        <w:snapToGrid w:val="0"/>
        <w:spacing w:line="240" w:lineRule="auto"/>
        <w:ind w:firstLine="400" w:firstLineChars="200"/>
        <w:textAlignment w:val="auto"/>
        <w:rPr>
          <w:rFonts w:eastAsia="仿宋"/>
          <w:color w:val="auto"/>
          <w:sz w:val="20"/>
          <w:szCs w:val="20"/>
          <w:u w:val="single"/>
        </w:rPr>
      </w:pPr>
      <w:r>
        <w:rPr>
          <w:rFonts w:hint="eastAsia" w:eastAsia="仿宋"/>
          <w:color w:val="auto"/>
          <w:sz w:val="20"/>
          <w:szCs w:val="20"/>
          <w:lang w:val="en-US" w:eastAsia="zh-CN"/>
        </w:rPr>
        <w:t>4</w:t>
      </w:r>
      <w:r>
        <w:rPr>
          <w:rFonts w:hint="eastAsia" w:eastAsia="仿宋"/>
          <w:color w:val="auto"/>
          <w:sz w:val="20"/>
          <w:szCs w:val="20"/>
        </w:rPr>
        <w:t>.2、交货期：</w:t>
      </w:r>
      <w:r>
        <w:rPr>
          <w:rFonts w:hint="eastAsia" w:eastAsia="仿宋"/>
          <w:color w:val="auto"/>
          <w:sz w:val="20"/>
          <w:szCs w:val="20"/>
          <w:u w:val="single"/>
        </w:rPr>
        <w:t xml:space="preserve">                 </w:t>
      </w:r>
    </w:p>
    <w:p w14:paraId="0FED8F95">
      <w:pPr>
        <w:pStyle w:val="4"/>
        <w:outlineLvl w:val="2"/>
        <w:rPr>
          <w:rFonts w:hint="eastAsia" w:ascii="仿宋_GB2312" w:hAnsi="仿宋_GB2312" w:eastAsia="仿宋_GB2312" w:cs="仿宋_GB2312"/>
          <w:b/>
          <w:color w:val="auto"/>
          <w:sz w:val="28"/>
          <w:lang w:val="zh-CN" w:eastAsia="zh-CN"/>
        </w:rPr>
      </w:pPr>
      <w:bookmarkStart w:id="17" w:name="_Toc497206188"/>
      <w:bookmarkStart w:id="18" w:name="_Toc2878"/>
      <w:bookmarkStart w:id="19" w:name="_Toc497206298"/>
      <w:bookmarkStart w:id="20" w:name="_Toc9437"/>
      <w:r>
        <w:rPr>
          <w:rFonts w:hint="eastAsia" w:ascii="仿宋_GB2312" w:hAnsi="仿宋_GB2312" w:eastAsia="仿宋_GB2312" w:cs="仿宋_GB2312"/>
          <w:b/>
          <w:color w:val="auto"/>
          <w:sz w:val="28"/>
          <w:lang w:val="en-US" w:eastAsia="zh-CN"/>
        </w:rPr>
        <w:t>5</w:t>
      </w:r>
      <w:r>
        <w:rPr>
          <w:rFonts w:hint="eastAsia" w:ascii="仿宋_GB2312" w:hAnsi="仿宋_GB2312" w:eastAsia="仿宋_GB2312" w:cs="仿宋_GB2312"/>
          <w:b/>
          <w:color w:val="auto"/>
          <w:sz w:val="28"/>
          <w:lang w:val="zh-CN" w:eastAsia="zh-CN"/>
        </w:rPr>
        <w:t>、</w:t>
      </w:r>
      <w:bookmarkEnd w:id="17"/>
      <w:bookmarkEnd w:id="18"/>
      <w:bookmarkEnd w:id="19"/>
      <w:bookmarkEnd w:id="20"/>
      <w:bookmarkStart w:id="21" w:name="_Toc497206189"/>
      <w:bookmarkStart w:id="22" w:name="_Toc497206299"/>
      <w:bookmarkStart w:id="23" w:name="_Toc24786"/>
      <w:bookmarkStart w:id="24" w:name="_Toc6728"/>
      <w:r>
        <w:rPr>
          <w:rFonts w:hint="eastAsia" w:ascii="仿宋_GB2312" w:hAnsi="仿宋_GB2312" w:eastAsia="仿宋_GB2312" w:cs="仿宋_GB2312"/>
          <w:b/>
          <w:color w:val="auto"/>
          <w:sz w:val="28"/>
          <w:lang w:val="zh-CN" w:eastAsia="zh-CN"/>
        </w:rPr>
        <w:t>运输</w:t>
      </w:r>
    </w:p>
    <w:p w14:paraId="2D4F482C">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lang w:val="en-US" w:eastAsia="zh-CN"/>
        </w:rPr>
      </w:pPr>
      <w:r>
        <w:rPr>
          <w:rFonts w:hint="eastAsia" w:eastAsia="仿宋"/>
          <w:color w:val="auto"/>
          <w:sz w:val="20"/>
          <w:szCs w:val="20"/>
          <w:lang w:val="en-US" w:eastAsia="zh-CN"/>
        </w:rPr>
        <w:t>5.1、乙方负责所有货物的运输。确保货物安全、完整到达使用地点，运杂费用包含在总价内，包括货物从供货地点到使用地点的运输费、保险费、搬运费、安装调试费等。</w:t>
      </w:r>
    </w:p>
    <w:p w14:paraId="6F336CD1">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ascii="Times New Roman" w:hAnsi="Times New Roman" w:eastAsia="仿宋" w:cs="Times New Roman"/>
          <w:color w:val="auto"/>
          <w:sz w:val="20"/>
          <w:szCs w:val="20"/>
          <w:lang w:val="en-US" w:eastAsia="zh-CN"/>
        </w:rPr>
      </w:pPr>
      <w:r>
        <w:rPr>
          <w:rFonts w:hint="eastAsia" w:eastAsia="仿宋"/>
          <w:color w:val="auto"/>
          <w:sz w:val="20"/>
          <w:szCs w:val="20"/>
          <w:lang w:val="en-US" w:eastAsia="zh-CN"/>
        </w:rPr>
        <w:t>5.2、所有货物在运输、搬运、安装、调试的过程中，造成甲方损失的，由乙方为甲方修复或更新。</w:t>
      </w:r>
    </w:p>
    <w:p w14:paraId="55CEA41B">
      <w:pPr>
        <w:pStyle w:val="4"/>
        <w:outlineLvl w:val="2"/>
        <w:rPr>
          <w:rFonts w:hint="eastAsia" w:ascii="仿宋_GB2312" w:hAnsi="仿宋_GB2312" w:eastAsia="仿宋_GB2312" w:cs="仿宋_GB2312"/>
          <w:b/>
          <w:color w:val="auto"/>
          <w:sz w:val="28"/>
          <w:lang w:val="zh-CN" w:eastAsia="zh-CN"/>
        </w:rPr>
      </w:pPr>
      <w:r>
        <w:rPr>
          <w:rFonts w:hint="eastAsia" w:ascii="仿宋_GB2312" w:hAnsi="仿宋_GB2312" w:eastAsia="仿宋_GB2312" w:cs="仿宋_GB2312"/>
          <w:b/>
          <w:color w:val="auto"/>
          <w:sz w:val="28"/>
          <w:lang w:val="en-US" w:eastAsia="zh-CN"/>
        </w:rPr>
        <w:t>6</w:t>
      </w:r>
      <w:r>
        <w:rPr>
          <w:rFonts w:hint="eastAsia" w:ascii="仿宋_GB2312" w:hAnsi="仿宋_GB2312" w:eastAsia="仿宋_GB2312" w:cs="仿宋_GB2312"/>
          <w:b/>
          <w:color w:val="auto"/>
          <w:sz w:val="28"/>
          <w:lang w:val="zh-CN" w:eastAsia="zh-CN"/>
        </w:rPr>
        <w:t>、质量保证</w:t>
      </w:r>
      <w:bookmarkEnd w:id="21"/>
      <w:bookmarkEnd w:id="22"/>
      <w:bookmarkEnd w:id="23"/>
      <w:bookmarkEnd w:id="24"/>
    </w:p>
    <w:p w14:paraId="33128D4D">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default"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.1、质保期：自验收合格之日起</w:t>
      </w:r>
      <w:r>
        <w:rPr>
          <w:rFonts w:hint="eastAsia" w:ascii="Times New Roman" w:hAnsi="Times New Roman" w:eastAsia="仿宋" w:cs="Times New Roman"/>
          <w:bCs/>
          <w:color w:val="auto"/>
          <w:sz w:val="20"/>
          <w:szCs w:val="20"/>
          <w:u w:val="single"/>
          <w:lang w:val="en-US" w:eastAsia="zh-CN"/>
        </w:rPr>
        <w:t xml:space="preserve">       </w:t>
      </w:r>
      <w:r>
        <w:rPr>
          <w:rFonts w:hint="eastAsia" w:ascii="Times New Roman" w:hAnsi="Times New Roman" w:eastAsia="仿宋" w:cs="Times New Roman"/>
          <w:bCs/>
          <w:color w:val="auto"/>
          <w:sz w:val="20"/>
          <w:szCs w:val="20"/>
          <w:lang w:val="en-US" w:eastAsia="zh-CN"/>
        </w:rPr>
        <w:t>年。</w:t>
      </w:r>
    </w:p>
    <w:p w14:paraId="5DD553F5">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2、质保期内：（人为损坏除外）自货物验收合格之日起开始计算，质保期5年，产品上门维修和更新。若保质期内机器损坏，则无理由换新，同时延长一年质保期。保修期内“三包”责任所产生的费用由乙方承担。</w:t>
      </w:r>
    </w:p>
    <w:p w14:paraId="453EDB0F">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default"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.3、乙方须保证提供货物符合甲方的有关标准；保证货物是全新、未使用过的原装合格产品。</w:t>
      </w:r>
    </w:p>
    <w:p w14:paraId="6F0B0512">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4、质保期满后：设备提供上门维护、维修服务，仅收取零配件费用，免人工费和差旅费等其他任何费用。厂家对软件提供终身技术支持，软件免费升级，不收取任何费用。设备在使用寿命周期内，为确保货物的正常使用，乙方派技术人员定期（每年至少一次）对设备进行全面维护和调试。</w:t>
      </w:r>
    </w:p>
    <w:p w14:paraId="2376068B">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w:t>
      </w:r>
      <w:r>
        <w:rPr>
          <w:rFonts w:hint="eastAsia" w:eastAsia="仿宋" w:cs="Times New Roman"/>
          <w:bCs/>
          <w:color w:val="auto"/>
          <w:sz w:val="20"/>
          <w:szCs w:val="20"/>
          <w:lang w:val="en-US" w:eastAsia="zh-CN"/>
        </w:rPr>
        <w:t>5</w:t>
      </w:r>
      <w:r>
        <w:rPr>
          <w:rFonts w:hint="eastAsia" w:ascii="Times New Roman" w:hAnsi="Times New Roman" w:eastAsia="仿宋" w:cs="Times New Roman"/>
          <w:bCs/>
          <w:color w:val="auto"/>
          <w:sz w:val="20"/>
          <w:szCs w:val="20"/>
          <w:lang w:val="en-US" w:eastAsia="zh-CN"/>
        </w:rPr>
        <w:t>、包装要求</w:t>
      </w:r>
    </w:p>
    <w:p w14:paraId="6B499F1E">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ascii="Times New Roman" w:hAnsi="Times New Roman" w:eastAsia="仿宋" w:cs="Times New Roman"/>
          <w:bCs/>
          <w:color w:val="auto"/>
          <w:sz w:val="20"/>
          <w:szCs w:val="20"/>
          <w:lang w:val="en-US" w:eastAsia="zh-CN"/>
        </w:rPr>
        <w:t>（1）除合同另有规定外，乙方提供的全部货物，均应确保安全无损运抵甲方指定地点。</w:t>
      </w:r>
    </w:p>
    <w:p w14:paraId="53B32E93">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ascii="Times New Roman" w:hAnsi="Times New Roman" w:eastAsia="仿宋" w:cs="Times New Roman"/>
          <w:bCs/>
          <w:color w:val="auto"/>
          <w:sz w:val="20"/>
          <w:szCs w:val="20"/>
          <w:lang w:val="en-US" w:eastAsia="zh-CN"/>
        </w:rPr>
        <w:t>（2）每一个包装箱内应附一份详细装箱单。</w:t>
      </w:r>
    </w:p>
    <w:p w14:paraId="628450C0">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w:t>
      </w:r>
      <w:r>
        <w:rPr>
          <w:rFonts w:hint="eastAsia" w:eastAsia="仿宋" w:cs="Times New Roman"/>
          <w:bCs/>
          <w:color w:val="auto"/>
          <w:sz w:val="20"/>
          <w:szCs w:val="20"/>
          <w:lang w:val="en-US" w:eastAsia="zh-CN"/>
        </w:rPr>
        <w:t>6</w:t>
      </w:r>
      <w:r>
        <w:rPr>
          <w:rFonts w:hint="eastAsia" w:ascii="Times New Roman" w:hAnsi="Times New Roman" w:eastAsia="仿宋" w:cs="Times New Roman"/>
          <w:bCs/>
          <w:color w:val="auto"/>
          <w:sz w:val="20"/>
          <w:szCs w:val="20"/>
          <w:lang w:val="en-US" w:eastAsia="zh-CN"/>
        </w:rPr>
        <w:t>、乙方应保证甲方在使用该货物或其任何一部分时免受第三方提出侵犯其专利权、商标权或工业设计权的起诉</w:t>
      </w:r>
    </w:p>
    <w:p w14:paraId="54D715F3">
      <w:pPr>
        <w:pStyle w:val="4"/>
        <w:outlineLvl w:val="2"/>
        <w:rPr>
          <w:rFonts w:hint="eastAsia" w:ascii="仿宋_GB2312" w:hAnsi="仿宋_GB2312" w:eastAsia="仿宋_GB2312" w:cs="仿宋_GB2312"/>
          <w:b/>
          <w:color w:val="auto"/>
          <w:sz w:val="28"/>
          <w:lang w:val="en-US" w:eastAsia="zh-CN"/>
        </w:rPr>
      </w:pPr>
      <w:r>
        <w:rPr>
          <w:rFonts w:hint="eastAsia" w:ascii="仿宋_GB2312" w:hAnsi="仿宋_GB2312" w:eastAsia="仿宋_GB2312" w:cs="仿宋_GB2312"/>
          <w:b/>
          <w:color w:val="auto"/>
          <w:sz w:val="28"/>
          <w:lang w:val="en-US" w:eastAsia="zh-CN"/>
        </w:rPr>
        <w:t>7、售后服务</w:t>
      </w:r>
    </w:p>
    <w:p w14:paraId="03A943F5">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7</w:t>
      </w:r>
      <w:r>
        <w:rPr>
          <w:rFonts w:hint="eastAsia" w:ascii="Times New Roman" w:hAnsi="Times New Roman" w:eastAsia="仿宋" w:cs="Times New Roman"/>
          <w:bCs/>
          <w:color w:val="auto"/>
          <w:sz w:val="20"/>
          <w:szCs w:val="20"/>
          <w:lang w:val="en-US" w:eastAsia="zh-CN"/>
        </w:rPr>
        <w:t>.1、提供技术培训，保证工作人员能够正确操作使用设备；</w:t>
      </w:r>
    </w:p>
    <w:p w14:paraId="57B669F1">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7</w:t>
      </w:r>
      <w:r>
        <w:rPr>
          <w:rFonts w:hint="eastAsia" w:ascii="Times New Roman" w:hAnsi="Times New Roman" w:eastAsia="仿宋" w:cs="Times New Roman"/>
          <w:bCs/>
          <w:color w:val="auto"/>
          <w:sz w:val="20"/>
          <w:szCs w:val="20"/>
          <w:lang w:val="en-US" w:eastAsia="zh-CN"/>
        </w:rPr>
        <w:t>.2、提供质保期内软件版本免费升级服务及应用系统、数据的免费对接服务；</w:t>
      </w:r>
    </w:p>
    <w:p w14:paraId="5D30BD0B">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7</w:t>
      </w:r>
      <w:r>
        <w:rPr>
          <w:rFonts w:hint="eastAsia" w:ascii="Times New Roman" w:hAnsi="Times New Roman" w:eastAsia="仿宋" w:cs="Times New Roman"/>
          <w:bCs/>
          <w:color w:val="auto"/>
          <w:sz w:val="20"/>
          <w:szCs w:val="20"/>
          <w:lang w:val="en-US" w:eastAsia="zh-CN"/>
        </w:rPr>
        <w:t>.3、安装：负责设备安装调试并能正常运行，性能良好。</w:t>
      </w:r>
    </w:p>
    <w:p w14:paraId="721CE6FB">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7</w:t>
      </w:r>
      <w:r>
        <w:rPr>
          <w:rFonts w:hint="eastAsia" w:ascii="Times New Roman" w:hAnsi="Times New Roman" w:eastAsia="仿宋" w:cs="Times New Roman"/>
          <w:bCs/>
          <w:color w:val="auto"/>
          <w:sz w:val="20"/>
          <w:szCs w:val="20"/>
          <w:lang w:val="en-US" w:eastAsia="zh-CN"/>
        </w:rPr>
        <w:t>.4、服务站点：在本地设有售后服务机构或办事处并提供相应证明资料。</w:t>
      </w:r>
    </w:p>
    <w:p w14:paraId="50D4A002">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7</w:t>
      </w:r>
      <w:r>
        <w:rPr>
          <w:rFonts w:hint="eastAsia" w:ascii="Times New Roman" w:hAnsi="Times New Roman" w:eastAsia="仿宋" w:cs="Times New Roman"/>
          <w:bCs/>
          <w:color w:val="auto"/>
          <w:sz w:val="20"/>
          <w:szCs w:val="20"/>
          <w:lang w:val="en-US" w:eastAsia="zh-CN"/>
        </w:rPr>
        <w:t>.5、长期对产品跟踪服务及维修，质保期满后只收材料费，不收修理工时费。</w:t>
      </w:r>
    </w:p>
    <w:p w14:paraId="7CB003DA">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ascii="Times New Roman" w:hAnsi="Times New Roman" w:eastAsia="仿宋" w:cs="Times New Roman"/>
          <w:bCs/>
          <w:color w:val="auto"/>
          <w:sz w:val="20"/>
          <w:szCs w:val="20"/>
          <w:lang w:val="en-US" w:eastAsia="zh-CN"/>
        </w:rPr>
      </w:pPr>
      <w:r>
        <w:rPr>
          <w:rFonts w:hint="eastAsia" w:eastAsia="仿宋" w:cs="Times New Roman"/>
          <w:bCs/>
          <w:color w:val="auto"/>
          <w:sz w:val="20"/>
          <w:szCs w:val="20"/>
          <w:lang w:val="en-US" w:eastAsia="zh-CN"/>
        </w:rPr>
        <w:t>7</w:t>
      </w:r>
      <w:r>
        <w:rPr>
          <w:rFonts w:hint="eastAsia" w:ascii="Times New Roman" w:hAnsi="Times New Roman" w:eastAsia="仿宋" w:cs="Times New Roman"/>
          <w:bCs/>
          <w:color w:val="auto"/>
          <w:sz w:val="20"/>
          <w:szCs w:val="20"/>
          <w:lang w:val="en-US" w:eastAsia="zh-CN"/>
        </w:rPr>
        <w:t>.6、维修响应速度：在接到用户报修通知后2小时内响应，4小时内到达现场，24小时内解决问题。。</w:t>
      </w:r>
    </w:p>
    <w:p w14:paraId="476526DB">
      <w:pPr>
        <w:pStyle w:val="4"/>
        <w:outlineLvl w:val="2"/>
        <w:rPr>
          <w:rFonts w:hint="eastAsia" w:ascii="仿宋_GB2312" w:hAnsi="仿宋_GB2312" w:eastAsia="仿宋_GB2312" w:cs="仿宋_GB2312"/>
          <w:b/>
          <w:color w:val="auto"/>
          <w:sz w:val="28"/>
          <w:lang w:val="en-US" w:eastAsia="zh-CN"/>
        </w:rPr>
      </w:pPr>
      <w:bookmarkStart w:id="25" w:name="_Toc4326"/>
      <w:bookmarkStart w:id="26" w:name="_Toc497206304"/>
      <w:bookmarkStart w:id="27" w:name="_Toc497206194"/>
      <w:bookmarkStart w:id="28" w:name="_Toc23707"/>
      <w:r>
        <w:rPr>
          <w:rFonts w:hint="eastAsia" w:ascii="仿宋_GB2312" w:hAnsi="仿宋_GB2312" w:eastAsia="仿宋_GB2312" w:cs="仿宋_GB2312"/>
          <w:b/>
          <w:color w:val="auto"/>
          <w:sz w:val="28"/>
          <w:lang w:val="en-US" w:eastAsia="zh-CN"/>
        </w:rPr>
        <w:t>8、技术服务</w:t>
      </w:r>
    </w:p>
    <w:p w14:paraId="10C25F4E">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8.1、服务承诺：投标文件中有明确且具体、切实可行的技术服务承诺。</w:t>
      </w:r>
    </w:p>
    <w:p w14:paraId="27C256C6">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售后服务体系：</w:t>
      </w:r>
    </w:p>
    <w:p w14:paraId="1B71DD22">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（1）提供本地区同类用户售后服务系统网络图、主要负责人的姓名、联系电话、营业场所详细地址。</w:t>
      </w:r>
    </w:p>
    <w:p w14:paraId="2EE5557A">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（2）提供具体负责本用户的售后服务人员姓名、联系电话、联系地址。</w:t>
      </w:r>
    </w:p>
    <w:p w14:paraId="1654508B">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8.2、售后服务承诺：</w:t>
      </w:r>
    </w:p>
    <w:p w14:paraId="16382C98">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（1）发生故障后最短和最长的响应时间（以接到报修电话起至维修人员到达现场止所需时间）。</w:t>
      </w:r>
    </w:p>
    <w:p w14:paraId="7E8DD1C7">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（2）质量保修期间的承诺。</w:t>
      </w:r>
    </w:p>
    <w:p w14:paraId="65FB869B">
      <w:pPr>
        <w:keepNext w:val="0"/>
        <w:keepLines w:val="0"/>
        <w:pageBreakBefore w:val="0"/>
        <w:kinsoku/>
        <w:wordWrap/>
        <w:overflowPunct/>
        <w:topLinePunct w:val="0"/>
        <w:autoSpaceDE w:val="0"/>
        <w:autoSpaceDN w:val="0"/>
        <w:bidi w:val="0"/>
        <w:adjustRightInd w:val="0"/>
        <w:spacing w:line="240" w:lineRule="auto"/>
        <w:ind w:firstLine="400" w:firstLineChars="200"/>
        <w:textAlignment w:val="auto"/>
        <w:rPr>
          <w:rFonts w:hint="eastAsia" w:eastAsia="仿宋" w:cs="Times New Roman"/>
          <w:bCs/>
          <w:color w:val="auto"/>
          <w:sz w:val="20"/>
          <w:szCs w:val="20"/>
          <w:lang w:val="en-US" w:eastAsia="zh-CN"/>
        </w:rPr>
      </w:pPr>
      <w:r>
        <w:rPr>
          <w:rFonts w:hint="eastAsia" w:eastAsia="仿宋" w:cs="Times New Roman"/>
          <w:bCs/>
          <w:color w:val="auto"/>
          <w:sz w:val="20"/>
          <w:szCs w:val="20"/>
          <w:lang w:val="en-US" w:eastAsia="zh-CN"/>
        </w:rPr>
        <w:t xml:space="preserve">（3）质量保修期后的承诺，包括常年维修服务的收费标准、易损零配件的价格表等。 </w:t>
      </w:r>
    </w:p>
    <w:p w14:paraId="44556855">
      <w:pPr>
        <w:pStyle w:val="4"/>
        <w:outlineLvl w:val="2"/>
        <w:rPr>
          <w:rFonts w:hint="eastAsia" w:ascii="仿宋_GB2312" w:hAnsi="仿宋_GB2312" w:eastAsia="仿宋_GB2312" w:cs="仿宋_GB2312"/>
          <w:b/>
          <w:color w:val="auto"/>
          <w:sz w:val="28"/>
          <w:lang w:val="zh-CN" w:eastAsia="zh-CN"/>
        </w:rPr>
      </w:pPr>
      <w:r>
        <w:rPr>
          <w:rFonts w:hint="eastAsia" w:ascii="仿宋_GB2312" w:hAnsi="仿宋_GB2312" w:eastAsia="仿宋_GB2312" w:cs="仿宋_GB2312"/>
          <w:b/>
          <w:color w:val="auto"/>
          <w:sz w:val="28"/>
          <w:lang w:val="en-US" w:eastAsia="zh-CN"/>
        </w:rPr>
        <w:t>9</w:t>
      </w:r>
      <w:r>
        <w:rPr>
          <w:rFonts w:hint="eastAsia" w:ascii="仿宋_GB2312" w:hAnsi="仿宋_GB2312" w:eastAsia="仿宋_GB2312" w:cs="仿宋_GB2312"/>
          <w:b/>
          <w:color w:val="auto"/>
          <w:sz w:val="28"/>
          <w:lang w:val="zh-CN" w:eastAsia="zh-CN"/>
        </w:rPr>
        <w:t>、验收</w:t>
      </w:r>
      <w:bookmarkEnd w:id="25"/>
      <w:bookmarkEnd w:id="26"/>
      <w:bookmarkEnd w:id="27"/>
      <w:bookmarkEnd w:id="28"/>
    </w:p>
    <w:p w14:paraId="04CE7290">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9.1、产品到达甲方指定交付地点并安装完毕后，甲、乙双方共同进行验收。</w:t>
      </w:r>
    </w:p>
    <w:p w14:paraId="78E66566">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9.2、项目验收分初验和终验：</w:t>
      </w:r>
    </w:p>
    <w:p w14:paraId="591B88C9">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（1）初验：完成安装调试，由甲方有关部门按照合同、招标文件、投标文件等资料要求，进行验收。</w:t>
      </w:r>
    </w:p>
    <w:p w14:paraId="381BEE58">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2）终验：项目完成初验，并正常运行后，甲方组织终验，若验收时系统运行状态稳定，各项功能均符合要求，则判定为验收通过，合格后签发《终验合格单》。按乙方投标文件的承诺，并不低于国家相关标准。</w:t>
      </w:r>
    </w:p>
    <w:p w14:paraId="7C185014">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3）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根据招标文件要求、投标文件及合同约定执行。</w:t>
      </w:r>
    </w:p>
    <w:p w14:paraId="145C84C6">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9.3、验收标准:（1）产品外形有无破损；（2）产品运行是否稳定；（3）功能是否实现；（4）产品是否符合招标文件中规定的技术要求；（5）相关法律法规规定的验收标准。</w:t>
      </w:r>
    </w:p>
    <w:p w14:paraId="3F456CCA">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9.4、双方在进行验收后应签署书面验收报告，在验收中，如果发现产品与本合同规定不符，甲方有权拒收，有权拒付全部或部分货款。</w:t>
      </w:r>
    </w:p>
    <w:p w14:paraId="4C78E83E">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9.5、如产品存在隐蔽瑕疵或质量问题，甲方在验收后仍有权向乙方提出异议，乙方应按本合同第十一条的规定承担产品不符合合同规定的违约责任。</w:t>
      </w:r>
    </w:p>
    <w:p w14:paraId="6C0C8696">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9.6、验收依据：</w:t>
      </w:r>
    </w:p>
    <w:p w14:paraId="048111FA">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（1）合同文本、合同附件、招标</w:t>
      </w:r>
      <w:r>
        <w:rPr>
          <w:rFonts w:hint="eastAsia" w:eastAsia="仿宋"/>
          <w:color w:val="auto"/>
          <w:sz w:val="20"/>
          <w:szCs w:val="20"/>
          <w:lang w:val="zh-CN"/>
        </w:rPr>
        <w:t>文件</w:t>
      </w:r>
      <w:r>
        <w:rPr>
          <w:rFonts w:hint="eastAsia" w:eastAsia="仿宋"/>
          <w:color w:val="auto"/>
          <w:sz w:val="20"/>
          <w:szCs w:val="20"/>
        </w:rPr>
        <w:t>、投标文件、原厂质保文件。</w:t>
      </w:r>
    </w:p>
    <w:p w14:paraId="283F7EE2">
      <w:pPr>
        <w:keepNext w:val="0"/>
        <w:keepLines w:val="0"/>
        <w:pageBreakBefore w:val="0"/>
        <w:kinsoku/>
        <w:wordWrap/>
        <w:overflowPunct/>
        <w:topLinePunct w:val="0"/>
        <w:bidi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（2）国内相应的标准、规范。</w:t>
      </w:r>
    </w:p>
    <w:p w14:paraId="4DAAAC4A">
      <w:pPr>
        <w:pStyle w:val="4"/>
        <w:outlineLvl w:val="2"/>
        <w:rPr>
          <w:rFonts w:hint="eastAsia" w:ascii="仿宋_GB2312" w:hAnsi="仿宋_GB2312" w:eastAsia="仿宋_GB2312" w:cs="仿宋_GB2312"/>
          <w:b/>
          <w:color w:val="auto"/>
          <w:sz w:val="28"/>
          <w:lang w:val="en-US" w:eastAsia="zh-CN"/>
        </w:rPr>
      </w:pPr>
      <w:bookmarkStart w:id="29" w:name="_Toc497206195"/>
      <w:bookmarkStart w:id="30" w:name="_Toc25680"/>
      <w:bookmarkStart w:id="31" w:name="_Toc497206305"/>
      <w:bookmarkStart w:id="32" w:name="_Toc29166"/>
      <w:r>
        <w:rPr>
          <w:rFonts w:hint="eastAsia" w:ascii="仿宋_GB2312" w:hAnsi="仿宋_GB2312" w:eastAsia="仿宋_GB2312" w:cs="仿宋_GB2312"/>
          <w:b/>
          <w:color w:val="auto"/>
          <w:sz w:val="28"/>
          <w:lang w:val="en-US" w:eastAsia="zh-CN"/>
        </w:rPr>
        <w:t>10</w:t>
      </w:r>
      <w:r>
        <w:rPr>
          <w:rFonts w:hint="eastAsia" w:ascii="仿宋_GB2312" w:hAnsi="仿宋_GB2312" w:eastAsia="仿宋_GB2312" w:cs="仿宋_GB2312"/>
          <w:b/>
          <w:color w:val="auto"/>
          <w:sz w:val="28"/>
          <w:lang w:val="zh-CN" w:eastAsia="zh-CN"/>
        </w:rPr>
        <w:t>、</w:t>
      </w:r>
      <w:r>
        <w:rPr>
          <w:rFonts w:hint="eastAsia" w:ascii="仿宋_GB2312" w:hAnsi="仿宋_GB2312" w:eastAsia="仿宋_GB2312" w:cs="仿宋_GB2312"/>
          <w:b/>
          <w:color w:val="auto"/>
          <w:sz w:val="28"/>
          <w:lang w:val="en-US" w:eastAsia="zh-CN"/>
        </w:rPr>
        <w:t>权利与义务</w:t>
      </w:r>
      <w:bookmarkStart w:id="33" w:name="_Toc476761655"/>
      <w:bookmarkStart w:id="34" w:name="_Toc468550424"/>
      <w:bookmarkStart w:id="35" w:name="_Toc466270652"/>
      <w:bookmarkStart w:id="36" w:name="_Toc465511118"/>
      <w:bookmarkStart w:id="37" w:name="_Toc465511163"/>
      <w:bookmarkStart w:id="38" w:name="_Toc465510860"/>
    </w:p>
    <w:p w14:paraId="3A03D5B0">
      <w:pPr>
        <w:keepNext w:val="0"/>
        <w:keepLines w:val="0"/>
        <w:pageBreakBefore w:val="0"/>
        <w:kinsoku/>
        <w:wordWrap/>
        <w:overflowPunct/>
        <w:topLinePunct w:val="0"/>
        <w:bidi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10.1、甲方的权利与义务</w:t>
      </w:r>
      <w:bookmarkEnd w:id="33"/>
      <w:bookmarkEnd w:id="34"/>
      <w:bookmarkEnd w:id="35"/>
      <w:bookmarkEnd w:id="36"/>
      <w:bookmarkEnd w:id="37"/>
      <w:bookmarkEnd w:id="38"/>
    </w:p>
    <w:p w14:paraId="434E1858">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0"/>
          <w:sz w:val="20"/>
          <w:szCs w:val="20"/>
        </w:rPr>
        <w:t>（1）甲方有权要求</w:t>
      </w:r>
      <w:r>
        <w:rPr>
          <w:rFonts w:hint="eastAsia" w:eastAsia="仿宋"/>
          <w:color w:val="auto"/>
          <w:kern w:val="28"/>
          <w:sz w:val="20"/>
          <w:szCs w:val="20"/>
        </w:rPr>
        <w:t>乙方供货的项目内容符合国家相关规范，符合国家验收标准，能够通过国家验收。</w:t>
      </w:r>
    </w:p>
    <w:p w14:paraId="219EA178">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0"/>
          <w:sz w:val="20"/>
          <w:szCs w:val="20"/>
        </w:rPr>
        <w:t>（2）</w:t>
      </w:r>
      <w:r>
        <w:rPr>
          <w:rFonts w:hint="eastAsia" w:eastAsia="仿宋"/>
          <w:color w:val="auto"/>
          <w:kern w:val="28"/>
          <w:sz w:val="20"/>
          <w:szCs w:val="20"/>
        </w:rPr>
        <w:t>甲方有权要求乙方配合甲方完成所采购项目内容的验收工作。</w:t>
      </w:r>
    </w:p>
    <w:p w14:paraId="7D898322">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0"/>
          <w:sz w:val="20"/>
          <w:szCs w:val="20"/>
        </w:rPr>
        <w:t>（3）</w:t>
      </w:r>
      <w:r>
        <w:rPr>
          <w:rFonts w:hint="eastAsia" w:eastAsia="仿宋"/>
          <w:color w:val="auto"/>
          <w:kern w:val="28"/>
          <w:sz w:val="20"/>
          <w:szCs w:val="20"/>
        </w:rPr>
        <w:t>甲方有权要求乙方提供的产品所涉及的第三方权利进行免责。</w:t>
      </w:r>
    </w:p>
    <w:p w14:paraId="008DDF50">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0"/>
          <w:sz w:val="20"/>
          <w:szCs w:val="20"/>
        </w:rPr>
        <w:t>（4）</w:t>
      </w:r>
      <w:r>
        <w:rPr>
          <w:rFonts w:hint="eastAsia" w:eastAsia="仿宋"/>
          <w:color w:val="auto"/>
          <w:kern w:val="28"/>
          <w:sz w:val="20"/>
          <w:szCs w:val="20"/>
        </w:rPr>
        <w:t>甲方有义务保证按合同所规定的内容及时间支付乙方相关费用。</w:t>
      </w:r>
    </w:p>
    <w:p w14:paraId="0D361A34">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0"/>
          <w:sz w:val="20"/>
          <w:szCs w:val="20"/>
        </w:rPr>
        <w:t>（5）</w:t>
      </w:r>
      <w:r>
        <w:rPr>
          <w:rFonts w:hint="eastAsia" w:eastAsia="仿宋"/>
          <w:color w:val="auto"/>
          <w:kern w:val="28"/>
          <w:sz w:val="20"/>
          <w:szCs w:val="20"/>
        </w:rPr>
        <w:t>协调乙方供货时与其他单位的关系。</w:t>
      </w:r>
    </w:p>
    <w:p w14:paraId="4BFCC4AB">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0"/>
          <w:sz w:val="20"/>
          <w:szCs w:val="20"/>
        </w:rPr>
        <w:t>（6）</w:t>
      </w:r>
      <w:r>
        <w:rPr>
          <w:rFonts w:hint="eastAsia" w:eastAsia="仿宋"/>
          <w:color w:val="auto"/>
          <w:kern w:val="28"/>
          <w:sz w:val="20"/>
          <w:szCs w:val="20"/>
        </w:rPr>
        <w:t>乙方不能按甲方要求及时供货，甲方有单方解除合同的权利。</w:t>
      </w:r>
    </w:p>
    <w:p w14:paraId="713F2A6A">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0"/>
          <w:sz w:val="20"/>
          <w:szCs w:val="20"/>
        </w:rPr>
        <w:t>（7）</w:t>
      </w:r>
      <w:r>
        <w:rPr>
          <w:rFonts w:hint="eastAsia" w:eastAsia="仿宋"/>
          <w:color w:val="auto"/>
          <w:kern w:val="28"/>
          <w:sz w:val="20"/>
          <w:szCs w:val="20"/>
        </w:rPr>
        <w:t>因乙方原因实施延误，给甲方造成损失或被第三方要求索赔的，乙方应全额承担。</w:t>
      </w:r>
      <w:bookmarkStart w:id="39" w:name="_Toc468550425"/>
      <w:bookmarkStart w:id="40" w:name="_Toc476761656"/>
      <w:bookmarkStart w:id="41" w:name="_Toc465511119"/>
      <w:bookmarkStart w:id="42" w:name="_Toc465511164"/>
      <w:bookmarkStart w:id="43" w:name="_Toc466270653"/>
      <w:bookmarkStart w:id="44" w:name="_Toc465510861"/>
    </w:p>
    <w:p w14:paraId="002317EC">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10.2、乙方的权利与义务</w:t>
      </w:r>
      <w:bookmarkEnd w:id="39"/>
      <w:bookmarkEnd w:id="40"/>
      <w:bookmarkEnd w:id="41"/>
      <w:bookmarkEnd w:id="42"/>
      <w:bookmarkEnd w:id="43"/>
      <w:bookmarkEnd w:id="44"/>
    </w:p>
    <w:p w14:paraId="7253189E">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（1）乙方应按本合同的规定供货，并保证产品质量。</w:t>
      </w:r>
    </w:p>
    <w:p w14:paraId="7449463F">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（2）乙方有义务配合甲方参与项目的验收工作，并确保所供货物符合本项目国家现行标准。</w:t>
      </w:r>
    </w:p>
    <w:p w14:paraId="47198AA6">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（3）乙方产品进场时应充分了解甲方的现场各项管理标准文件，并在进场后全面服从甲方的管理制度、管理细则等。</w:t>
      </w:r>
    </w:p>
    <w:p w14:paraId="7F67DF92">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（4）遵守产品安装作业的有关规定，做好作业现场安全管理；协助甲方做好作业现场的安全保卫、防火防盗工作，确保作业顺利进行；接受甲方现场管理人员的监督和检查，保证作业质量和安全文明作业。</w:t>
      </w:r>
    </w:p>
    <w:p w14:paraId="3845A82C">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（5）按甲方指定地点将货物码放整齐，及时清运过程中产生的垃圾，保持现场整洁。</w:t>
      </w:r>
    </w:p>
    <w:p w14:paraId="2AC05974">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28"/>
          <w:sz w:val="20"/>
          <w:szCs w:val="20"/>
        </w:rPr>
        <w:t>（6）乙方施工期间不能影响甲方的正常教学活动。</w:t>
      </w:r>
    </w:p>
    <w:p w14:paraId="38D77C9D">
      <w:pPr>
        <w:keepNext w:val="0"/>
        <w:keepLines w:val="0"/>
        <w:pageBreakBefore w:val="0"/>
        <w:kinsoku/>
        <w:wordWrap/>
        <w:overflowPunct/>
        <w:topLinePunct w:val="0"/>
        <w:bidi w:val="0"/>
        <w:spacing w:line="240" w:lineRule="auto"/>
        <w:ind w:firstLine="400" w:firstLineChars="200"/>
        <w:textAlignment w:val="auto"/>
        <w:rPr>
          <w:rFonts w:eastAsia="仿宋"/>
          <w:color w:val="auto"/>
          <w:kern w:val="28"/>
          <w:sz w:val="20"/>
          <w:szCs w:val="20"/>
        </w:rPr>
      </w:pPr>
      <w:r>
        <w:rPr>
          <w:rFonts w:hint="eastAsia" w:eastAsia="仿宋"/>
          <w:color w:val="auto"/>
          <w:kern w:val="28"/>
          <w:sz w:val="20"/>
          <w:szCs w:val="20"/>
        </w:rPr>
        <w:t>（7）乙方施工前须向甲方提供施工方案，待甲方确认后，方可进行施工。</w:t>
      </w:r>
    </w:p>
    <w:p w14:paraId="4CBBAB21">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（8）在货物验收时，向</w:t>
      </w:r>
      <w:r>
        <w:rPr>
          <w:rFonts w:hint="eastAsia" w:eastAsia="仿宋"/>
          <w:color w:val="auto"/>
          <w:kern w:val="28"/>
          <w:sz w:val="20"/>
          <w:szCs w:val="20"/>
          <w:lang w:val="en-US" w:eastAsia="zh-CN"/>
        </w:rPr>
        <w:t>甲方</w:t>
      </w:r>
      <w:r>
        <w:rPr>
          <w:rFonts w:hint="eastAsia" w:eastAsia="仿宋"/>
          <w:color w:val="auto"/>
          <w:kern w:val="28"/>
          <w:sz w:val="20"/>
          <w:szCs w:val="20"/>
        </w:rPr>
        <w:t>提供《货物合格证》、《货物使用说明书》等技术文件。</w:t>
      </w:r>
    </w:p>
    <w:p w14:paraId="2DCCBF85">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（9）项目中所涉及的所有相关政府部门审批手续全部由乙方协调办理，且支付相关费用，甲方不再办理其相关手续及支付相关费用。</w:t>
      </w:r>
    </w:p>
    <w:p w14:paraId="382AD18E">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rPr>
        <w:t>（10）质量保证期内发生质量问题的，应当免费及时进行更换或维修。</w:t>
      </w:r>
    </w:p>
    <w:p w14:paraId="73B7AE18">
      <w:pPr>
        <w:pStyle w:val="4"/>
        <w:outlineLvl w:val="2"/>
        <w:rPr>
          <w:rFonts w:hint="eastAsia" w:ascii="仿宋_GB2312" w:hAnsi="仿宋_GB2312" w:eastAsia="仿宋_GB2312" w:cs="仿宋_GB2312"/>
          <w:b/>
          <w:color w:val="auto"/>
          <w:sz w:val="28"/>
          <w:lang w:val="zh-CN" w:eastAsia="zh-CN"/>
        </w:rPr>
      </w:pPr>
      <w:r>
        <w:rPr>
          <w:rFonts w:hint="eastAsia" w:ascii="仿宋_GB2312" w:hAnsi="仿宋_GB2312" w:eastAsia="仿宋_GB2312" w:cs="仿宋_GB2312"/>
          <w:b/>
          <w:color w:val="auto"/>
          <w:sz w:val="28"/>
          <w:lang w:val="en-US" w:eastAsia="zh-CN"/>
        </w:rPr>
        <w:t>11、</w:t>
      </w:r>
      <w:r>
        <w:rPr>
          <w:rFonts w:hint="eastAsia" w:ascii="仿宋_GB2312" w:hAnsi="仿宋_GB2312" w:eastAsia="仿宋_GB2312" w:cs="仿宋_GB2312"/>
          <w:b/>
          <w:color w:val="auto"/>
          <w:sz w:val="28"/>
          <w:lang w:val="zh-CN" w:eastAsia="zh-CN"/>
        </w:rPr>
        <w:t>违约责任</w:t>
      </w:r>
      <w:bookmarkEnd w:id="29"/>
      <w:bookmarkEnd w:id="30"/>
      <w:bookmarkEnd w:id="31"/>
      <w:bookmarkEnd w:id="32"/>
    </w:p>
    <w:p w14:paraId="00C3F36E">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bookmarkStart w:id="45" w:name="_Toc497206196"/>
      <w:bookmarkStart w:id="46" w:name="_Toc497206306"/>
      <w:r>
        <w:rPr>
          <w:rFonts w:hint="eastAsia" w:eastAsia="仿宋"/>
          <w:color w:val="auto"/>
          <w:kern w:val="28"/>
          <w:sz w:val="20"/>
          <w:szCs w:val="20"/>
        </w:rPr>
        <w:t>依据《中华人民共和国民法典》、《中华人民共和国政府采购法》的相关条款和本合同约定，乙方未全面履行合同义务或者发生违约，甲方有权终止合同，依法向乙方进行经济索赔，并报请政府采购监督管理机关进行相应的行政处罚。甲方违约的，应当赔偿给乙方造成的经济损失。具体如下：</w:t>
      </w:r>
    </w:p>
    <w:p w14:paraId="5F32BEB5">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lang w:val="en-US" w:eastAsia="zh-CN"/>
        </w:rPr>
        <w:t>11.</w:t>
      </w:r>
      <w:r>
        <w:rPr>
          <w:rFonts w:hint="eastAsia" w:eastAsia="仿宋"/>
          <w:color w:val="auto"/>
          <w:kern w:val="28"/>
          <w:sz w:val="20"/>
          <w:szCs w:val="20"/>
        </w:rPr>
        <w:t>1</w:t>
      </w:r>
      <w:r>
        <w:rPr>
          <w:rFonts w:hint="eastAsia" w:eastAsia="仿宋"/>
          <w:color w:val="auto"/>
          <w:kern w:val="0"/>
          <w:sz w:val="20"/>
          <w:szCs w:val="20"/>
        </w:rPr>
        <w:t>、</w:t>
      </w:r>
      <w:r>
        <w:rPr>
          <w:rFonts w:hint="eastAsia" w:eastAsia="仿宋"/>
          <w:color w:val="auto"/>
          <w:kern w:val="28"/>
          <w:sz w:val="20"/>
          <w:szCs w:val="20"/>
        </w:rPr>
        <w:t>如果乙方未按本合同及招标文件约定的期限、地点和方式履行义务（非不可抗力原因除外），须向甲方支付违约金。每迟延履行1日，按最终审定价款的1%扣除，违约金总额最高不超过最终审定价款的20%。乙方迟延履行期限不得超过20日，逾期超过该期限的，甲方有权以书面形式通知乙方解除本合同。乙方每迟延履行1日，甲方有权在本合同支付约定的基础上推迟付款10日。</w:t>
      </w:r>
    </w:p>
    <w:p w14:paraId="1420D44B">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lang w:val="en-US" w:eastAsia="zh-CN"/>
        </w:rPr>
        <w:t>11.</w:t>
      </w:r>
      <w:r>
        <w:rPr>
          <w:rFonts w:hint="eastAsia" w:eastAsia="仿宋"/>
          <w:color w:val="auto"/>
          <w:kern w:val="28"/>
          <w:sz w:val="20"/>
          <w:szCs w:val="20"/>
        </w:rPr>
        <w:t>2</w:t>
      </w:r>
      <w:r>
        <w:rPr>
          <w:rFonts w:hint="eastAsia" w:eastAsia="仿宋"/>
          <w:color w:val="auto"/>
          <w:kern w:val="0"/>
          <w:sz w:val="20"/>
          <w:szCs w:val="20"/>
        </w:rPr>
        <w:t>、</w:t>
      </w:r>
      <w:r>
        <w:rPr>
          <w:rFonts w:hint="eastAsia" w:eastAsia="仿宋"/>
          <w:color w:val="auto"/>
          <w:kern w:val="28"/>
          <w:sz w:val="20"/>
          <w:szCs w:val="20"/>
        </w:rPr>
        <w:t>若乙方交付的产品质量不符合本合同及招标文件要求，乙方应在24小时内予以更换或维修，并承担因修理、调换、运输所产生的全部费用。若乙方未及时响应，或经修理、调换后的产品仍未达到合同约定标准，甲方有权要求乙方按质量缺陷部分货款的300%支付违约金；如甲方已支付该部分货款，乙方须无条件退还。因质量问题导致的工期延误，由乙方承担全部责任。</w:t>
      </w:r>
    </w:p>
    <w:p w14:paraId="750D6F6F">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lang w:val="en-US" w:eastAsia="zh-CN"/>
        </w:rPr>
        <w:t>11.</w:t>
      </w:r>
      <w:r>
        <w:rPr>
          <w:rFonts w:hint="eastAsia" w:eastAsia="仿宋"/>
          <w:color w:val="auto"/>
          <w:kern w:val="28"/>
          <w:sz w:val="20"/>
          <w:szCs w:val="20"/>
        </w:rPr>
        <w:t>3</w:t>
      </w:r>
      <w:r>
        <w:rPr>
          <w:rFonts w:hint="eastAsia" w:eastAsia="仿宋"/>
          <w:color w:val="auto"/>
          <w:kern w:val="0"/>
          <w:sz w:val="20"/>
          <w:szCs w:val="20"/>
        </w:rPr>
        <w:t>、</w:t>
      </w:r>
      <w:r>
        <w:rPr>
          <w:rFonts w:hint="eastAsia" w:eastAsia="仿宋"/>
          <w:color w:val="auto"/>
          <w:kern w:val="28"/>
          <w:sz w:val="20"/>
          <w:szCs w:val="20"/>
        </w:rPr>
        <w:t>在质保期内，乙方须按甲方要求开展设备检测及运营维护工作。期间如发生设备、线路损坏或其他故障，乙方须在24小时内完成维修或更换，并承担相应费用。若乙方未及时响应，或经维修、更换后的设备仍未达到合同约定标准，甲方有权扣除</w:t>
      </w:r>
      <w:r>
        <w:rPr>
          <w:rFonts w:hint="eastAsia" w:eastAsia="仿宋"/>
          <w:color w:val="auto"/>
          <w:kern w:val="28"/>
          <w:sz w:val="20"/>
          <w:szCs w:val="20"/>
          <w:lang w:val="en-US" w:eastAsia="zh-CN"/>
        </w:rPr>
        <w:t>履约</w:t>
      </w:r>
      <w:r>
        <w:rPr>
          <w:rFonts w:hint="eastAsia" w:eastAsia="仿宋"/>
          <w:color w:val="auto"/>
          <w:kern w:val="28"/>
          <w:sz w:val="20"/>
          <w:szCs w:val="20"/>
        </w:rPr>
        <w:t>保证金；若扣除的</w:t>
      </w:r>
      <w:r>
        <w:rPr>
          <w:rFonts w:hint="eastAsia" w:eastAsia="仿宋"/>
          <w:color w:val="auto"/>
          <w:kern w:val="28"/>
          <w:sz w:val="20"/>
          <w:szCs w:val="20"/>
          <w:lang w:val="en-US" w:eastAsia="zh-CN"/>
        </w:rPr>
        <w:t>履约</w:t>
      </w:r>
      <w:r>
        <w:rPr>
          <w:rFonts w:hint="eastAsia" w:eastAsia="仿宋"/>
          <w:color w:val="auto"/>
          <w:kern w:val="28"/>
          <w:sz w:val="20"/>
          <w:szCs w:val="20"/>
        </w:rPr>
        <w:t>保证金不足以弥补甲方实际损失，乙方应就差额部分承担赔偿责任。</w:t>
      </w:r>
    </w:p>
    <w:p w14:paraId="236A6C6F">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lang w:val="en-US" w:eastAsia="zh-CN"/>
        </w:rPr>
        <w:t>11.</w:t>
      </w:r>
      <w:r>
        <w:rPr>
          <w:rFonts w:hint="eastAsia" w:eastAsia="仿宋"/>
          <w:color w:val="auto"/>
          <w:kern w:val="28"/>
          <w:sz w:val="20"/>
          <w:szCs w:val="20"/>
        </w:rPr>
        <w:t>4</w:t>
      </w:r>
      <w:r>
        <w:rPr>
          <w:rFonts w:hint="eastAsia" w:eastAsia="仿宋"/>
          <w:color w:val="auto"/>
          <w:kern w:val="0"/>
          <w:sz w:val="20"/>
          <w:szCs w:val="20"/>
        </w:rPr>
        <w:t>、</w:t>
      </w:r>
      <w:r>
        <w:rPr>
          <w:rFonts w:hint="eastAsia" w:eastAsia="仿宋"/>
          <w:color w:val="auto"/>
          <w:kern w:val="28"/>
          <w:sz w:val="20"/>
          <w:szCs w:val="20"/>
        </w:rPr>
        <w:t>乙方未在成交通知书发出30日内提交给甲方签字盖章的合同原件延期签署合同或未在约定的工期内交付本项目（非不可抗力原因除外），乙方每延期1日，甲方有权在本合同支付约定的基础上推迟付款10日，延期签署合同延期日和延期交付延期日累加计算。</w:t>
      </w:r>
    </w:p>
    <w:p w14:paraId="14CD50FA">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lang w:val="en-US" w:eastAsia="zh-CN"/>
        </w:rPr>
        <w:t>11.</w:t>
      </w:r>
      <w:r>
        <w:rPr>
          <w:rFonts w:hint="eastAsia" w:eastAsia="仿宋"/>
          <w:color w:val="auto"/>
          <w:kern w:val="28"/>
          <w:sz w:val="20"/>
          <w:szCs w:val="20"/>
        </w:rPr>
        <w:t>5</w:t>
      </w:r>
      <w:r>
        <w:rPr>
          <w:rFonts w:hint="eastAsia" w:eastAsia="仿宋"/>
          <w:color w:val="auto"/>
          <w:kern w:val="0"/>
          <w:sz w:val="20"/>
          <w:szCs w:val="20"/>
        </w:rPr>
        <w:t>、</w:t>
      </w:r>
      <w:r>
        <w:rPr>
          <w:rFonts w:hint="eastAsia" w:eastAsia="仿宋"/>
          <w:color w:val="auto"/>
          <w:kern w:val="28"/>
          <w:sz w:val="20"/>
          <w:szCs w:val="20"/>
        </w:rPr>
        <w:t>除不可抗力外，任何一方未能履行本合同约定的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4B66B4A3">
      <w:pPr>
        <w:keepNext w:val="0"/>
        <w:keepLines w:val="0"/>
        <w:pageBreakBefore w:val="0"/>
        <w:kinsoku/>
        <w:wordWrap/>
        <w:overflowPunct/>
        <w:topLinePunct w:val="0"/>
        <w:bidi w:val="0"/>
        <w:spacing w:line="240" w:lineRule="auto"/>
        <w:ind w:firstLine="400" w:firstLineChars="200"/>
        <w:textAlignment w:val="auto"/>
        <w:rPr>
          <w:rFonts w:hint="eastAsia" w:eastAsia="仿宋"/>
          <w:color w:val="auto"/>
          <w:kern w:val="28"/>
          <w:sz w:val="20"/>
          <w:szCs w:val="20"/>
        </w:rPr>
      </w:pPr>
      <w:r>
        <w:rPr>
          <w:rFonts w:hint="eastAsia" w:eastAsia="仿宋"/>
          <w:color w:val="auto"/>
          <w:kern w:val="28"/>
          <w:sz w:val="20"/>
          <w:szCs w:val="20"/>
          <w:lang w:val="en-US" w:eastAsia="zh-CN"/>
        </w:rPr>
        <w:t>11.</w:t>
      </w:r>
      <w:r>
        <w:rPr>
          <w:rFonts w:hint="eastAsia" w:eastAsia="仿宋"/>
          <w:color w:val="auto"/>
          <w:kern w:val="28"/>
          <w:sz w:val="20"/>
          <w:szCs w:val="20"/>
        </w:rPr>
        <w:t>6</w:t>
      </w:r>
      <w:r>
        <w:rPr>
          <w:rFonts w:hint="eastAsia" w:eastAsia="仿宋"/>
          <w:color w:val="auto"/>
          <w:kern w:val="0"/>
          <w:sz w:val="20"/>
          <w:szCs w:val="20"/>
        </w:rPr>
        <w:t>、</w:t>
      </w:r>
      <w:r>
        <w:rPr>
          <w:rFonts w:hint="eastAsia" w:eastAsia="仿宋"/>
          <w:color w:val="auto"/>
          <w:kern w:val="28"/>
          <w:sz w:val="20"/>
          <w:szCs w:val="20"/>
        </w:rPr>
        <w:t>按照前述约定要求违约方支付违约金的同时，仍有权要求违约方继续履行合同、采取补救措施，并有权按照</w:t>
      </w:r>
      <w:r>
        <w:rPr>
          <w:rFonts w:hint="eastAsia" w:eastAsia="仿宋"/>
          <w:color w:val="auto"/>
          <w:kern w:val="28"/>
          <w:sz w:val="20"/>
          <w:szCs w:val="20"/>
          <w:lang w:val="en-US" w:eastAsia="zh-CN"/>
        </w:rPr>
        <w:t>己</w:t>
      </w:r>
      <w:r>
        <w:rPr>
          <w:rFonts w:hint="eastAsia" w:eastAsia="仿宋"/>
          <w:color w:val="auto"/>
          <w:kern w:val="28"/>
          <w:sz w:val="20"/>
          <w:szCs w:val="20"/>
        </w:rPr>
        <w:t>方实际损失情况要求违约方赔偿损失；任何一方按照前述约定要求解除本合同的同时，仍有权要求违约方支付违约金和按照</w:t>
      </w:r>
      <w:r>
        <w:rPr>
          <w:rFonts w:hint="eastAsia" w:eastAsia="仿宋"/>
          <w:color w:val="auto"/>
          <w:kern w:val="28"/>
          <w:sz w:val="20"/>
          <w:szCs w:val="20"/>
          <w:lang w:val="en-US" w:eastAsia="zh-CN"/>
        </w:rPr>
        <w:t>己</w:t>
      </w:r>
      <w:r>
        <w:rPr>
          <w:rFonts w:hint="eastAsia" w:eastAsia="仿宋"/>
          <w:color w:val="auto"/>
          <w:kern w:val="28"/>
          <w:sz w:val="20"/>
          <w:szCs w:val="20"/>
        </w:rPr>
        <w:t>方实际损失情况要求违约方赔偿损失。</w:t>
      </w:r>
    </w:p>
    <w:p w14:paraId="73A45575">
      <w:pPr>
        <w:pStyle w:val="4"/>
        <w:outlineLvl w:val="2"/>
        <w:rPr>
          <w:rFonts w:hint="eastAsia" w:ascii="仿宋_GB2312" w:hAnsi="仿宋_GB2312" w:eastAsia="仿宋_GB2312" w:cs="仿宋_GB2312"/>
          <w:b/>
          <w:color w:val="auto"/>
          <w:sz w:val="28"/>
          <w:lang w:val="en-US" w:eastAsia="zh-CN"/>
        </w:rPr>
      </w:pPr>
      <w:r>
        <w:rPr>
          <w:rFonts w:hint="eastAsia" w:ascii="仿宋_GB2312" w:hAnsi="仿宋_GB2312" w:eastAsia="仿宋_GB2312" w:cs="仿宋_GB2312"/>
          <w:b/>
          <w:color w:val="auto"/>
          <w:sz w:val="28"/>
          <w:lang w:val="en-US" w:eastAsia="zh-CN"/>
        </w:rPr>
        <w:t>12、争议的解决</w:t>
      </w:r>
    </w:p>
    <w:p w14:paraId="2F3D84C2">
      <w:pPr>
        <w:keepNext w:val="0"/>
        <w:keepLines w:val="0"/>
        <w:pageBreakBefore w:val="0"/>
        <w:kinsoku/>
        <w:wordWrap/>
        <w:overflowPunct/>
        <w:topLinePunct w:val="0"/>
        <w:bidi w:val="0"/>
        <w:spacing w:line="240" w:lineRule="auto"/>
        <w:ind w:firstLine="400" w:firstLineChars="200"/>
        <w:jc w:val="left"/>
        <w:textAlignment w:val="auto"/>
        <w:rPr>
          <w:rFonts w:eastAsia="仿宋"/>
          <w:color w:val="auto"/>
          <w:sz w:val="20"/>
          <w:szCs w:val="20"/>
        </w:rPr>
      </w:pPr>
      <w:r>
        <w:rPr>
          <w:rFonts w:hint="eastAsia" w:eastAsia="仿宋"/>
          <w:color w:val="auto"/>
          <w:sz w:val="20"/>
          <w:szCs w:val="20"/>
        </w:rPr>
        <w:t>12.1、因货物（产品）的质量问题发生争议，由质量技术监督部门或其指定的质量鉴定机构进行质量鉴定。货物符合标准的，鉴定费由甲方承担；货物（产品）不符合质量标准的，鉴定费由乙方承担。</w:t>
      </w:r>
    </w:p>
    <w:p w14:paraId="36C9E825">
      <w:pPr>
        <w:keepNext w:val="0"/>
        <w:keepLines w:val="0"/>
        <w:pageBreakBefore w:val="0"/>
        <w:kinsoku/>
        <w:wordWrap/>
        <w:overflowPunct/>
        <w:topLinePunct w:val="0"/>
        <w:bidi w:val="0"/>
        <w:spacing w:line="240" w:lineRule="auto"/>
        <w:ind w:firstLine="400" w:firstLineChars="200"/>
        <w:jc w:val="left"/>
        <w:textAlignment w:val="auto"/>
        <w:rPr>
          <w:rFonts w:eastAsia="仿宋"/>
          <w:color w:val="auto"/>
          <w:sz w:val="20"/>
          <w:szCs w:val="20"/>
        </w:rPr>
      </w:pPr>
      <w:r>
        <w:rPr>
          <w:rFonts w:hint="eastAsia" w:eastAsia="仿宋"/>
          <w:color w:val="auto"/>
          <w:sz w:val="20"/>
          <w:szCs w:val="20"/>
        </w:rPr>
        <w:t>12.2、因履行本合同引起的或与本合同有关的争议，甲、乙双方应首先通过友好协商解决，如果协商不能解决争议，可向甲方所在地有管辖权的人民法院提起诉讼或者向当地行政仲裁机关申请仲裁。</w:t>
      </w:r>
    </w:p>
    <w:p w14:paraId="57AE5CB3">
      <w:pPr>
        <w:keepNext w:val="0"/>
        <w:keepLines w:val="0"/>
        <w:pageBreakBefore w:val="0"/>
        <w:kinsoku/>
        <w:wordWrap/>
        <w:overflowPunct/>
        <w:topLinePunct w:val="0"/>
        <w:bidi w:val="0"/>
        <w:spacing w:line="240" w:lineRule="auto"/>
        <w:ind w:firstLine="400" w:firstLineChars="200"/>
        <w:jc w:val="left"/>
        <w:textAlignment w:val="auto"/>
        <w:rPr>
          <w:rFonts w:eastAsia="仿宋"/>
          <w:color w:val="auto"/>
          <w:sz w:val="20"/>
          <w:szCs w:val="20"/>
        </w:rPr>
      </w:pPr>
      <w:r>
        <w:rPr>
          <w:rFonts w:hint="eastAsia" w:eastAsia="仿宋"/>
          <w:color w:val="auto"/>
          <w:sz w:val="20"/>
          <w:szCs w:val="20"/>
        </w:rPr>
        <w:t>12.3、在诉讼或仲裁期间，本合同应继续履行。</w:t>
      </w:r>
    </w:p>
    <w:bookmarkEnd w:id="45"/>
    <w:bookmarkEnd w:id="46"/>
    <w:p w14:paraId="028E8BE1">
      <w:pPr>
        <w:pStyle w:val="4"/>
        <w:outlineLvl w:val="2"/>
        <w:rPr>
          <w:rFonts w:hint="eastAsia" w:ascii="仿宋_GB2312" w:hAnsi="仿宋_GB2312" w:eastAsia="仿宋_GB2312" w:cs="仿宋_GB2312"/>
          <w:b/>
          <w:color w:val="auto"/>
          <w:sz w:val="28"/>
          <w:lang w:val="en-US" w:eastAsia="zh-CN"/>
        </w:rPr>
      </w:pPr>
      <w:bookmarkStart w:id="47" w:name="_Toc893"/>
      <w:bookmarkStart w:id="48" w:name="_Toc497206197"/>
      <w:bookmarkStart w:id="49" w:name="_Toc497206307"/>
      <w:bookmarkStart w:id="50" w:name="_Toc10604"/>
      <w:r>
        <w:rPr>
          <w:rFonts w:hint="eastAsia" w:ascii="仿宋_GB2312" w:hAnsi="仿宋_GB2312" w:eastAsia="仿宋_GB2312" w:cs="仿宋_GB2312"/>
          <w:b/>
          <w:color w:val="auto"/>
          <w:sz w:val="28"/>
          <w:lang w:val="en-US" w:eastAsia="zh-CN"/>
        </w:rPr>
        <w:t>13</w:t>
      </w:r>
      <w:r>
        <w:rPr>
          <w:rFonts w:hint="eastAsia" w:ascii="仿宋_GB2312" w:hAnsi="仿宋_GB2312" w:eastAsia="仿宋_GB2312" w:cs="仿宋_GB2312"/>
          <w:b/>
          <w:color w:val="auto"/>
          <w:sz w:val="28"/>
          <w:lang w:val="zh-CN" w:eastAsia="zh-CN"/>
        </w:rPr>
        <w:t>、合同生效及其它</w:t>
      </w:r>
      <w:bookmarkEnd w:id="47"/>
      <w:bookmarkEnd w:id="48"/>
      <w:bookmarkEnd w:id="49"/>
      <w:bookmarkEnd w:id="50"/>
    </w:p>
    <w:p w14:paraId="74D4E9EA">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13.1、合同未尽事宜、由甲、乙双方协商，作为合同补充，与原合同具有同等法律效力。</w:t>
      </w:r>
    </w:p>
    <w:p w14:paraId="17CA05BE">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13.2、本合同正本一式</w:t>
      </w:r>
      <w:r>
        <w:rPr>
          <w:rFonts w:hint="eastAsia" w:eastAsia="仿宋"/>
          <w:color w:val="auto"/>
          <w:sz w:val="20"/>
          <w:szCs w:val="20"/>
          <w:u w:val="single"/>
        </w:rPr>
        <w:t xml:space="preserve">   </w:t>
      </w:r>
      <w:r>
        <w:rPr>
          <w:rFonts w:hint="eastAsia" w:eastAsia="仿宋"/>
          <w:color w:val="auto"/>
          <w:sz w:val="20"/>
          <w:szCs w:val="20"/>
        </w:rPr>
        <w:t>份，甲方、乙方双方分别执</w:t>
      </w:r>
      <w:r>
        <w:rPr>
          <w:rFonts w:hint="eastAsia" w:eastAsia="仿宋"/>
          <w:color w:val="auto"/>
          <w:sz w:val="20"/>
          <w:szCs w:val="20"/>
          <w:u w:val="single"/>
        </w:rPr>
        <w:t xml:space="preserve">   </w:t>
      </w:r>
      <w:r>
        <w:rPr>
          <w:rFonts w:hint="eastAsia" w:eastAsia="仿宋"/>
          <w:color w:val="auto"/>
          <w:sz w:val="20"/>
          <w:szCs w:val="20"/>
        </w:rPr>
        <w:t>份，备案</w:t>
      </w:r>
      <w:r>
        <w:rPr>
          <w:rFonts w:hint="eastAsia" w:eastAsia="仿宋"/>
          <w:color w:val="auto"/>
          <w:sz w:val="20"/>
          <w:szCs w:val="20"/>
          <w:u w:val="single"/>
        </w:rPr>
        <w:t xml:space="preserve">   </w:t>
      </w:r>
      <w:r>
        <w:rPr>
          <w:rFonts w:hint="eastAsia" w:eastAsia="仿宋"/>
          <w:color w:val="auto"/>
          <w:sz w:val="20"/>
          <w:szCs w:val="20"/>
        </w:rPr>
        <w:t>份。</w:t>
      </w:r>
    </w:p>
    <w:p w14:paraId="5EBC5716">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sz w:val="20"/>
          <w:szCs w:val="20"/>
        </w:rPr>
      </w:pPr>
      <w:r>
        <w:rPr>
          <w:rFonts w:hint="eastAsia" w:eastAsia="仿宋"/>
          <w:color w:val="auto"/>
          <w:sz w:val="20"/>
          <w:szCs w:val="20"/>
        </w:rPr>
        <w:t>13.3、合同经甲乙双方盖章、签字后生效，合同签订地点为</w:t>
      </w:r>
      <w:r>
        <w:rPr>
          <w:rFonts w:hint="eastAsia" w:eastAsia="仿宋"/>
          <w:color w:val="auto"/>
          <w:sz w:val="20"/>
          <w:szCs w:val="20"/>
          <w:u w:val="single"/>
        </w:rPr>
        <w:t xml:space="preserve">     </w:t>
      </w:r>
      <w:r>
        <w:rPr>
          <w:rFonts w:hint="eastAsia" w:eastAsia="仿宋"/>
          <w:color w:val="auto"/>
          <w:sz w:val="20"/>
          <w:szCs w:val="20"/>
        </w:rPr>
        <w:t>。</w:t>
      </w:r>
    </w:p>
    <w:p w14:paraId="5BA40FC9">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rPr>
      </w:pPr>
      <w:r>
        <w:rPr>
          <w:rFonts w:hint="eastAsia" w:eastAsia="仿宋"/>
          <w:color w:val="auto"/>
          <w:sz w:val="20"/>
          <w:szCs w:val="20"/>
        </w:rPr>
        <w:t>13.4、生效时间：    年   月  日</w:t>
      </w:r>
    </w:p>
    <w:p w14:paraId="081674C5">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rPr>
      </w:pPr>
    </w:p>
    <w:p w14:paraId="0E1C173D">
      <w:pPr>
        <w:keepNext w:val="0"/>
        <w:keepLines w:val="0"/>
        <w:pageBreakBefore w:val="0"/>
        <w:kinsoku/>
        <w:wordWrap/>
        <w:overflowPunct/>
        <w:topLinePunct w:val="0"/>
        <w:bidi w:val="0"/>
        <w:adjustRightInd w:val="0"/>
        <w:snapToGrid w:val="0"/>
        <w:spacing w:line="240" w:lineRule="auto"/>
        <w:ind w:firstLine="400" w:firstLineChars="200"/>
        <w:textAlignment w:val="auto"/>
        <w:rPr>
          <w:rFonts w:hint="eastAsia" w:eastAsia="仿宋"/>
          <w:color w:val="auto"/>
          <w:sz w:val="20"/>
          <w:szCs w:val="20"/>
        </w:rPr>
      </w:pPr>
    </w:p>
    <w:tbl>
      <w:tblPr>
        <w:tblStyle w:val="2"/>
        <w:tblW w:w="9286" w:type="dxa"/>
        <w:jc w:val="center"/>
        <w:tblLayout w:type="fixed"/>
        <w:tblCellMar>
          <w:top w:w="0" w:type="dxa"/>
          <w:left w:w="108" w:type="dxa"/>
          <w:bottom w:w="0" w:type="dxa"/>
          <w:right w:w="108" w:type="dxa"/>
        </w:tblCellMar>
      </w:tblPr>
      <w:tblGrid>
        <w:gridCol w:w="4643"/>
        <w:gridCol w:w="4643"/>
      </w:tblGrid>
      <w:tr w14:paraId="19090B40">
        <w:tblPrEx>
          <w:tblCellMar>
            <w:top w:w="0" w:type="dxa"/>
            <w:left w:w="108" w:type="dxa"/>
            <w:bottom w:w="0" w:type="dxa"/>
            <w:right w:w="108" w:type="dxa"/>
          </w:tblCellMar>
        </w:tblPrEx>
        <w:trPr>
          <w:jc w:val="center"/>
        </w:trPr>
        <w:tc>
          <w:tcPr>
            <w:tcW w:w="4643" w:type="dxa"/>
            <w:noWrap w:val="0"/>
            <w:vAlign w:val="top"/>
          </w:tcPr>
          <w:p w14:paraId="34AB4F35">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甲方名称（盖章）:</w:t>
            </w:r>
          </w:p>
          <w:p w14:paraId="5B4B50C9">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地址：</w:t>
            </w:r>
          </w:p>
          <w:p w14:paraId="6FD83F74">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代表人（签字）：</w:t>
            </w:r>
          </w:p>
          <w:p w14:paraId="3939E62B">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电话：</w:t>
            </w:r>
          </w:p>
          <w:p w14:paraId="65392CFB">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开户银行：</w:t>
            </w:r>
          </w:p>
          <w:p w14:paraId="13A7E395">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帐号：</w:t>
            </w:r>
          </w:p>
        </w:tc>
        <w:tc>
          <w:tcPr>
            <w:tcW w:w="4643" w:type="dxa"/>
            <w:noWrap w:val="0"/>
            <w:vAlign w:val="top"/>
          </w:tcPr>
          <w:p w14:paraId="1BD18AB7">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乙方名称（盖章）:</w:t>
            </w:r>
          </w:p>
          <w:p w14:paraId="2357AE09">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地址：</w:t>
            </w:r>
          </w:p>
          <w:p w14:paraId="232DFE90">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代表人（签字）：</w:t>
            </w:r>
          </w:p>
          <w:p w14:paraId="5C554FCF">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电话：</w:t>
            </w:r>
          </w:p>
          <w:p w14:paraId="3CAEBF9F">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开户银行：</w:t>
            </w:r>
          </w:p>
          <w:p w14:paraId="4E2F7217">
            <w:pPr>
              <w:keepNext w:val="0"/>
              <w:keepLines w:val="0"/>
              <w:pageBreakBefore w:val="0"/>
              <w:kinsoku/>
              <w:wordWrap/>
              <w:overflowPunct/>
              <w:topLinePunct w:val="0"/>
              <w:bidi w:val="0"/>
              <w:adjustRightInd w:val="0"/>
              <w:snapToGrid w:val="0"/>
              <w:spacing w:line="240" w:lineRule="auto"/>
              <w:ind w:firstLine="400" w:firstLineChars="200"/>
              <w:textAlignment w:val="auto"/>
              <w:rPr>
                <w:rFonts w:eastAsia="仿宋"/>
                <w:color w:val="auto"/>
                <w:kern w:val="0"/>
                <w:sz w:val="20"/>
                <w:szCs w:val="20"/>
              </w:rPr>
            </w:pPr>
            <w:r>
              <w:rPr>
                <w:rFonts w:hint="eastAsia" w:eastAsia="仿宋"/>
                <w:color w:val="auto"/>
                <w:kern w:val="0"/>
                <w:sz w:val="20"/>
                <w:szCs w:val="20"/>
              </w:rPr>
              <w:t>帐号：</w:t>
            </w:r>
          </w:p>
        </w:tc>
      </w:tr>
    </w:tbl>
    <w:p w14:paraId="5A8840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3B0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2025-12-23T06:26:44Z</dcterms:created>
  <dc:creator>Administrator</dc:creator>
  <cp:lastModifiedBy>小熊软糖</cp:lastModifiedBy>
  <dcterms:modified xsi:type="dcterms:W3CDTF">2025-12-23T06:27:04Z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eyJoZGlkIjoiMmM3MGZhNDQ2OGE1YTA1NzZlZDI0MTg3OTFkZDAwNWMiLCJ1c2VySWQiOiI4NTA2Mzg2OTUifQ==</vt:lpwstr>
  </property>
  <property fmtid="{D5CDD505-2E9C-101B-9397-08002B2CF9AE}" pid="4" name="ICV">
    <vt:lpwstr>5FB5A258CDD643048D08998C619B9929_12</vt:lpwstr>
  </property>
</Properties>
</file>