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版本号：KY2025-1-121520260106002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实验楼专项工程与病理科深化建设项目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KY2025-1-1215</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实验楼专项工程与病理科深化建设项目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KY2025-1-1215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实验楼专项工程与病理科深化建设项目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陕西省人民医院实验楼专项工程与病理科深化建设项目，1项。具体内容详见磋商文件第三章。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8、企业资质：供应商须具备建筑工程施工总承包三级及以上资质或建筑装修装饰工程专业承包二级及以上资质和建筑机电安装工程专业承包二级及以上资质；且具备合法有效的安全生产许可证。</w:t>
      </w:r>
    </w:p>
    <w:p>
      <w:pPr>
        <w:pStyle w:val="null3"/>
      </w:pPr>
      <w:r>
        <w:rPr>
          <w:rFonts w:ascii="仿宋_GB2312" w:hAnsi="仿宋_GB2312" w:cs="仿宋_GB2312" w:eastAsia="仿宋_GB2312"/>
        </w:rPr>
        <w:t>9、项目经理资质：拟派项目经理须具备建筑工程专业或机电工程专业二级及以上注册建造师资格和安全生产考核合格证，且无其他在建项目（提供无在建工程的承诺函）。</w:t>
      </w:r>
    </w:p>
    <w:p>
      <w:pPr>
        <w:pStyle w:val="null3"/>
      </w:pPr>
      <w:r>
        <w:rPr>
          <w:rFonts w:ascii="仿宋_GB2312" w:hAnsi="仿宋_GB2312" w:cs="仿宋_GB2312" w:eastAsia="仿宋_GB2312"/>
        </w:rPr>
        <w:t>10、其他要求：供应商及其拟派项目经理相关信息须在“陕西省住房和城乡建设厅”官方网站可查询。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029-85253261-3458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杭琨、丁嘉伟、刘金柯、卢韶华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银行账号：86113010750181502000797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规定的招标代理服务标准，50万元(含)以下项目按照下浮40%进行收取；50万元(不含)以上的项目按照下浮43%进行收取。2、本项目代理服务费按工程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踏勘时间：2026-01-09 10:00:00</w:t>
            </w:r>
          </w:p>
          <w:p>
            <w:pPr>
              <w:pStyle w:val="null3"/>
              <w:ind w:firstLine="975"/>
            </w:pPr>
            <w:r>
              <w:rPr>
                <w:rFonts w:ascii="仿宋_GB2312" w:hAnsi="仿宋_GB2312" w:cs="仿宋_GB2312" w:eastAsia="仿宋_GB2312"/>
              </w:rPr>
              <w:t>踏勘地点：陕西省人民医院主院区实验楼</w:t>
            </w:r>
          </w:p>
          <w:p>
            <w:pPr>
              <w:pStyle w:val="null3"/>
              <w:ind w:firstLine="975"/>
            </w:pPr>
            <w:r>
              <w:rPr>
                <w:rFonts w:ascii="仿宋_GB2312" w:hAnsi="仿宋_GB2312" w:cs="仿宋_GB2312" w:eastAsia="仿宋_GB2312"/>
              </w:rPr>
              <w:t>联系人：徐延文</w:t>
            </w:r>
          </w:p>
          <w:p>
            <w:pPr>
              <w:pStyle w:val="null3"/>
              <w:ind w:firstLine="975"/>
            </w:pPr>
            <w:r>
              <w:rPr>
                <w:rFonts w:ascii="仿宋_GB2312" w:hAnsi="仿宋_GB2312" w:cs="仿宋_GB2312" w:eastAsia="仿宋_GB2312"/>
              </w:rPr>
              <w:t>联系电话号码：18149041235</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联系人：杭琨、丁嘉伟</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2,100,000.00</w:t>
      </w:r>
    </w:p>
    <w:p>
      <w:pPr>
        <w:pStyle w:val="null3"/>
      </w:pPr>
      <w:r>
        <w:rPr>
          <w:rFonts w:ascii="仿宋_GB2312" w:hAnsi="仿宋_GB2312" w:cs="仿宋_GB2312" w:eastAsia="仿宋_GB2312"/>
        </w:rPr>
        <w:t>采购包最高限价（元）: 2,073,861.20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实验楼专项工程与病理科深化建设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标的名称：实验楼专项工程与病理科深化建设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建筑规模：建筑面积</w:t>
            </w:r>
            <w:r>
              <w:rPr>
                <w:rFonts w:ascii="仿宋_GB2312" w:hAnsi="仿宋_GB2312" w:cs="仿宋_GB2312" w:eastAsia="仿宋_GB2312"/>
                <w:sz w:val="21"/>
              </w:rPr>
              <w:t>481.27㎡，结构类型：框架结构</w:t>
            </w:r>
          </w:p>
          <w:p>
            <w:pPr>
              <w:pStyle w:val="null3"/>
              <w:ind w:firstLine="420"/>
              <w:jc w:val="both"/>
            </w:pPr>
            <w:r>
              <w:rPr>
                <w:rFonts w:ascii="仿宋_GB2312" w:hAnsi="仿宋_GB2312" w:cs="仿宋_GB2312" w:eastAsia="仿宋_GB2312"/>
                <w:sz w:val="21"/>
              </w:rPr>
              <w:t>项目内容：拟对</w:t>
            </w:r>
            <w:r>
              <w:rPr>
                <w:rFonts w:ascii="仿宋_GB2312" w:hAnsi="仿宋_GB2312" w:cs="仿宋_GB2312" w:eastAsia="仿宋_GB2312"/>
                <w:sz w:val="21"/>
              </w:rPr>
              <w:t>PCR实验室（两套）和动物房专项工程与病理科深化（包含通排风、病理实验专用设施）建设，包含实验室项目二层PCR及四层动物实验室室内装修、给排水、暖通、电气、弱电智能化、净化、通风、设备支架、保温防腐等专业,一层病理科实验室配套设备等。具体要求详见图纸、清单。</w:t>
            </w:r>
          </w:p>
          <w:p>
            <w:pPr>
              <w:pStyle w:val="null3"/>
              <w:ind w:firstLine="420"/>
              <w:jc w:val="both"/>
            </w:pPr>
            <w:r>
              <w:rPr>
                <w:rFonts w:ascii="仿宋_GB2312" w:hAnsi="仿宋_GB2312" w:cs="仿宋_GB2312" w:eastAsia="仿宋_GB2312"/>
                <w:sz w:val="21"/>
              </w:rPr>
              <w:t>施工地点：陕西省人民医院主院区实验楼。</w:t>
            </w:r>
          </w:p>
          <w:p>
            <w:pPr>
              <w:pStyle w:val="null3"/>
              <w:ind w:firstLine="420"/>
              <w:jc w:val="both"/>
            </w:pPr>
            <w:r>
              <w:rPr>
                <w:rFonts w:ascii="仿宋_GB2312" w:hAnsi="仿宋_GB2312" w:cs="仿宋_GB2312" w:eastAsia="仿宋_GB2312"/>
                <w:sz w:val="21"/>
              </w:rPr>
              <w:t>现场条件：现场为医院内部路，已完成楼宇内部家具拆除，以现场踏勘情况为准。</w:t>
            </w:r>
          </w:p>
          <w:p>
            <w:pPr>
              <w:pStyle w:val="null3"/>
              <w:jc w:val="left"/>
            </w:pPr>
            <w:r>
              <w:rPr>
                <w:rFonts w:ascii="仿宋_GB2312" w:hAnsi="仿宋_GB2312" w:cs="仿宋_GB2312" w:eastAsia="仿宋_GB2312"/>
                <w:sz w:val="21"/>
                <w:b/>
              </w:rPr>
              <w:t>二、采购范围：</w:t>
            </w:r>
          </w:p>
          <w:p>
            <w:pPr>
              <w:pStyle w:val="null3"/>
              <w:ind w:firstLine="420"/>
              <w:jc w:val="left"/>
            </w:pPr>
            <w:r>
              <w:rPr>
                <w:rFonts w:ascii="仿宋_GB2312" w:hAnsi="仿宋_GB2312" w:cs="仿宋_GB2312" w:eastAsia="仿宋_GB2312"/>
                <w:sz w:val="21"/>
              </w:rPr>
              <w:t>PCR实验室（两套）和动物房专项工程与病理科深化（包含通排风、病理实验专用设施）建设，包含实验室项目二层PCR及四层动物实验室室内装修、给排水、暖通、电气、弱电智能化、净化、通风、设备支架、保温防腐等专业,一层病理科实验室配套设备等。</w:t>
            </w:r>
          </w:p>
          <w:p>
            <w:pPr>
              <w:pStyle w:val="null3"/>
              <w:jc w:val="left"/>
            </w:pPr>
            <w:r>
              <w:rPr>
                <w:rFonts w:ascii="仿宋_GB2312" w:hAnsi="仿宋_GB2312" w:cs="仿宋_GB2312" w:eastAsia="仿宋_GB2312"/>
                <w:sz w:val="21"/>
                <w:b/>
              </w:rPr>
              <w:t>三、</w:t>
            </w:r>
            <w:r>
              <w:rPr>
                <w:rFonts w:ascii="仿宋_GB2312" w:hAnsi="仿宋_GB2312" w:cs="仿宋_GB2312" w:eastAsia="仿宋_GB2312"/>
                <w:sz w:val="21"/>
                <w:b/>
              </w:rPr>
              <w:t>编制说明：</w:t>
            </w:r>
          </w:p>
          <w:p>
            <w:pPr>
              <w:pStyle w:val="null3"/>
              <w:ind w:firstLine="540"/>
              <w:jc w:val="both"/>
            </w:pPr>
            <w:r>
              <w:rPr>
                <w:rFonts w:ascii="仿宋_GB2312" w:hAnsi="仿宋_GB2312" w:cs="仿宋_GB2312" w:eastAsia="仿宋_GB2312"/>
                <w:sz w:val="21"/>
                <w:b/>
              </w:rPr>
              <w:t>1、编制范围</w:t>
            </w:r>
          </w:p>
          <w:p>
            <w:pPr>
              <w:pStyle w:val="null3"/>
              <w:ind w:firstLine="420"/>
              <w:jc w:val="both"/>
            </w:pPr>
            <w:r>
              <w:rPr>
                <w:rFonts w:ascii="仿宋_GB2312" w:hAnsi="仿宋_GB2312" w:cs="仿宋_GB2312" w:eastAsia="仿宋_GB2312"/>
                <w:sz w:val="21"/>
              </w:rPr>
              <w:t>陕西省人民医院实验楼专项工程与病理科深化建设项目设计图纸内容全部专业计算。</w:t>
            </w:r>
          </w:p>
          <w:p>
            <w:pPr>
              <w:pStyle w:val="null3"/>
              <w:ind w:firstLine="422"/>
              <w:jc w:val="both"/>
            </w:pPr>
            <w:r>
              <w:rPr>
                <w:rFonts w:ascii="仿宋_GB2312" w:hAnsi="仿宋_GB2312" w:cs="仿宋_GB2312" w:eastAsia="仿宋_GB2312"/>
                <w:sz w:val="21"/>
                <w:b/>
              </w:rPr>
              <w:t>2、编制依据</w:t>
            </w:r>
          </w:p>
          <w:p>
            <w:pPr>
              <w:pStyle w:val="null3"/>
              <w:ind w:firstLine="420"/>
              <w:jc w:val="left"/>
            </w:pPr>
            <w:r>
              <w:rPr>
                <w:rFonts w:ascii="仿宋_GB2312" w:hAnsi="仿宋_GB2312" w:cs="仿宋_GB2312" w:eastAsia="仿宋_GB2312"/>
                <w:sz w:val="21"/>
              </w:rPr>
              <w:t>1.《陕西省建设工程工程量清单计价计算标准》（2025）；</w:t>
            </w:r>
          </w:p>
          <w:p>
            <w:pPr>
              <w:pStyle w:val="null3"/>
              <w:ind w:firstLine="420"/>
              <w:jc w:val="left"/>
            </w:pPr>
            <w:r>
              <w:rPr>
                <w:rFonts w:ascii="仿宋_GB2312" w:hAnsi="仿宋_GB2312" w:cs="仿宋_GB2312" w:eastAsia="仿宋_GB2312"/>
                <w:sz w:val="21"/>
              </w:rPr>
              <w:t>2.陕西省建设主管部门及造价管理部门颁发的相关计价规定；</w:t>
            </w:r>
          </w:p>
          <w:p>
            <w:pPr>
              <w:pStyle w:val="null3"/>
              <w:ind w:firstLine="420"/>
              <w:jc w:val="left"/>
            </w:pPr>
            <w:r>
              <w:rPr>
                <w:rFonts w:ascii="仿宋_GB2312" w:hAnsi="仿宋_GB2312" w:cs="仿宋_GB2312" w:eastAsia="仿宋_GB2312"/>
                <w:sz w:val="21"/>
              </w:rPr>
              <w:t>3.本项目的设计文件及相关资料；</w:t>
            </w:r>
          </w:p>
          <w:p>
            <w:pPr>
              <w:pStyle w:val="null3"/>
              <w:ind w:firstLine="420"/>
              <w:jc w:val="left"/>
            </w:pPr>
            <w:r>
              <w:rPr>
                <w:rFonts w:ascii="仿宋_GB2312" w:hAnsi="仿宋_GB2312" w:cs="仿宋_GB2312" w:eastAsia="仿宋_GB2312"/>
                <w:sz w:val="21"/>
              </w:rPr>
              <w:t>4.与本项目有关的标准、规范、技术资料；</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《陕西省建设工程工程量清单计价规则》</w:t>
            </w:r>
            <w:r>
              <w:rPr>
                <w:rFonts w:ascii="仿宋_GB2312" w:hAnsi="仿宋_GB2312" w:cs="仿宋_GB2312" w:eastAsia="仿宋_GB2312"/>
                <w:sz w:val="21"/>
              </w:rPr>
              <w:t>(2025年)，《陕西省建筑、装饰工程消耗量定额》（2025），《陕西省安装工程消耗量定额》（2025），《陕西省安装工程价目表》（2025），《陕西省建筑装饰工程价目表（2025）》，《陕西省建设工程工程量清单计价费率》（2025）及其他相关的计价依据和办法；</w:t>
            </w:r>
          </w:p>
          <w:p>
            <w:pPr>
              <w:pStyle w:val="null3"/>
              <w:ind w:firstLine="420"/>
              <w:jc w:val="both"/>
            </w:pPr>
            <w:r>
              <w:rPr>
                <w:rFonts w:ascii="仿宋_GB2312" w:hAnsi="仿宋_GB2312" w:cs="仿宋_GB2312" w:eastAsia="仿宋_GB2312"/>
                <w:sz w:val="21"/>
              </w:rPr>
              <w:t>6.施工现场情况、工程特点及常规施工方案；现行国家和陕西</w:t>
            </w:r>
          </w:p>
          <w:p>
            <w:pPr>
              <w:pStyle w:val="null3"/>
              <w:jc w:val="both"/>
            </w:pPr>
            <w:r>
              <w:rPr>
                <w:rFonts w:ascii="仿宋_GB2312" w:hAnsi="仿宋_GB2312" w:cs="仿宋_GB2312" w:eastAsia="仿宋_GB2312"/>
                <w:sz w:val="21"/>
              </w:rPr>
              <w:t>省建筑施工规范；</w:t>
            </w:r>
          </w:p>
          <w:p>
            <w:pPr>
              <w:pStyle w:val="null3"/>
              <w:ind w:firstLine="420"/>
              <w:jc w:val="both"/>
            </w:pPr>
            <w:r>
              <w:rPr>
                <w:rFonts w:ascii="仿宋_GB2312" w:hAnsi="仿宋_GB2312" w:cs="仿宋_GB2312" w:eastAsia="仿宋_GB2312"/>
                <w:sz w:val="21"/>
              </w:rPr>
              <w:t>7.材料价格均按照《西安市2025年</w:t>
            </w:r>
            <w:r>
              <w:rPr>
                <w:rFonts w:ascii="仿宋_GB2312" w:hAnsi="仿宋_GB2312" w:cs="仿宋_GB2312" w:eastAsia="仿宋_GB2312"/>
                <w:sz w:val="21"/>
              </w:rPr>
              <w:t>9</w:t>
            </w:r>
            <w:r>
              <w:rPr>
                <w:rFonts w:ascii="仿宋_GB2312" w:hAnsi="仿宋_GB2312" w:cs="仿宋_GB2312" w:eastAsia="仿宋_GB2312"/>
                <w:sz w:val="21"/>
              </w:rPr>
              <w:t>月信息价》执行；信息价中没有的材料价格以市场价计入。</w:t>
            </w:r>
          </w:p>
          <w:p>
            <w:pPr>
              <w:pStyle w:val="null3"/>
              <w:ind w:firstLine="422"/>
              <w:jc w:val="left"/>
            </w:pPr>
            <w:r>
              <w:rPr>
                <w:rFonts w:ascii="仿宋_GB2312" w:hAnsi="仿宋_GB2312" w:cs="仿宋_GB2312" w:eastAsia="仿宋_GB2312"/>
                <w:sz w:val="21"/>
                <w:b/>
              </w:rPr>
              <w:t>3、其他说明</w:t>
            </w:r>
          </w:p>
          <w:p>
            <w:pPr>
              <w:pStyle w:val="null3"/>
              <w:ind w:firstLine="420"/>
              <w:jc w:val="left"/>
            </w:pPr>
            <w:r>
              <w:rPr>
                <w:rFonts w:ascii="仿宋_GB2312" w:hAnsi="仿宋_GB2312" w:cs="仿宋_GB2312" w:eastAsia="仿宋_GB2312"/>
                <w:sz w:val="21"/>
              </w:rPr>
              <w:t>本工程计价软件采用广联达计价软件</w:t>
            </w:r>
            <w:r>
              <w:rPr>
                <w:rFonts w:ascii="仿宋_GB2312" w:hAnsi="仿宋_GB2312" w:cs="仿宋_GB2312" w:eastAsia="仿宋_GB2312"/>
                <w:sz w:val="21"/>
              </w:rPr>
              <w:t>GBQ7.0陕西地区 7.5000.23.1；</w:t>
            </w:r>
          </w:p>
          <w:p>
            <w:pPr>
              <w:pStyle w:val="null3"/>
            </w:pPr>
            <w:r>
              <w:rPr>
                <w:rFonts w:ascii="仿宋_GB2312" w:hAnsi="仿宋_GB2312" w:cs="仿宋_GB2312" w:eastAsia="仿宋_GB2312"/>
                <w:sz w:val="21"/>
                <w:b/>
              </w:rPr>
              <w:t>四、商务要求（实质性要求，不允许负偏离）：</w:t>
            </w:r>
          </w:p>
          <w:p>
            <w:pPr>
              <w:pStyle w:val="null3"/>
            </w:pPr>
            <w:r>
              <w:rPr>
                <w:rFonts w:ascii="仿宋_GB2312" w:hAnsi="仿宋_GB2312" w:cs="仿宋_GB2312" w:eastAsia="仿宋_GB2312"/>
                <w:sz w:val="21"/>
                <w:b/>
              </w:rPr>
              <w:t>1.工期：60天，根据项目实际需求及使用单位要求确定</w:t>
            </w:r>
            <w:r>
              <w:rPr>
                <w:rFonts w:ascii="仿宋_GB2312" w:hAnsi="仿宋_GB2312" w:cs="仿宋_GB2312" w:eastAsia="仿宋_GB2312"/>
                <w:sz w:val="21"/>
              </w:rPr>
              <w:t>。</w:t>
            </w:r>
          </w:p>
          <w:p>
            <w:pPr>
              <w:pStyle w:val="null3"/>
            </w:pPr>
            <w:r>
              <w:rPr>
                <w:rFonts w:ascii="仿宋_GB2312" w:hAnsi="仿宋_GB2312" w:cs="仿宋_GB2312" w:eastAsia="仿宋_GB2312"/>
                <w:sz w:val="21"/>
                <w:b/>
              </w:rPr>
              <w:t>2.付款方式要求</w:t>
            </w:r>
          </w:p>
          <w:p>
            <w:pPr>
              <w:pStyle w:val="null3"/>
              <w:ind w:firstLine="482"/>
              <w:jc w:val="both"/>
            </w:pPr>
            <w:r>
              <w:rPr>
                <w:rFonts w:ascii="仿宋_GB2312" w:hAnsi="仿宋_GB2312" w:cs="仿宋_GB2312" w:eastAsia="仿宋_GB2312"/>
                <w:sz w:val="21"/>
                <w:u w:val="single"/>
              </w:rPr>
              <w:t>合同签订后支付合同金额</w:t>
            </w:r>
            <w:r>
              <w:rPr>
                <w:rFonts w:ascii="仿宋_GB2312" w:hAnsi="仿宋_GB2312" w:cs="仿宋_GB2312" w:eastAsia="仿宋_GB2312"/>
                <w:sz w:val="21"/>
                <w:u w:val="single"/>
              </w:rPr>
              <w:t>10%预付款，工程验收合格后支付至合同金额的70%;审计完成后，支付至审定金额的97%，3%作为质保金，质保期满2年后一次性无息付完。</w:t>
            </w:r>
          </w:p>
          <w:p>
            <w:pPr>
              <w:pStyle w:val="null3"/>
            </w:pPr>
            <w:r>
              <w:rPr>
                <w:rFonts w:ascii="仿宋_GB2312" w:hAnsi="仿宋_GB2312" w:cs="仿宋_GB2312" w:eastAsia="仿宋_GB2312"/>
                <w:sz w:val="21"/>
                <w:b/>
              </w:rPr>
              <w:t>3.质保期及质保保修要求</w:t>
            </w:r>
          </w:p>
          <w:p>
            <w:pPr>
              <w:pStyle w:val="null3"/>
              <w:ind w:firstLine="482"/>
              <w:jc w:val="both"/>
            </w:pPr>
            <w:r>
              <w:rPr>
                <w:rFonts w:ascii="仿宋_GB2312" w:hAnsi="仿宋_GB2312" w:cs="仿宋_GB2312" w:eastAsia="仿宋_GB2312"/>
                <w:sz w:val="21"/>
                <w:b/>
              </w:rPr>
              <w:t>（</w:t>
            </w:r>
            <w:r>
              <w:rPr>
                <w:rFonts w:ascii="仿宋_GB2312" w:hAnsi="仿宋_GB2312" w:cs="仿宋_GB2312" w:eastAsia="仿宋_GB2312"/>
                <w:sz w:val="21"/>
                <w:b/>
              </w:rPr>
              <w:t>1）质保期：</w:t>
            </w:r>
            <w:r>
              <w:rPr>
                <w:rFonts w:ascii="仿宋_GB2312" w:hAnsi="仿宋_GB2312" w:cs="仿宋_GB2312" w:eastAsia="仿宋_GB2312"/>
                <w:sz w:val="21"/>
                <w:b/>
                <w:u w:val="single"/>
              </w:rPr>
              <w:t>2</w:t>
            </w:r>
            <w:r>
              <w:rPr>
                <w:rFonts w:ascii="仿宋_GB2312" w:hAnsi="仿宋_GB2312" w:cs="仿宋_GB2312" w:eastAsia="仿宋_GB2312"/>
                <w:sz w:val="21"/>
                <w:b/>
              </w:rPr>
              <w:t>年；</w:t>
            </w:r>
          </w:p>
          <w:p>
            <w:pPr>
              <w:pStyle w:val="null3"/>
              <w:ind w:firstLine="482"/>
              <w:jc w:val="both"/>
            </w:pPr>
            <w:r>
              <w:rPr>
                <w:rFonts w:ascii="仿宋_GB2312" w:hAnsi="仿宋_GB2312" w:cs="仿宋_GB2312" w:eastAsia="仿宋_GB2312"/>
                <w:sz w:val="21"/>
                <w:b/>
              </w:rPr>
              <w:t>（</w:t>
            </w:r>
            <w:r>
              <w:rPr>
                <w:rFonts w:ascii="仿宋_GB2312" w:hAnsi="仿宋_GB2312" w:cs="仿宋_GB2312" w:eastAsia="仿宋_GB2312"/>
                <w:sz w:val="21"/>
                <w:b/>
              </w:rPr>
              <w:t>2）保修要求</w:t>
            </w:r>
          </w:p>
          <w:p>
            <w:pPr>
              <w:pStyle w:val="null3"/>
              <w:ind w:firstLine="482"/>
              <w:jc w:val="both"/>
            </w:pPr>
            <w:r>
              <w:rPr>
                <w:rFonts w:ascii="仿宋_GB2312" w:hAnsi="仿宋_GB2312" w:cs="仿宋_GB2312" w:eastAsia="仿宋_GB2312"/>
                <w:sz w:val="21"/>
                <w:u w:val="single"/>
              </w:rPr>
              <w:t>整体工程质保期</w:t>
            </w:r>
            <w:r>
              <w:rPr>
                <w:rFonts w:ascii="仿宋_GB2312" w:hAnsi="仿宋_GB2312" w:cs="仿宋_GB2312" w:eastAsia="仿宋_GB2312"/>
                <w:sz w:val="21"/>
                <w:u w:val="single"/>
              </w:rPr>
              <w:t>2年，</w:t>
            </w:r>
            <w:r>
              <w:rPr>
                <w:rFonts w:ascii="仿宋_GB2312" w:hAnsi="仿宋_GB2312" w:cs="仿宋_GB2312" w:eastAsia="仿宋_GB2312"/>
                <w:sz w:val="21"/>
              </w:rPr>
              <w:t>_</w:t>
            </w:r>
            <w:r>
              <w:rPr>
                <w:rFonts w:ascii="仿宋_GB2312" w:hAnsi="仿宋_GB2312" w:cs="仿宋_GB2312" w:eastAsia="仿宋_GB2312"/>
                <w:sz w:val="21"/>
                <w:u w:val="single"/>
              </w:rPr>
              <w:t>屋面防水工程</w:t>
            </w:r>
            <w:r>
              <w:rPr>
                <w:rFonts w:ascii="仿宋_GB2312" w:hAnsi="仿宋_GB2312" w:cs="仿宋_GB2312" w:eastAsia="仿宋_GB2312"/>
                <w:sz w:val="21"/>
                <w:u w:val="single"/>
              </w:rPr>
              <w:t>5年</w:t>
            </w:r>
            <w:r>
              <w:rPr>
                <w:rFonts w:ascii="仿宋_GB2312" w:hAnsi="仿宋_GB2312" w:cs="仿宋_GB2312" w:eastAsia="仿宋_GB2312"/>
                <w:sz w:val="21"/>
              </w:rPr>
              <w:t>，</w:t>
            </w:r>
            <w:r>
              <w:rPr>
                <w:rFonts w:ascii="仿宋_GB2312" w:hAnsi="仿宋_GB2312" w:cs="仿宋_GB2312" w:eastAsia="仿宋_GB2312"/>
                <w:sz w:val="21"/>
                <w:u w:val="single"/>
              </w:rPr>
              <w:t>承包人必须严格按照审定的施工图和相关法律法规规定执行</w:t>
            </w:r>
            <w:r>
              <w:rPr>
                <w:rFonts w:ascii="仿宋_GB2312" w:hAnsi="仿宋_GB2312" w:cs="仿宋_GB2312" w:eastAsia="仿宋_GB2312"/>
                <w:sz w:val="21"/>
                <w:u w:val="single"/>
              </w:rPr>
              <w:t>。对于涉及结构安全的质量问题，应当按照《建设工程质量管理条例》的规定，立即向当地建设行政主管部门和有关部门报告，采取安全防范措施，并由承包人提出保修方案，</w:t>
            </w:r>
            <w:r>
              <w:rPr>
                <w:rFonts w:ascii="仿宋_GB2312" w:hAnsi="仿宋_GB2312" w:cs="仿宋_GB2312" w:eastAsia="仿宋_GB2312"/>
                <w:sz w:val="21"/>
                <w:u w:val="single"/>
              </w:rPr>
              <w:t>如需设计的，需</w:t>
            </w:r>
            <w:r>
              <w:rPr>
                <w:rFonts w:ascii="仿宋_GB2312" w:hAnsi="仿宋_GB2312" w:cs="仿宋_GB2312" w:eastAsia="仿宋_GB2312"/>
                <w:sz w:val="21"/>
                <w:u w:val="single"/>
              </w:rPr>
              <w:t>由原设计</w:t>
            </w:r>
            <w:r>
              <w:rPr>
                <w:rFonts w:ascii="仿宋_GB2312" w:hAnsi="仿宋_GB2312" w:cs="仿宋_GB2312" w:eastAsia="仿宋_GB2312"/>
                <w:sz w:val="21"/>
                <w:u w:val="single"/>
              </w:rPr>
              <w:t>单位</w:t>
            </w:r>
            <w:r>
              <w:rPr>
                <w:rFonts w:ascii="仿宋_GB2312" w:hAnsi="仿宋_GB2312" w:cs="仿宋_GB2312" w:eastAsia="仿宋_GB2312"/>
                <w:sz w:val="21"/>
                <w:u w:val="single"/>
              </w:rPr>
              <w:t>或具有相应资质等级的设计人提出保修方案，承包人实施保修。</w:t>
            </w:r>
          </w:p>
          <w:p>
            <w:pPr>
              <w:pStyle w:val="null3"/>
              <w:ind w:firstLine="482"/>
              <w:jc w:val="both"/>
            </w:pPr>
            <w:r>
              <w:rPr>
                <w:rFonts w:ascii="仿宋_GB2312" w:hAnsi="仿宋_GB2312" w:cs="仿宋_GB2312" w:eastAsia="仿宋_GB2312"/>
                <w:sz w:val="21"/>
                <w:b/>
              </w:rPr>
              <w:t>五、其他说明</w:t>
            </w:r>
          </w:p>
          <w:p>
            <w:pPr>
              <w:pStyle w:val="null3"/>
              <w:ind w:firstLine="426"/>
              <w:jc w:val="both"/>
            </w:pPr>
            <w:r>
              <w:rPr>
                <w:rFonts w:ascii="仿宋_GB2312" w:hAnsi="仿宋_GB2312" w:cs="仿宋_GB2312" w:eastAsia="仿宋_GB2312"/>
                <w:sz w:val="21"/>
                <w:b/>
              </w:rPr>
              <w:t>（一）报价要求</w:t>
            </w:r>
          </w:p>
          <w:p>
            <w:pPr>
              <w:pStyle w:val="null3"/>
              <w:ind w:firstLine="420"/>
              <w:jc w:val="both"/>
            </w:pPr>
            <w:r>
              <w:rPr>
                <w:rFonts w:ascii="仿宋_GB2312" w:hAnsi="仿宋_GB2312" w:cs="仿宋_GB2312" w:eastAsia="仿宋_GB2312"/>
                <w:sz w:val="21"/>
              </w:rPr>
              <w:t>1.本工程合同形式为固定综合单价合同；</w:t>
            </w:r>
          </w:p>
          <w:p>
            <w:pPr>
              <w:pStyle w:val="null3"/>
              <w:ind w:firstLine="420"/>
              <w:jc w:val="both"/>
            </w:pPr>
            <w:r>
              <w:rPr>
                <w:rFonts w:ascii="仿宋_GB2312" w:hAnsi="仿宋_GB2312" w:cs="仿宋_GB2312" w:eastAsia="仿宋_GB2312"/>
                <w:sz w:val="21"/>
              </w:rPr>
              <w:t>2.本工程计价采用固定综合单价，各投标人依据企业自身情况自主报价、风险自负。所有投标报价中的单价和合价均以人民币表示。</w:t>
            </w:r>
          </w:p>
          <w:p>
            <w:pPr>
              <w:pStyle w:val="null3"/>
              <w:ind w:firstLine="420"/>
              <w:jc w:val="both"/>
            </w:pPr>
            <w:r>
              <w:rPr>
                <w:rFonts w:ascii="仿宋_GB2312" w:hAnsi="仿宋_GB2312" w:cs="仿宋_GB2312" w:eastAsia="仿宋_GB2312"/>
                <w:sz w:val="21"/>
              </w:rPr>
              <w:t>3.投标人在投标报价时应仔细对招标文件进行透彻的分析研究，对图纸进行仔细的阅读和理解。</w:t>
            </w:r>
          </w:p>
          <w:p>
            <w:pPr>
              <w:pStyle w:val="null3"/>
              <w:ind w:firstLine="420"/>
              <w:jc w:val="both"/>
            </w:pPr>
            <w:r>
              <w:rPr>
                <w:rFonts w:ascii="仿宋_GB2312" w:hAnsi="仿宋_GB2312" w:cs="仿宋_GB2312" w:eastAsia="仿宋_GB2312"/>
                <w:sz w:val="21"/>
              </w:rPr>
              <w:t>4.各投标人对分部分项工程费、措施项目费、其他项目费等进行自主报价、风险自负。</w:t>
            </w:r>
          </w:p>
          <w:p>
            <w:pPr>
              <w:pStyle w:val="null3"/>
              <w:ind w:firstLine="420"/>
              <w:jc w:val="both"/>
            </w:pPr>
            <w:r>
              <w:rPr>
                <w:rFonts w:ascii="仿宋_GB2312" w:hAnsi="仿宋_GB2312" w:cs="仿宋_GB2312" w:eastAsia="仿宋_GB2312"/>
                <w:sz w:val="21"/>
              </w:rPr>
              <w:t>5.招标工程量清单的工程项目仅表达了主要工程做法，报价时各投标单位应依据图纸用料说明、相关图集，结合图纸、招标文件、合同条款、技术规范及现场情况进行科学合理组价。投标报价应包括该工程项目的人工费、材料费、机械费、措施费、管理费、利润、风险费及规费、税金等政策性文件规定的所有费用，所投标的综合单价采购人视为是相应清单项在招标范围内的全部内容价格。</w:t>
            </w:r>
          </w:p>
          <w:p>
            <w:pPr>
              <w:pStyle w:val="null3"/>
              <w:ind w:firstLine="420"/>
              <w:jc w:val="both"/>
            </w:pPr>
            <w:r>
              <w:rPr>
                <w:rFonts w:ascii="仿宋_GB2312" w:hAnsi="仿宋_GB2312" w:cs="仿宋_GB2312" w:eastAsia="仿宋_GB2312"/>
                <w:sz w:val="21"/>
              </w:rPr>
              <w:t>6.投标人在投标截止前修改投标函中的投标总报价，应同时修改“已标价工程量清单”中的相应报价。</w:t>
            </w:r>
          </w:p>
          <w:p>
            <w:pPr>
              <w:pStyle w:val="null3"/>
              <w:ind w:firstLine="420"/>
              <w:jc w:val="both"/>
            </w:pPr>
            <w:r>
              <w:rPr>
                <w:rFonts w:ascii="仿宋_GB2312" w:hAnsi="仿宋_GB2312" w:cs="仿宋_GB2312" w:eastAsia="仿宋_GB2312"/>
                <w:sz w:val="21"/>
              </w:rPr>
              <w:t>7.本工程发包方式为包工包料。采用工程量清单计价模式下的固定综合单价合同；按《建设工程工程量清单计价标准（2024）》及《陕西省建设工程费用规则(2025)》计价；执行2025年新版专业配套基价表、《陕西省房屋建筑与装饰工程消耗量定额》等6个专业消耗量定额、施工机械台班费用定额、仪器仪表台班费用定额。</w:t>
            </w:r>
          </w:p>
          <w:p>
            <w:pPr>
              <w:pStyle w:val="null3"/>
              <w:ind w:firstLine="371"/>
              <w:jc w:val="both"/>
            </w:pPr>
            <w:r>
              <w:rPr>
                <w:rFonts w:ascii="仿宋_GB2312" w:hAnsi="仿宋_GB2312" w:cs="仿宋_GB2312" w:eastAsia="仿宋_GB2312"/>
                <w:sz w:val="21"/>
              </w:rPr>
              <w:t>8.评标办法采用综合评估法。</w:t>
            </w:r>
          </w:p>
          <w:p>
            <w:pPr>
              <w:pStyle w:val="null3"/>
              <w:ind w:firstLine="371"/>
              <w:jc w:val="both"/>
            </w:pPr>
            <w:r>
              <w:rPr>
                <w:rFonts w:ascii="仿宋_GB2312" w:hAnsi="仿宋_GB2312" w:cs="仿宋_GB2312" w:eastAsia="仿宋_GB2312"/>
                <w:sz w:val="21"/>
              </w:rPr>
              <w:t>9.承包人需严格按照《陕西省工程建设领域农民工工资专用账户管理暂行办法实施细则》(陕人社发(2022)5号)及《陕西省工程建设领域农民工工资保证金规定实施办法》(陕人社发(2022)6号)文件之规定执行，承包人应开立农民工工资专用账户并与发包人、开户银行签订资金管理三方协议，否则按承包人违约执行。</w:t>
            </w:r>
          </w:p>
          <w:p>
            <w:pPr>
              <w:pStyle w:val="null3"/>
              <w:ind w:firstLine="371"/>
              <w:jc w:val="both"/>
            </w:pPr>
            <w:r>
              <w:rPr>
                <w:rFonts w:ascii="仿宋_GB2312" w:hAnsi="仿宋_GB2312" w:cs="仿宋_GB2312" w:eastAsia="仿宋_GB2312"/>
                <w:sz w:val="21"/>
              </w:rPr>
              <w:t>10.本项目的所增减的费用(包括设计变更、现场签证、政策性调整费用及材料差价),在竣工时结算。变更签证三方现场实测实量，上报发包人认定后方可进入结算。</w:t>
            </w:r>
          </w:p>
          <w:p>
            <w:pPr>
              <w:pStyle w:val="null3"/>
              <w:ind w:firstLine="371"/>
              <w:jc w:val="both"/>
            </w:pPr>
            <w:r>
              <w:rPr>
                <w:rFonts w:ascii="仿宋_GB2312" w:hAnsi="仿宋_GB2312" w:cs="仿宋_GB2312" w:eastAsia="仿宋_GB2312"/>
                <w:sz w:val="21"/>
              </w:rPr>
              <w:t>11.本项目后续取得卫生主管部门验收合格批复方可视为项目合格。实验室净化达到万级标准，同时达到规范要求的空调及压力指标，具备自动化控制及实时监测功能。招标内容清单未列但实验室建设所需的其他设施设备，要求在投标报价时提供明细及单价、数量，其成本包含在投标报价中。</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b/>
              </w:rPr>
              <w:t>技术标准和要求</w:t>
            </w:r>
          </w:p>
          <w:p>
            <w:pPr>
              <w:pStyle w:val="null3"/>
              <w:ind w:firstLine="420"/>
              <w:jc w:val="both"/>
            </w:pPr>
            <w:r>
              <w:rPr>
                <w:rFonts w:ascii="仿宋_GB2312" w:hAnsi="仿宋_GB2312" w:cs="仿宋_GB2312" w:eastAsia="仿宋_GB2312"/>
                <w:sz w:val="21"/>
              </w:rPr>
              <w:t>1.本工程的施工过程和成果必须符合国家有关工程建设标准强制性条文和国家或有关部门关于工程施工方面现行的标准、规范、规程、定额、办法、示例，以及陕西省关于工程施工方面的文件、规定。</w:t>
            </w:r>
          </w:p>
          <w:p>
            <w:pPr>
              <w:pStyle w:val="null3"/>
              <w:ind w:firstLine="420"/>
              <w:jc w:val="both"/>
            </w:pPr>
            <w:r>
              <w:rPr>
                <w:rFonts w:ascii="仿宋_GB2312" w:hAnsi="仿宋_GB2312" w:cs="仿宋_GB2312" w:eastAsia="仿宋_GB2312"/>
                <w:sz w:val="21"/>
              </w:rPr>
              <w:t>2.承包人在施工过程中使用或参考上述标准、规范以外的技术标准、规范时，应征得采购人的同意。</w:t>
            </w:r>
          </w:p>
          <w:p>
            <w:pPr>
              <w:pStyle w:val="null3"/>
              <w:ind w:firstLine="420"/>
              <w:jc w:val="both"/>
            </w:pPr>
            <w:r>
              <w:rPr>
                <w:rFonts w:ascii="仿宋_GB2312" w:hAnsi="仿宋_GB2312" w:cs="仿宋_GB2312" w:eastAsia="仿宋_GB2312"/>
                <w:sz w:val="21"/>
              </w:rPr>
              <w:t>3.在施工过程中，如果国家或有关部门颁布了新的技术标准或规范，则承包人应采用新的标准或规范进行施工。</w:t>
            </w:r>
          </w:p>
          <w:p>
            <w:pPr>
              <w:pStyle w:val="null3"/>
              <w:ind w:firstLine="420"/>
              <w:jc w:val="both"/>
            </w:pPr>
            <w:r>
              <w:rPr>
                <w:rFonts w:ascii="仿宋_GB2312" w:hAnsi="仿宋_GB2312" w:cs="仿宋_GB2312" w:eastAsia="仿宋_GB2312"/>
                <w:sz w:val="21"/>
              </w:rPr>
              <w:t>4.采购人提供工程的施工图纸和相关技术文件，是采购人现有的能被投标人利用的资料，采购人对投标人做出的任何推论、理解均不负责任。</w:t>
            </w:r>
          </w:p>
          <w:p>
            <w:pPr>
              <w:pStyle w:val="null3"/>
              <w:ind w:firstLine="420"/>
              <w:jc w:val="both"/>
            </w:pPr>
            <w:r>
              <w:rPr>
                <w:rFonts w:ascii="仿宋_GB2312" w:hAnsi="仿宋_GB2312" w:cs="仿宋_GB2312" w:eastAsia="仿宋_GB2312"/>
                <w:sz w:val="21"/>
              </w:rPr>
              <w:t>5.投标人应先到工地踏勘以充分了解工地位置、地质情况、进出场道路、拆迁干扰、储存空间、运输能力、装卸限制、行车干扰及任何其它足以影响承包价格的情况，了解设计图纸、施工规范、标准以及施工现场实际等情况，并应考虑现有人、材、机市场水平和供应、投标风险、不利的施工因素等，任何因忽视或误解工地情况而导致的索赔或工期延长申请将不获批准。</w:t>
            </w:r>
          </w:p>
          <w:p>
            <w:pPr>
              <w:pStyle w:val="null3"/>
              <w:ind w:firstLine="420"/>
              <w:jc w:val="both"/>
            </w:pPr>
            <w:r>
              <w:rPr>
                <w:rFonts w:ascii="仿宋_GB2312" w:hAnsi="仿宋_GB2312" w:cs="仿宋_GB2312" w:eastAsia="仿宋_GB2312"/>
                <w:sz w:val="21"/>
              </w:rPr>
              <w:t>6.投标人所提供的组件或附件如需向第三方外购时， 投标人应对质量负责，并提供相应的出厂和验收证明及相关技术文件。同时，还应满足本招标文件、工程量清单、施工图纸中的相关技术要求。</w:t>
            </w:r>
          </w:p>
          <w:p>
            <w:pPr>
              <w:pStyle w:val="null3"/>
              <w:ind w:firstLine="420"/>
              <w:jc w:val="both"/>
            </w:pPr>
            <w:r>
              <w:rPr>
                <w:rFonts w:ascii="仿宋_GB2312" w:hAnsi="仿宋_GB2312" w:cs="仿宋_GB2312" w:eastAsia="仿宋_GB2312"/>
                <w:sz w:val="21"/>
              </w:rPr>
              <w:t>7.质量必须达到现行合格标准，符合国家、行业、地方规定以及招标文件规定的强制性质量和安全标准要求。</w:t>
            </w:r>
          </w:p>
          <w:p>
            <w:pPr>
              <w:pStyle w:val="null3"/>
              <w:ind w:firstLine="420"/>
              <w:jc w:val="both"/>
            </w:pPr>
            <w:r>
              <w:rPr>
                <w:rFonts w:ascii="仿宋_GB2312" w:hAnsi="仿宋_GB2312" w:cs="仿宋_GB2312" w:eastAsia="仿宋_GB2312"/>
                <w:sz w:val="21"/>
              </w:rPr>
              <w:t>8.投标人中标后，本投标书中拟派项目经理必须与施工时实际委派项目经理一致，采购人将在签署施工合同前查验项目经理相关资质、身份材料以及中标人为项目经理最近半年缴纳社保的缴费凭据。项目经理必须履职尽责，全程参与施工、例会、解决施工中的问题，严禁挂名挂证。</w:t>
            </w:r>
          </w:p>
          <w:p>
            <w:pPr>
              <w:pStyle w:val="null3"/>
              <w:ind w:firstLine="420"/>
              <w:jc w:val="both"/>
            </w:pPr>
            <w:r>
              <w:rPr>
                <w:rFonts w:ascii="仿宋_GB2312" w:hAnsi="仿宋_GB2312" w:cs="仿宋_GB2312" w:eastAsia="仿宋_GB2312"/>
                <w:sz w:val="21"/>
              </w:rPr>
              <w:t>9. 投标人在招标过程中需要标明所有成品设备和产品的名称、规格型号、生产厂家、单价等有效信息。</w:t>
            </w:r>
          </w:p>
          <w:p>
            <w:pPr>
              <w:pStyle w:val="null3"/>
              <w:ind w:firstLine="420"/>
              <w:jc w:val="both"/>
            </w:pPr>
            <w:r>
              <w:rPr>
                <w:rFonts w:ascii="仿宋_GB2312" w:hAnsi="仿宋_GB2312" w:cs="仿宋_GB2312" w:eastAsia="仿宋_GB2312"/>
                <w:sz w:val="21"/>
              </w:rPr>
              <w:t>10.施工过程中，投标人应制定详细可行的防污降噪处理措施，减少对周围环境的影响，每天施工结束后对施工现场进行清扫，保证不影响医院正常办公和病人正常就诊。</w:t>
            </w:r>
          </w:p>
          <w:p>
            <w:pPr>
              <w:pStyle w:val="null3"/>
              <w:ind w:firstLine="420"/>
              <w:jc w:val="both"/>
            </w:pPr>
            <w:r>
              <w:rPr>
                <w:rFonts w:ascii="仿宋_GB2312" w:hAnsi="仿宋_GB2312" w:cs="仿宋_GB2312" w:eastAsia="仿宋_GB2312"/>
                <w:sz w:val="21"/>
              </w:rPr>
              <w:t>11.承包人需要将专业工程或劳务进行分包的，应分包给具有相应资质的专业或劳务企业，并与分包企业签订分包合同。</w:t>
            </w:r>
          </w:p>
          <w:p>
            <w:pPr>
              <w:pStyle w:val="null3"/>
              <w:ind w:firstLine="420"/>
              <w:jc w:val="both"/>
            </w:pPr>
            <w:r>
              <w:rPr>
                <w:rFonts w:ascii="仿宋_GB2312" w:hAnsi="仿宋_GB2312" w:cs="仿宋_GB2312" w:eastAsia="仿宋_GB2312"/>
                <w:sz w:val="21"/>
              </w:rPr>
              <w:t>12.承包人不得将其承包的工程转包给他人，也不得将其承包的工程以分包的名义转包给他人。</w:t>
            </w:r>
          </w:p>
          <w:p>
            <w:pPr>
              <w:pStyle w:val="null3"/>
            </w:pPr>
            <w:r>
              <w:rPr>
                <w:rFonts w:ascii="仿宋_GB2312" w:hAnsi="仿宋_GB2312" w:cs="仿宋_GB2312" w:eastAsia="仿宋_GB2312"/>
                <w:sz w:val="21"/>
              </w:rPr>
              <w:t xml:space="preserve">   13</w:t>
            </w:r>
            <w:r>
              <w:rPr>
                <w:rFonts w:ascii="仿宋_GB2312" w:hAnsi="仿宋_GB2312" w:cs="仿宋_GB2312" w:eastAsia="仿宋_GB2312"/>
                <w:sz w:val="21"/>
              </w:rPr>
              <w:t>.工程分包不能解除承包人任何责任与义务。承包人应在分包场地派驻相应管理人员，保证本合同的履行。分包单位的任何违约行为或疏忽导致工程损害或给发包人造成其他损失，承包人承担连带责任。</w:t>
            </w:r>
          </w:p>
          <w:p>
            <w:pPr>
              <w:pStyle w:val="null3"/>
            </w:pPr>
            <w:r>
              <w:rPr>
                <w:rFonts w:ascii="仿宋_GB2312" w:hAnsi="仿宋_GB2312" w:cs="仿宋_GB2312" w:eastAsia="仿宋_GB2312"/>
              </w:rPr>
              <w:t>六、供应商针对本项目的施工，必须达到国家及行业现行技术规范标准，符合国家及行业验收合格标准：</w:t>
            </w:r>
          </w:p>
          <w:p>
            <w:pPr>
              <w:pStyle w:val="null3"/>
            </w:pPr>
            <w:r>
              <w:rPr>
                <w:rFonts w:ascii="仿宋_GB2312" w:hAnsi="仿宋_GB2312" w:cs="仿宋_GB2312" w:eastAsia="仿宋_GB2312"/>
              </w:rPr>
              <w:t>质量标准符合本项目采购清单要求、建筑装饰装修工程质量验收规范和国家、陕西省、西安市现行工程质量验评标准。</w:t>
            </w:r>
          </w:p>
          <w:p>
            <w:pPr>
              <w:pStyle w:val="null3"/>
            </w:pPr>
            <w:r>
              <w:rPr>
                <w:rFonts w:ascii="仿宋_GB2312" w:hAnsi="仿宋_GB2312" w:cs="仿宋_GB2312" w:eastAsia="仿宋_GB2312"/>
              </w:rPr>
              <w:t>七、针对本项目的其他技术服务要求：</w:t>
            </w:r>
          </w:p>
          <w:p>
            <w:pPr>
              <w:pStyle w:val="null3"/>
            </w:pPr>
            <w:r>
              <w:rPr>
                <w:rFonts w:ascii="仿宋_GB2312" w:hAnsi="仿宋_GB2312" w:cs="仿宋_GB2312" w:eastAsia="仿宋_GB2312"/>
              </w:rPr>
              <w:t xml:space="preserve">  1、本工程为交钥匙工程，为清单报价，报价中包含暂列金，最终工程量按照实际发生量计取。 2、报价汇总表中的价格必须是完成本项目的所有费用的报价；工程量清单中的全费用综合单价包括但不限于所需的人工费、材料费、运杂费（含装卸、搬运、损耗、二次运输及多次倒运费用）、施工机械使用费、保管费、检测与试验费、安装及调试费、各种措施费（含安全文明措施费）、劳保统筹基金、各类保险、管理费、利润、规费、各项税费、施工车辆校内通行费、垃圾清运费、用水用电费、验收、质保及保修服务、风险、责任和义务等所有费用。 3、供应商填报工程量清单报价时，对采购人提供的工程量清单数据及内容、表格格式均不得改动，如有改动，工程结算时采购人有权按有利于采购人的方式进行结算。 4、磋商报价应是包含劳保统筹基金的含税工程造价。</w:t>
            </w:r>
          </w:p>
          <w:p>
            <w:pPr>
              <w:pStyle w:val="null3"/>
            </w:pPr>
            <w:r>
              <w:rPr>
                <w:rFonts w:ascii="仿宋_GB2312" w:hAnsi="仿宋_GB2312" w:cs="仿宋_GB2312" w:eastAsia="仿宋_GB2312"/>
              </w:rPr>
              <w:t>八、工程量清单（详见附件）</w:t>
            </w:r>
          </w:p>
          <w:p>
            <w:pPr>
              <w:pStyle w:val="null3"/>
              <w:ind w:firstLine="480"/>
            </w:pPr>
            <w:r>
              <w:rPr>
                <w:rFonts w:ascii="仿宋_GB2312" w:hAnsi="仿宋_GB2312" w:cs="仿宋_GB2312" w:eastAsia="仿宋_GB2312"/>
              </w:rPr>
              <w:t xml:space="preserve"> </w:t>
            </w:r>
            <w:r>
              <w:rPr>
                <w:rFonts w:ascii="仿宋_GB2312" w:hAnsi="仿宋_GB2312" w:cs="仿宋_GB2312" w:eastAsia="仿宋_GB2312"/>
              </w:rPr>
              <w:t>（说明：工程量清单应当结合《政府采购需求管理办法》（财库〔</w:t>
            </w:r>
            <w:r>
              <w:rPr>
                <w:rFonts w:ascii="仿宋_GB2312" w:hAnsi="仿宋_GB2312" w:cs="仿宋_GB2312" w:eastAsia="仿宋_GB2312"/>
              </w:rPr>
              <w:t>2021〕22号）第六条第二款规定，明确相关性能、材料、结构、外观、安全、标准等。</w:t>
            </w:r>
          </w:p>
          <w:p>
            <w:pPr>
              <w:pStyle w:val="null3"/>
              <w:ind w:firstLine="480"/>
            </w:pPr>
            <w:r>
              <w:rPr>
                <w:rFonts w:ascii="仿宋_GB2312" w:hAnsi="仿宋_GB2312" w:cs="仿宋_GB2312" w:eastAsia="仿宋_GB2312"/>
              </w:rPr>
              <w:t>其中设备需不低于以下表格要求参数条件。</w:t>
            </w:r>
          </w:p>
          <w:tbl>
            <w:tblPr>
              <w:tblInd w:type="dxa" w:w="105"/>
              <w:tblBorders>
                <w:top w:val="none" w:color="000000" w:sz="4"/>
                <w:left w:val="none" w:color="000000" w:sz="4"/>
                <w:bottom w:val="none" w:color="000000" w:sz="4"/>
                <w:right w:val="none" w:color="000000" w:sz="4"/>
                <w:insideH w:val="none"/>
                <w:insideV w:val="none"/>
              </w:tblBorders>
            </w:tblPr>
            <w:tblGrid>
              <w:gridCol w:w="183"/>
              <w:gridCol w:w="210"/>
              <w:gridCol w:w="302"/>
              <w:gridCol w:w="1214"/>
              <w:gridCol w:w="325"/>
              <w:gridCol w:w="302"/>
            </w:tblGrid>
            <w:tr>
              <w:tc>
                <w:tcPr>
                  <w:tcW w:type="dxa" w:w="2536"/>
                  <w:gridSpan w:val="6"/>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6"/>
                    </w:rPr>
                    <w:t>病理科设备汇总</w:t>
                  </w:r>
                  <w:r>
                    <w:rPr>
                      <w:rFonts w:ascii="仿宋_GB2312" w:hAnsi="仿宋_GB2312" w:cs="仿宋_GB2312" w:eastAsia="仿宋_GB2312"/>
                      <w:sz w:val="36"/>
                    </w:rPr>
                    <w:t xml:space="preserve">     </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序号</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名称</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规格</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参数</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单位</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数量</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实验台</w:t>
                  </w:r>
                  <w:r>
                    <w:rPr>
                      <w:rFonts w:ascii="仿宋_GB2312" w:hAnsi="仿宋_GB2312" w:cs="仿宋_GB2312" w:eastAsia="仿宋_GB2312"/>
                      <w:sz w:val="15"/>
                    </w:rPr>
                    <w:t></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L*750*800mm</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[工作内容]</w:t>
                  </w:r>
                  <w:r>
                    <w:br/>
                  </w:r>
                  <w:r>
                    <w:rPr>
                      <w:rFonts w:ascii="仿宋_GB2312" w:hAnsi="仿宋_GB2312" w:cs="仿宋_GB2312" w:eastAsia="仿宋_GB2312"/>
                      <w:sz w:val="15"/>
                    </w:rPr>
                    <w:t>1.底柜要求:采用国标裸板≧1.0mm厚优质冷轧钢板为基材，整体焊接一体成型（不得现场拼接）</w:t>
                  </w:r>
                  <w:r>
                    <w:br/>
                  </w:r>
                  <w:r>
                    <w:rPr>
                      <w:rFonts w:ascii="仿宋_GB2312" w:hAnsi="仿宋_GB2312" w:cs="仿宋_GB2312" w:eastAsia="仿宋_GB2312"/>
                      <w:sz w:val="15"/>
                    </w:rPr>
                    <w:t>2.柜体钢板：符合GB/T24820-2024标准，采用≥1.0mm厚冷轧钢板，表面环氧树脂喷涂</w:t>
                  </w:r>
                  <w:r>
                    <w:br/>
                  </w:r>
                  <w:r>
                    <w:rPr>
                      <w:rFonts w:ascii="仿宋_GB2312" w:hAnsi="仿宋_GB2312" w:cs="仿宋_GB2312" w:eastAsia="仿宋_GB2312"/>
                      <w:sz w:val="15"/>
                    </w:rPr>
                    <w:t>3.柜体：承载性实验需满足：柜体总承重≥900Kg，柜体没有永久损坏现象。平衡脚无变形不影响调节系统功能</w:t>
                  </w:r>
                  <w:r>
                    <w:br/>
                  </w:r>
                  <w:r>
                    <w:rPr>
                      <w:rFonts w:ascii="仿宋_GB2312" w:hAnsi="仿宋_GB2312" w:cs="仿宋_GB2312" w:eastAsia="仿宋_GB2312"/>
                      <w:sz w:val="15"/>
                    </w:rPr>
                    <w:t>4.框架：≥50mm×50mm×2.5mm方钢或40mm×60mm矩形钢管</w:t>
                  </w:r>
                  <w:r>
                    <w:br/>
                  </w:r>
                  <w:r>
                    <w:rPr>
                      <w:rFonts w:ascii="仿宋_GB2312" w:hAnsi="仿宋_GB2312" w:cs="仿宋_GB2312" w:eastAsia="仿宋_GB2312"/>
                      <w:sz w:val="15"/>
                    </w:rPr>
                    <w:t>5.台面：不低于15毫米厚实验室专用陶瓷板。需满足以下技术要求</w:t>
                  </w:r>
                  <w:r>
                    <w:br/>
                  </w:r>
                  <w:r>
                    <w:rPr>
                      <w:rFonts w:ascii="仿宋_GB2312" w:hAnsi="仿宋_GB2312" w:cs="仿宋_GB2312" w:eastAsia="仿宋_GB2312"/>
                      <w:sz w:val="15"/>
                    </w:rPr>
                    <w:t>高温长时间煅烧而成，釉面和坯体结合后不脱落、不脱层、耐磨、耐强腐蚀。投标时投标单位须提供满足以下性能要求的，并提供</w:t>
                  </w:r>
                  <w:r>
                    <w:rPr>
                      <w:rFonts w:ascii="仿宋_GB2312" w:hAnsi="仿宋_GB2312" w:cs="仿宋_GB2312" w:eastAsia="仿宋_GB2312"/>
                      <w:sz w:val="15"/>
                    </w:rPr>
                    <w:t>CMA或CNAS认证的检测机构出具的检测报告；其检测报告复印件和相关证明资料需含有品牌厂家的红色鲜章，并标注专用于本项目投标使用字样</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米</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45</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通风柜</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规格：</w:t>
                  </w:r>
                  <w:r>
                    <w:rPr>
                      <w:rFonts w:ascii="仿宋_GB2312" w:hAnsi="仿宋_GB2312" w:cs="仿宋_GB2312" w:eastAsia="仿宋_GB2312"/>
                      <w:sz w:val="15"/>
                    </w:rPr>
                    <w:t>2400*1100*2350mm</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[项目特征]</w:t>
                  </w:r>
                  <w:r>
                    <w:br/>
                  </w:r>
                  <w:r>
                    <w:rPr>
                      <w:rFonts w:ascii="仿宋_GB2312" w:hAnsi="仿宋_GB2312" w:cs="仿宋_GB2312" w:eastAsia="仿宋_GB2312"/>
                      <w:sz w:val="15"/>
                    </w:rPr>
                    <w:t>1.规格：规格：2400*1100*2350mm</w:t>
                  </w:r>
                  <w:r>
                    <w:br/>
                  </w:r>
                  <w:r>
                    <w:rPr>
                      <w:rFonts w:ascii="仿宋_GB2312" w:hAnsi="仿宋_GB2312" w:cs="仿宋_GB2312" w:eastAsia="仿宋_GB2312"/>
                      <w:sz w:val="15"/>
                    </w:rPr>
                    <w:t>[工作内容]</w:t>
                  </w:r>
                  <w:r>
                    <w:br/>
                  </w:r>
                  <w:r>
                    <w:rPr>
                      <w:rFonts w:ascii="仿宋_GB2312" w:hAnsi="仿宋_GB2312" w:cs="仿宋_GB2312" w:eastAsia="仿宋_GB2312"/>
                      <w:sz w:val="15"/>
                    </w:rPr>
                    <w:t>1.通风柜主框架采用≥1.5mm钢板，配套固定件采用≥2.0mm钢板，主体采用≥1.2mm钢板；经激光切割、数控冲折后焊接成型；表面符合SEFA级别环氧树脂喷涂，涂层厚度不小于70μm，主框架正面采用铝合金型材制作的多功能可拆装面板</w:t>
                  </w:r>
                  <w:r>
                    <w:br/>
                  </w:r>
                  <w:r>
                    <w:rPr>
                      <w:rFonts w:ascii="仿宋_GB2312" w:hAnsi="仿宋_GB2312" w:cs="仿宋_GB2312" w:eastAsia="仿宋_GB2312"/>
                      <w:sz w:val="15"/>
                    </w:rPr>
                    <w:t xml:space="preserve">2.通风柜台面采用≥20mm厚黑色一体实芯的实验室专用环氧树脂台面。 </w:t>
                  </w:r>
                  <w:r>
                    <w:br/>
                  </w:r>
                  <w:r>
                    <w:rPr>
                      <w:rFonts w:ascii="仿宋_GB2312" w:hAnsi="仿宋_GB2312" w:cs="仿宋_GB2312" w:eastAsia="仿宋_GB2312"/>
                      <w:sz w:val="15"/>
                    </w:rPr>
                    <w:t>3.通风柜内衬及导流板：均为≥5mm厚抗倍特板；采用无铆钉连接工艺</w:t>
                  </w:r>
                  <w:r>
                    <w:br/>
                  </w:r>
                  <w:r>
                    <w:rPr>
                      <w:rFonts w:ascii="仿宋_GB2312" w:hAnsi="仿宋_GB2312" w:cs="仿宋_GB2312" w:eastAsia="仿宋_GB2312"/>
                      <w:sz w:val="15"/>
                    </w:rPr>
                    <w:t>4.通风柜视窗采用3+3mm厚夹胶安全玻璃，当玻璃受外力破碎时，玻璃碎片不会飞溅或掉落；通风柜视窗最大开启高度815mm，可在任意位置停留；通风柜内部有效高度1210mm</w:t>
                  </w:r>
                  <w:r>
                    <w:br/>
                  </w:r>
                  <w:r>
                    <w:rPr>
                      <w:rFonts w:ascii="仿宋_GB2312" w:hAnsi="仿宋_GB2312" w:cs="仿宋_GB2312" w:eastAsia="仿宋_GB2312"/>
                      <w:sz w:val="15"/>
                    </w:rPr>
                    <w:t>5.通风柜LED节能灯安装在通风柜外部，用安全玻璃与柜体内部隔离</w:t>
                  </w:r>
                  <w:r>
                    <w:br/>
                  </w:r>
                  <w:r>
                    <w:rPr>
                      <w:rFonts w:ascii="仿宋_GB2312" w:hAnsi="仿宋_GB2312" w:cs="仿宋_GB2312" w:eastAsia="仿宋_GB2312"/>
                      <w:sz w:val="15"/>
                    </w:rPr>
                    <w:t>6.配置专用漏电保护开关及插座（不少于3个10A、1个16A）</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通风柜</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规格：</w:t>
                  </w:r>
                  <w:r>
                    <w:rPr>
                      <w:rFonts w:ascii="仿宋_GB2312" w:hAnsi="仿宋_GB2312" w:cs="仿宋_GB2312" w:eastAsia="仿宋_GB2312"/>
                      <w:sz w:val="15"/>
                    </w:rPr>
                    <w:t>2200*1100*2350mm</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[项目特征]</w:t>
                  </w:r>
                  <w:r>
                    <w:br/>
                  </w:r>
                  <w:r>
                    <w:rPr>
                      <w:rFonts w:ascii="仿宋_GB2312" w:hAnsi="仿宋_GB2312" w:cs="仿宋_GB2312" w:eastAsia="仿宋_GB2312"/>
                      <w:sz w:val="15"/>
                    </w:rPr>
                    <w:t>1.规格：规格：2200*1100*2350mm</w:t>
                  </w:r>
                  <w:r>
                    <w:br/>
                  </w:r>
                  <w:r>
                    <w:rPr>
                      <w:rFonts w:ascii="仿宋_GB2312" w:hAnsi="仿宋_GB2312" w:cs="仿宋_GB2312" w:eastAsia="仿宋_GB2312"/>
                      <w:sz w:val="15"/>
                    </w:rPr>
                    <w:t>[工作内容]</w:t>
                  </w:r>
                  <w:r>
                    <w:br/>
                  </w:r>
                  <w:r>
                    <w:rPr>
                      <w:rFonts w:ascii="仿宋_GB2312" w:hAnsi="仿宋_GB2312" w:cs="仿宋_GB2312" w:eastAsia="仿宋_GB2312"/>
                      <w:sz w:val="15"/>
                    </w:rPr>
                    <w:t>1.通风柜主框架采用≥1.5mm钢板，配套固定件采用≥2.0mm钢板，主体采用≥1.2mm钢板；经激光切割、数控冲折后焊接成型；表面符合SEFA级别环氧树脂喷涂，涂层厚度不小于70μm，主框架正面采用铝合金型材制作的多功能可拆装面板</w:t>
                  </w:r>
                  <w:r>
                    <w:br/>
                  </w:r>
                  <w:r>
                    <w:rPr>
                      <w:rFonts w:ascii="仿宋_GB2312" w:hAnsi="仿宋_GB2312" w:cs="仿宋_GB2312" w:eastAsia="仿宋_GB2312"/>
                      <w:sz w:val="15"/>
                    </w:rPr>
                    <w:t xml:space="preserve">2.通风柜台面采用≥20mm厚黑色一体实芯的实验室专用环氧树脂台面。 </w:t>
                  </w:r>
                  <w:r>
                    <w:br/>
                  </w:r>
                  <w:r>
                    <w:rPr>
                      <w:rFonts w:ascii="仿宋_GB2312" w:hAnsi="仿宋_GB2312" w:cs="仿宋_GB2312" w:eastAsia="仿宋_GB2312"/>
                      <w:sz w:val="15"/>
                    </w:rPr>
                    <w:t>3.通风柜内衬及导流板：均为≥5mm厚抗倍特板；采用无铆钉连接工艺</w:t>
                  </w:r>
                  <w:r>
                    <w:br/>
                  </w:r>
                  <w:r>
                    <w:rPr>
                      <w:rFonts w:ascii="仿宋_GB2312" w:hAnsi="仿宋_GB2312" w:cs="仿宋_GB2312" w:eastAsia="仿宋_GB2312"/>
                      <w:sz w:val="15"/>
                    </w:rPr>
                    <w:t>4.通风柜视窗采用3+3mm厚夹胶安全玻璃，当玻璃受外力破碎时，玻璃碎片不会飞溅或掉落；通风柜视窗最大开启高度815mm，可在任意位置停留；通风柜内部有效高度1210mm</w:t>
                  </w:r>
                  <w:r>
                    <w:br/>
                  </w:r>
                  <w:r>
                    <w:rPr>
                      <w:rFonts w:ascii="仿宋_GB2312" w:hAnsi="仿宋_GB2312" w:cs="仿宋_GB2312" w:eastAsia="仿宋_GB2312"/>
                      <w:sz w:val="15"/>
                    </w:rPr>
                    <w:t>5.通风柜LED节能灯安装在通风柜外部，用安全玻璃与柜体内部隔离</w:t>
                  </w:r>
                  <w:r>
                    <w:br/>
                  </w:r>
                  <w:r>
                    <w:rPr>
                      <w:rFonts w:ascii="仿宋_GB2312" w:hAnsi="仿宋_GB2312" w:cs="仿宋_GB2312" w:eastAsia="仿宋_GB2312"/>
                      <w:sz w:val="15"/>
                    </w:rPr>
                    <w:t>6.配置专用漏电保护开关及插座（不少于3个10A、1个16A）</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通风柜</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规格：</w:t>
                  </w:r>
                  <w:r>
                    <w:rPr>
                      <w:rFonts w:ascii="仿宋_GB2312" w:hAnsi="仿宋_GB2312" w:cs="仿宋_GB2312" w:eastAsia="仿宋_GB2312"/>
                      <w:sz w:val="15"/>
                    </w:rPr>
                    <w:t>1800*900*2350mm</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[项目特征]</w:t>
                  </w:r>
                  <w:r>
                    <w:br/>
                  </w:r>
                  <w:r>
                    <w:rPr>
                      <w:rFonts w:ascii="仿宋_GB2312" w:hAnsi="仿宋_GB2312" w:cs="仿宋_GB2312" w:eastAsia="仿宋_GB2312"/>
                      <w:sz w:val="15"/>
                    </w:rPr>
                    <w:t>1.规格：规格：1800*900*2350mm</w:t>
                  </w:r>
                  <w:r>
                    <w:br/>
                  </w:r>
                  <w:r>
                    <w:rPr>
                      <w:rFonts w:ascii="仿宋_GB2312" w:hAnsi="仿宋_GB2312" w:cs="仿宋_GB2312" w:eastAsia="仿宋_GB2312"/>
                      <w:sz w:val="15"/>
                    </w:rPr>
                    <w:t>[工作内容]</w:t>
                  </w:r>
                  <w:r>
                    <w:br/>
                  </w:r>
                  <w:r>
                    <w:rPr>
                      <w:rFonts w:ascii="仿宋_GB2312" w:hAnsi="仿宋_GB2312" w:cs="仿宋_GB2312" w:eastAsia="仿宋_GB2312"/>
                      <w:sz w:val="15"/>
                    </w:rPr>
                    <w:t>1.通风柜主框架采用≥1.5mm钢板，配套固定件采用≥2.0mm钢板，主体采用≥1.2mm钢板；经激光切割、数控冲折后焊接成型；表面符合SEFA级别环氧树脂喷涂，涂层厚度不小于70μm，主框架正面采用铝合金型材制作的多功能可拆装面板</w:t>
                  </w:r>
                  <w:r>
                    <w:br/>
                  </w:r>
                  <w:r>
                    <w:rPr>
                      <w:rFonts w:ascii="仿宋_GB2312" w:hAnsi="仿宋_GB2312" w:cs="仿宋_GB2312" w:eastAsia="仿宋_GB2312"/>
                      <w:sz w:val="15"/>
                    </w:rPr>
                    <w:t xml:space="preserve">2.通风柜台面采用≥20mm厚黑色一体实芯的实验室专用环氧树脂台面。 </w:t>
                  </w:r>
                  <w:r>
                    <w:br/>
                  </w:r>
                  <w:r>
                    <w:rPr>
                      <w:rFonts w:ascii="仿宋_GB2312" w:hAnsi="仿宋_GB2312" w:cs="仿宋_GB2312" w:eastAsia="仿宋_GB2312"/>
                      <w:sz w:val="15"/>
                    </w:rPr>
                    <w:t>3.通风柜内衬及导流板：均为≥5mm厚抗倍特板；采用无铆钉连接工艺</w:t>
                  </w:r>
                  <w:r>
                    <w:br/>
                  </w:r>
                  <w:r>
                    <w:rPr>
                      <w:rFonts w:ascii="仿宋_GB2312" w:hAnsi="仿宋_GB2312" w:cs="仿宋_GB2312" w:eastAsia="仿宋_GB2312"/>
                      <w:sz w:val="15"/>
                    </w:rPr>
                    <w:t>4.通风柜视窗采用3+3mm厚夹胶安全玻璃，当玻璃受外力破碎时，玻璃碎片不会飞溅或掉落；通风柜视窗最大开启高度815mm，可在任意位置停留；通风柜内部有效高度1210mm</w:t>
                  </w:r>
                  <w:r>
                    <w:br/>
                  </w:r>
                  <w:r>
                    <w:rPr>
                      <w:rFonts w:ascii="仿宋_GB2312" w:hAnsi="仿宋_GB2312" w:cs="仿宋_GB2312" w:eastAsia="仿宋_GB2312"/>
                      <w:sz w:val="15"/>
                    </w:rPr>
                    <w:t>5.通风柜LED节能灯安装在通风柜外部，用安全玻璃与柜体内部隔离</w:t>
                  </w:r>
                  <w:r>
                    <w:br/>
                  </w:r>
                  <w:r>
                    <w:rPr>
                      <w:rFonts w:ascii="仿宋_GB2312" w:hAnsi="仿宋_GB2312" w:cs="仿宋_GB2312" w:eastAsia="仿宋_GB2312"/>
                      <w:sz w:val="15"/>
                    </w:rPr>
                    <w:t>6.配置专用漏电保护开关及插座（不少于3个10A、1个16A）</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全钢通风柜</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规格：</w:t>
                  </w:r>
                  <w:r>
                    <w:rPr>
                      <w:rFonts w:ascii="仿宋_GB2312" w:hAnsi="仿宋_GB2312" w:cs="仿宋_GB2312" w:eastAsia="仿宋_GB2312"/>
                      <w:sz w:val="15"/>
                    </w:rPr>
                    <w:t>1500*900*2350mm</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[项目特征]</w:t>
                  </w:r>
                  <w:r>
                    <w:br/>
                  </w:r>
                  <w:r>
                    <w:rPr>
                      <w:rFonts w:ascii="仿宋_GB2312" w:hAnsi="仿宋_GB2312" w:cs="仿宋_GB2312" w:eastAsia="仿宋_GB2312"/>
                      <w:sz w:val="15"/>
                    </w:rPr>
                    <w:t>1.规格：规格：1500*900*2350mm</w:t>
                  </w:r>
                  <w:r>
                    <w:br/>
                  </w:r>
                  <w:r>
                    <w:rPr>
                      <w:rFonts w:ascii="仿宋_GB2312" w:hAnsi="仿宋_GB2312" w:cs="仿宋_GB2312" w:eastAsia="仿宋_GB2312"/>
                      <w:sz w:val="15"/>
                    </w:rPr>
                    <w:t>[工作内容]</w:t>
                  </w:r>
                  <w:r>
                    <w:br/>
                  </w:r>
                  <w:r>
                    <w:rPr>
                      <w:rFonts w:ascii="仿宋_GB2312" w:hAnsi="仿宋_GB2312" w:cs="仿宋_GB2312" w:eastAsia="仿宋_GB2312"/>
                      <w:sz w:val="15"/>
                    </w:rPr>
                    <w:t>1.通风柜主框架采用≥1.5mm钢板，配套固定件采用≥2.0mm钢板，主体采用≥1.2mm钢板；经激光切割、数控冲折后焊接成型；表面符合SEFA级别环氧树脂喷涂，涂层厚度不小于70μm，主框架正面采用铝合金型材制作的多功能可拆装面板</w:t>
                  </w:r>
                  <w:r>
                    <w:br/>
                  </w:r>
                  <w:r>
                    <w:rPr>
                      <w:rFonts w:ascii="仿宋_GB2312" w:hAnsi="仿宋_GB2312" w:cs="仿宋_GB2312" w:eastAsia="仿宋_GB2312"/>
                      <w:sz w:val="15"/>
                    </w:rPr>
                    <w:t xml:space="preserve">2.通风柜台面采用≥20mm厚黑色一体实芯的实验室专用环氧树脂台面。 </w:t>
                  </w:r>
                  <w:r>
                    <w:br/>
                  </w:r>
                  <w:r>
                    <w:rPr>
                      <w:rFonts w:ascii="仿宋_GB2312" w:hAnsi="仿宋_GB2312" w:cs="仿宋_GB2312" w:eastAsia="仿宋_GB2312"/>
                      <w:sz w:val="15"/>
                    </w:rPr>
                    <w:t>3.通风柜内衬及导流板：均为≥5mm厚抗倍特板；采用无铆钉连接工艺</w:t>
                  </w:r>
                  <w:r>
                    <w:br/>
                  </w:r>
                  <w:r>
                    <w:rPr>
                      <w:rFonts w:ascii="仿宋_GB2312" w:hAnsi="仿宋_GB2312" w:cs="仿宋_GB2312" w:eastAsia="仿宋_GB2312"/>
                      <w:sz w:val="15"/>
                    </w:rPr>
                    <w:t>4.通风柜视窗采用3+3mm厚夹胶安全玻璃，当玻璃受外力破碎时，玻璃碎片不会飞溅或掉落；通风柜视窗最大开启高度815mm，可在任意位置停留；通风柜内部有效高度1210mm</w:t>
                  </w:r>
                  <w:r>
                    <w:br/>
                  </w:r>
                  <w:r>
                    <w:rPr>
                      <w:rFonts w:ascii="仿宋_GB2312" w:hAnsi="仿宋_GB2312" w:cs="仿宋_GB2312" w:eastAsia="仿宋_GB2312"/>
                      <w:sz w:val="15"/>
                    </w:rPr>
                    <w:t>5.通风柜LED节能灯安装在通风柜外部，用安全玻璃与柜体内部隔离</w:t>
                  </w:r>
                  <w:r>
                    <w:br/>
                  </w:r>
                  <w:r>
                    <w:rPr>
                      <w:rFonts w:ascii="仿宋_GB2312" w:hAnsi="仿宋_GB2312" w:cs="仿宋_GB2312" w:eastAsia="仿宋_GB2312"/>
                      <w:sz w:val="15"/>
                    </w:rPr>
                    <w:t>6.配置专用漏电保护开关及插座（不少于3个10A、1个16A）</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通风柜</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规格：</w:t>
                  </w:r>
                  <w:r>
                    <w:rPr>
                      <w:rFonts w:ascii="仿宋_GB2312" w:hAnsi="仿宋_GB2312" w:cs="仿宋_GB2312" w:eastAsia="仿宋_GB2312"/>
                      <w:sz w:val="15"/>
                    </w:rPr>
                    <w:t>1200*900*2350mm</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[项目特征]</w:t>
                  </w:r>
                  <w:r>
                    <w:br/>
                  </w:r>
                  <w:r>
                    <w:rPr>
                      <w:rFonts w:ascii="仿宋_GB2312" w:hAnsi="仿宋_GB2312" w:cs="仿宋_GB2312" w:eastAsia="仿宋_GB2312"/>
                      <w:sz w:val="15"/>
                    </w:rPr>
                    <w:t>1.规格：规格：1200*900*2350mm</w:t>
                  </w:r>
                  <w:r>
                    <w:br/>
                  </w:r>
                  <w:r>
                    <w:rPr>
                      <w:rFonts w:ascii="仿宋_GB2312" w:hAnsi="仿宋_GB2312" w:cs="仿宋_GB2312" w:eastAsia="仿宋_GB2312"/>
                      <w:sz w:val="15"/>
                    </w:rPr>
                    <w:t>[工作内容]</w:t>
                  </w:r>
                  <w:r>
                    <w:br/>
                  </w:r>
                  <w:r>
                    <w:rPr>
                      <w:rFonts w:ascii="仿宋_GB2312" w:hAnsi="仿宋_GB2312" w:cs="仿宋_GB2312" w:eastAsia="仿宋_GB2312"/>
                      <w:sz w:val="15"/>
                    </w:rPr>
                    <w:t>1.通风柜主框架采用≥1.5mm钢板，配套固定件采用≥2.0mm钢板，主体采用≥1.2mm钢板；经激光切割、数控冲折后焊接成型；表面符合SEFA级别环氧树脂喷涂，涂层厚度不小于70μm，主框架正面采用铝合金型材制作的多功能可拆装面板</w:t>
                  </w:r>
                  <w:r>
                    <w:br/>
                  </w:r>
                  <w:r>
                    <w:rPr>
                      <w:rFonts w:ascii="仿宋_GB2312" w:hAnsi="仿宋_GB2312" w:cs="仿宋_GB2312" w:eastAsia="仿宋_GB2312"/>
                      <w:sz w:val="15"/>
                    </w:rPr>
                    <w:t xml:space="preserve">2.通风柜台面采用≥20mm厚黑色一体实芯的实验室专用环氧树脂台面。 </w:t>
                  </w:r>
                  <w:r>
                    <w:br/>
                  </w:r>
                  <w:r>
                    <w:rPr>
                      <w:rFonts w:ascii="仿宋_GB2312" w:hAnsi="仿宋_GB2312" w:cs="仿宋_GB2312" w:eastAsia="仿宋_GB2312"/>
                      <w:sz w:val="15"/>
                    </w:rPr>
                    <w:t>3.通风柜内衬及导流板：均为≥5mm厚抗倍特板；采用无铆钉连接工艺</w:t>
                  </w:r>
                  <w:r>
                    <w:br/>
                  </w:r>
                  <w:r>
                    <w:rPr>
                      <w:rFonts w:ascii="仿宋_GB2312" w:hAnsi="仿宋_GB2312" w:cs="仿宋_GB2312" w:eastAsia="仿宋_GB2312"/>
                      <w:sz w:val="15"/>
                    </w:rPr>
                    <w:t>4.通风柜视窗采用3+3mm厚夹胶安全玻璃，当玻璃受外力破碎时，玻璃碎片不会飞溅或掉落；通风柜视窗最大开启高度815mm，可在任意位置停留；通风柜内部有效高度1210mm</w:t>
                  </w:r>
                  <w:r>
                    <w:br/>
                  </w:r>
                  <w:r>
                    <w:rPr>
                      <w:rFonts w:ascii="仿宋_GB2312" w:hAnsi="仿宋_GB2312" w:cs="仿宋_GB2312" w:eastAsia="仿宋_GB2312"/>
                      <w:sz w:val="15"/>
                    </w:rPr>
                    <w:t>5.通风柜LED节能灯安装在通风柜外部，用安全玻璃与柜体内部隔离</w:t>
                  </w:r>
                  <w:r>
                    <w:br/>
                  </w:r>
                  <w:r>
                    <w:rPr>
                      <w:rFonts w:ascii="仿宋_GB2312" w:hAnsi="仿宋_GB2312" w:cs="仿宋_GB2312" w:eastAsia="仿宋_GB2312"/>
                      <w:sz w:val="15"/>
                    </w:rPr>
                    <w:t>6.配置专用漏电保护开关及插座（不少于3个10A、1个16A）</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7</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通风柜</w:t>
                  </w:r>
                  <w:r>
                    <w:rPr>
                      <w:rFonts w:ascii="仿宋_GB2312" w:hAnsi="仿宋_GB2312" w:cs="仿宋_GB2312" w:eastAsia="仿宋_GB2312"/>
                      <w:sz w:val="15"/>
                    </w:rPr>
                    <w:t></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1500*1100*2350mm</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通风柜</w:t>
                  </w:r>
                  <w:r>
                    <w:rPr>
                      <w:rFonts w:ascii="仿宋_GB2312" w:hAnsi="仿宋_GB2312" w:cs="仿宋_GB2312" w:eastAsia="仿宋_GB2312"/>
                      <w:sz w:val="15"/>
                    </w:rPr>
                    <w:t></w:t>
                  </w:r>
                  <w:r>
                    <w:br/>
                  </w:r>
                  <w:r>
                    <w:rPr>
                      <w:rFonts w:ascii="仿宋_GB2312" w:hAnsi="仿宋_GB2312" w:cs="仿宋_GB2312" w:eastAsia="仿宋_GB2312"/>
                      <w:sz w:val="15"/>
                    </w:rPr>
                    <w:t>[项目特征]</w:t>
                  </w:r>
                  <w:r>
                    <w:br/>
                  </w:r>
                  <w:r>
                    <w:rPr>
                      <w:rFonts w:ascii="仿宋_GB2312" w:hAnsi="仿宋_GB2312" w:cs="仿宋_GB2312" w:eastAsia="仿宋_GB2312"/>
                      <w:sz w:val="15"/>
                    </w:rPr>
                    <w:t xml:space="preserve">1.规格：规格：1500*1100*2350mm </w:t>
                  </w:r>
                  <w:r>
                    <w:br/>
                  </w:r>
                  <w:r>
                    <w:rPr>
                      <w:rFonts w:ascii="仿宋_GB2312" w:hAnsi="仿宋_GB2312" w:cs="仿宋_GB2312" w:eastAsia="仿宋_GB2312"/>
                      <w:sz w:val="15"/>
                    </w:rPr>
                    <w:t>[工作内容]</w:t>
                  </w:r>
                  <w:r>
                    <w:br/>
                  </w:r>
                  <w:r>
                    <w:rPr>
                      <w:rFonts w:ascii="仿宋_GB2312" w:hAnsi="仿宋_GB2312" w:cs="仿宋_GB2312" w:eastAsia="仿宋_GB2312"/>
                      <w:sz w:val="15"/>
                    </w:rPr>
                    <w:t>1.通风柜主框架采用≥1.5mm钢板，配套固定件采用≥2.0mm钢板，主体采用≥1.2mm钢板；经激光切割、数控冲折后焊接成型；表面符合SEFA级别环氧树脂喷涂，涂层厚度不小于70μm，主框架正面采用铝合金型材制作的多功能可拆装面板</w:t>
                  </w:r>
                  <w:r>
                    <w:br/>
                  </w:r>
                  <w:r>
                    <w:rPr>
                      <w:rFonts w:ascii="仿宋_GB2312" w:hAnsi="仿宋_GB2312" w:cs="仿宋_GB2312" w:eastAsia="仿宋_GB2312"/>
                      <w:sz w:val="15"/>
                    </w:rPr>
                    <w:t xml:space="preserve">2.通风柜台面采用≥20mm厚黑色一体实芯的实验室专用环氧树脂台面。 </w:t>
                  </w:r>
                  <w:r>
                    <w:br/>
                  </w:r>
                  <w:r>
                    <w:rPr>
                      <w:rFonts w:ascii="仿宋_GB2312" w:hAnsi="仿宋_GB2312" w:cs="仿宋_GB2312" w:eastAsia="仿宋_GB2312"/>
                      <w:sz w:val="15"/>
                    </w:rPr>
                    <w:t>3.通风柜内衬及导流板：均为≥5mm厚抗倍特板；采用无铆钉连接工艺</w:t>
                  </w:r>
                  <w:r>
                    <w:br/>
                  </w:r>
                  <w:r>
                    <w:rPr>
                      <w:rFonts w:ascii="仿宋_GB2312" w:hAnsi="仿宋_GB2312" w:cs="仿宋_GB2312" w:eastAsia="仿宋_GB2312"/>
                      <w:sz w:val="15"/>
                    </w:rPr>
                    <w:t>4.通风柜视窗采用3+3mm厚夹胶安全玻璃，当玻璃受外力破碎时，玻璃碎片不会飞溅或掉落；通风柜视窗最大开启高度815mm，可在任意位置停留；通风柜内部有效高度1210mm</w:t>
                  </w:r>
                  <w:r>
                    <w:br/>
                  </w:r>
                  <w:r>
                    <w:rPr>
                      <w:rFonts w:ascii="仿宋_GB2312" w:hAnsi="仿宋_GB2312" w:cs="仿宋_GB2312" w:eastAsia="仿宋_GB2312"/>
                      <w:sz w:val="15"/>
                    </w:rPr>
                    <w:t>5.通风柜LED节能灯安装在通风柜外部，用安全玻璃与柜体内部隔离</w:t>
                  </w:r>
                  <w:r>
                    <w:br/>
                  </w:r>
                  <w:r>
                    <w:rPr>
                      <w:rFonts w:ascii="仿宋_GB2312" w:hAnsi="仿宋_GB2312" w:cs="仿宋_GB2312" w:eastAsia="仿宋_GB2312"/>
                      <w:sz w:val="15"/>
                    </w:rPr>
                    <w:t>6.配置专用漏电保护开关及插座（不少于3个10A、1个16A）</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5"/>
                    </w:rPr>
                    <w:t>4</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取材台</w:t>
                  </w:r>
                  <w:r>
                    <w:rPr>
                      <w:rFonts w:ascii="仿宋_GB2312" w:hAnsi="仿宋_GB2312" w:cs="仿宋_GB2312" w:eastAsia="仿宋_GB2312"/>
                      <w:sz w:val="15"/>
                    </w:rPr>
                    <w:t></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1800*800*1950mm</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病理取材台（带大体照相）</w:t>
                  </w:r>
                  <w:r>
                    <w:br/>
                  </w:r>
                  <w:r>
                    <w:rPr>
                      <w:rFonts w:ascii="仿宋_GB2312" w:hAnsi="仿宋_GB2312" w:cs="仿宋_GB2312" w:eastAsia="仿宋_GB2312"/>
                      <w:sz w:val="15"/>
                    </w:rPr>
                    <w:t>[项目特征]</w:t>
                  </w:r>
                  <w:r>
                    <w:br/>
                  </w:r>
                  <w:r>
                    <w:rPr>
                      <w:rFonts w:ascii="仿宋_GB2312" w:hAnsi="仿宋_GB2312" w:cs="仿宋_GB2312" w:eastAsia="仿宋_GB2312"/>
                      <w:sz w:val="15"/>
                    </w:rPr>
                    <w:t>1.规格：规格：规格：1800*800*1950mm</w:t>
                  </w:r>
                  <w:r>
                    <w:br/>
                  </w:r>
                  <w:r>
                    <w:rPr>
                      <w:rFonts w:ascii="仿宋_GB2312" w:hAnsi="仿宋_GB2312" w:cs="仿宋_GB2312" w:eastAsia="仿宋_GB2312"/>
                      <w:sz w:val="15"/>
                    </w:rPr>
                    <w:t>[工作内容]</w:t>
                  </w:r>
                  <w:r>
                    <w:br/>
                  </w:r>
                  <w:r>
                    <w:rPr>
                      <w:rFonts w:ascii="仿宋_GB2312" w:hAnsi="仿宋_GB2312" w:cs="仿宋_GB2312" w:eastAsia="仿宋_GB2312"/>
                      <w:sz w:val="15"/>
                    </w:rPr>
                    <w:t>1.标准：</w:t>
                  </w:r>
                  <w:r>
                    <w:rPr>
                      <w:rFonts w:ascii="仿宋_GB2312" w:hAnsi="仿宋_GB2312" w:cs="仿宋_GB2312" w:eastAsia="仿宋_GB2312"/>
                      <w:sz w:val="15"/>
                    </w:rPr>
                    <w:t>耐腐蚀性符合</w:t>
                  </w:r>
                  <w:r>
                    <w:rPr>
                      <w:rFonts w:ascii="仿宋_GB2312" w:hAnsi="仿宋_GB2312" w:cs="仿宋_GB2312" w:eastAsia="仿宋_GB2312"/>
                      <w:sz w:val="15"/>
                    </w:rPr>
                    <w:t>GB/T 10125-2021《人造气氛腐蚀试验 盐雾试验》 、</w:t>
                  </w:r>
                  <w:r>
                    <w:rPr>
                      <w:rFonts w:ascii="仿宋_GB2312" w:hAnsi="仿宋_GB2312" w:cs="仿宋_GB2312" w:eastAsia="仿宋_GB2312"/>
                      <w:sz w:val="15"/>
                    </w:rPr>
                    <w:t>电气安全符合</w:t>
                  </w:r>
                  <w:r>
                    <w:rPr>
                      <w:rFonts w:ascii="仿宋_GB2312" w:hAnsi="仿宋_GB2312" w:cs="仿宋_GB2312" w:eastAsia="仿宋_GB2312"/>
                      <w:sz w:val="15"/>
                    </w:rPr>
                    <w:t xml:space="preserve">GB26859—2020、  绝缘电阻符合GBT24343—2009 </w:t>
                  </w:r>
                  <w:r>
                    <w:br/>
                  </w:r>
                  <w:r>
                    <w:rPr>
                      <w:rFonts w:ascii="仿宋_GB2312" w:hAnsi="仿宋_GB2312" w:cs="仿宋_GB2312" w:eastAsia="仿宋_GB2312"/>
                      <w:sz w:val="15"/>
                    </w:rPr>
                    <w:t>2.具备新风层流控制系统，新风风量≥600CMH，达到上面送新风下面排风的气流形式；</w:t>
                  </w:r>
                  <w:r>
                    <w:br/>
                  </w:r>
                  <w:r>
                    <w:rPr>
                      <w:rFonts w:ascii="仿宋_GB2312" w:hAnsi="仿宋_GB2312" w:cs="仿宋_GB2312" w:eastAsia="仿宋_GB2312"/>
                      <w:sz w:val="15"/>
                    </w:rPr>
                    <w:t>3.具备垂直下抽排风水气分离能力，排风量≥1600CMH。孔板导流式台面，工作风噪≤45分贝；</w:t>
                  </w:r>
                  <w:r>
                    <w:br/>
                  </w:r>
                  <w:r>
                    <w:rPr>
                      <w:rFonts w:ascii="仿宋_GB2312" w:hAnsi="仿宋_GB2312" w:cs="仿宋_GB2312" w:eastAsia="仿宋_GB2312"/>
                      <w:sz w:val="15"/>
                    </w:rPr>
                    <w:t>4.具备甲醛灌注能力及甲醛废液收集能力；</w:t>
                  </w:r>
                  <w:r>
                    <w:br/>
                  </w:r>
                  <w:r>
                    <w:rPr>
                      <w:rFonts w:ascii="仿宋_GB2312" w:hAnsi="仿宋_GB2312" w:cs="仿宋_GB2312" w:eastAsia="仿宋_GB2312"/>
                      <w:sz w:val="15"/>
                    </w:rPr>
                    <w:t>5.整机采用≥1.2mm厚优质S304以上不锈钢，操作台面厚度不小于2.0mm，操作面及连接面工艺精湛，光洁度高，耐腐蚀，三面通透无遮挡。</w:t>
                  </w:r>
                  <w:r>
                    <w:br/>
                  </w:r>
                  <w:r>
                    <w:rPr>
                      <w:rFonts w:ascii="仿宋_GB2312" w:hAnsi="仿宋_GB2312" w:cs="仿宋_GB2312" w:eastAsia="仿宋_GB2312"/>
                      <w:sz w:val="15"/>
                    </w:rPr>
                    <w:t>6.具备≥10液晶操作面板，实时显示设备运行情况，送排风一键智能启停能力，风速传感装置，甲醛浓度监测装置，PM2.5过滤装置。空气质量实时动态监测系统，配置在空气质量控制器中，可以实时显示：甲醛浓度，二甲苯浓度，风速大小等；</w:t>
                  </w:r>
                  <w:r>
                    <w:br/>
                  </w:r>
                  <w:r>
                    <w:rPr>
                      <w:rFonts w:ascii="仿宋_GB2312" w:hAnsi="仿宋_GB2312" w:cs="仿宋_GB2312" w:eastAsia="仿宋_GB2312"/>
                      <w:sz w:val="15"/>
                    </w:rPr>
                    <w:t>7.具备嵌入式照明系统及液晶面板可调射灯及紫外灭菌装置；</w:t>
                  </w:r>
                  <w:r>
                    <w:br/>
                  </w:r>
                  <w:r>
                    <w:rPr>
                      <w:rFonts w:ascii="仿宋_GB2312" w:hAnsi="仿宋_GB2312" w:cs="仿宋_GB2312" w:eastAsia="仿宋_GB2312"/>
                      <w:sz w:val="15"/>
                    </w:rPr>
                    <w:t>8.高质量的冷热水供应，需具备不锈钢冷热水龙头及抽拉式水龙头各1个；</w:t>
                  </w:r>
                  <w:r>
                    <w:br/>
                  </w:r>
                  <w:r>
                    <w:rPr>
                      <w:rFonts w:ascii="仿宋_GB2312" w:hAnsi="仿宋_GB2312" w:cs="仿宋_GB2312" w:eastAsia="仿宋_GB2312"/>
                      <w:sz w:val="15"/>
                    </w:rPr>
                    <w:t>9.具备高性能电动下水管路粉碎机；</w:t>
                  </w:r>
                  <w:r>
                    <w:br/>
                  </w:r>
                  <w:r>
                    <w:rPr>
                      <w:rFonts w:ascii="仿宋_GB2312" w:hAnsi="仿宋_GB2312" w:cs="仿宋_GB2312" w:eastAsia="仿宋_GB2312"/>
                      <w:sz w:val="15"/>
                    </w:rPr>
                    <w:t>10.配置液晶显示屏支架；</w:t>
                  </w:r>
                  <w:r>
                    <w:br/>
                  </w:r>
                  <w:r>
                    <w:rPr>
                      <w:rFonts w:ascii="仿宋_GB2312" w:hAnsi="仿宋_GB2312" w:cs="仿宋_GB2312" w:eastAsia="仿宋_GB2312"/>
                      <w:sz w:val="15"/>
                    </w:rPr>
                    <w:t>11.配置取材照明放大系统，配备LED补光放大镜；</w:t>
                  </w:r>
                  <w:r>
                    <w:br/>
                  </w:r>
                  <w:r>
                    <w:rPr>
                      <w:rFonts w:ascii="仿宋_GB2312" w:hAnsi="仿宋_GB2312" w:cs="仿宋_GB2312" w:eastAsia="仿宋_GB2312"/>
                      <w:sz w:val="15"/>
                    </w:rPr>
                    <w:t>12.超高清大体标本拍照系统及专业配套软件。</w:t>
                  </w:r>
                </w:p>
                <w:p>
                  <w:pPr>
                    <w:pStyle w:val="null3"/>
                    <w:jc w:val="left"/>
                  </w:pPr>
                  <w:r>
                    <w:rPr>
                      <w:rFonts w:ascii="仿宋_GB2312" w:hAnsi="仿宋_GB2312" w:cs="仿宋_GB2312" w:eastAsia="仿宋_GB2312"/>
                      <w:sz w:val="15"/>
                    </w:rPr>
                    <w:t>依据病理设备汇总表要求，不低于以下参数要求：</w:t>
                  </w:r>
                </w:p>
                <w:p>
                  <w:pPr>
                    <w:pStyle w:val="null3"/>
                    <w:jc w:val="left"/>
                  </w:pPr>
                  <w:r>
                    <w:rPr>
                      <w:rFonts w:ascii="仿宋_GB2312" w:hAnsi="仿宋_GB2312" w:cs="仿宋_GB2312" w:eastAsia="仿宋_GB2312"/>
                      <w:sz w:val="15"/>
                    </w:rPr>
                    <w:t>(1)成像像数:2420万像素。</w:t>
                  </w:r>
                  <w:r>
                    <w:br/>
                  </w:r>
                  <w:r>
                    <w:rPr>
                      <w:rFonts w:ascii="仿宋_GB2312" w:hAnsi="仿宋_GB2312" w:cs="仿宋_GB2312" w:eastAsia="仿宋_GB2312"/>
                      <w:sz w:val="15"/>
                    </w:rPr>
                    <w:t xml:space="preserve"> (2)传感器尺寸:全画幅36mm*24mm，图像感应器（支持全像素双核CM0S）传感器尺寸 22.3×14.8mm，最高分辨率:6000*4000，灵敏度 600mv/Lux,工作距离 40cm以上，镜头视角72°，光谱响应 400-1000nm。</w:t>
                  </w:r>
                  <w:r>
                    <w:br/>
                  </w:r>
                  <w:r>
                    <w:rPr>
                      <w:rFonts w:ascii="仿宋_GB2312" w:hAnsi="仿宋_GB2312" w:cs="仿宋_GB2312" w:eastAsia="仿宋_GB2312"/>
                      <w:sz w:val="15"/>
                    </w:rPr>
                    <w:t xml:space="preserve"> (3)光学变焦:3.5倍（18-55变焦范围）。</w:t>
                  </w:r>
                  <w:r>
                    <w:br/>
                  </w:r>
                  <w:r>
                    <w:rPr>
                      <w:rFonts w:ascii="仿宋_GB2312" w:hAnsi="仿宋_GB2312" w:cs="仿宋_GB2312" w:eastAsia="仿宋_GB2312"/>
                      <w:sz w:val="15"/>
                    </w:rPr>
                    <w:t xml:space="preserve"> (4)最大光圈:F3. 3-F5.9。</w:t>
                  </w:r>
                  <w:r>
                    <w:br/>
                  </w:r>
                  <w:r>
                    <w:rPr>
                      <w:rFonts w:ascii="仿宋_GB2312" w:hAnsi="仿宋_GB2312" w:cs="仿宋_GB2312" w:eastAsia="仿宋_GB2312"/>
                      <w:sz w:val="15"/>
                    </w:rPr>
                    <w:t xml:space="preserve"> (5)取材信息系统可以预打印包埋号，具有包埋号打号机接口功能。</w:t>
                  </w:r>
                  <w:r>
                    <w:br/>
                  </w:r>
                  <w:r>
                    <w:rPr>
                      <w:rFonts w:ascii="仿宋_GB2312" w:hAnsi="仿宋_GB2312" w:cs="仿宋_GB2312" w:eastAsia="仿宋_GB2312"/>
                      <w:sz w:val="15"/>
                    </w:rPr>
                    <w:t xml:space="preserve"> (6)大体成像系统和取材信息系统为同一生产厂家，具备软著证件。</w:t>
                  </w:r>
                  <w:r>
                    <w:br/>
                  </w:r>
                  <w:r>
                    <w:rPr>
                      <w:rFonts w:ascii="仿宋_GB2312" w:hAnsi="仿宋_GB2312" w:cs="仿宋_GB2312" w:eastAsia="仿宋_GB2312"/>
                      <w:sz w:val="15"/>
                    </w:rPr>
                    <w:t>13.产品符合机械电气安全的标准，保护联结电路连续性的检验、绝缘电阻试验、耐压试验，提供具备CMA资质的第三方检测机构出具的检测报告复印件加盖公章；</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5"/>
                    </w:rPr>
                    <w:t>3</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9</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病理冷藏标本柜</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规格：</w:t>
                  </w:r>
                  <w:r>
                    <w:rPr>
                      <w:rFonts w:ascii="仿宋_GB2312" w:hAnsi="仿宋_GB2312" w:cs="仿宋_GB2312" w:eastAsia="仿宋_GB2312"/>
                      <w:sz w:val="15"/>
                    </w:rPr>
                    <w:t>800*600*1950mm</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病理冷藏标本柜</w:t>
                  </w:r>
                  <w:r>
                    <w:br/>
                  </w:r>
                  <w:r>
                    <w:rPr>
                      <w:rFonts w:ascii="仿宋_GB2312" w:hAnsi="仿宋_GB2312" w:cs="仿宋_GB2312" w:eastAsia="仿宋_GB2312"/>
                      <w:sz w:val="15"/>
                    </w:rPr>
                    <w:t>[项目特征]</w:t>
                  </w:r>
                  <w:r>
                    <w:br/>
                  </w:r>
                  <w:r>
                    <w:rPr>
                      <w:rFonts w:ascii="仿宋_GB2312" w:hAnsi="仿宋_GB2312" w:cs="仿宋_GB2312" w:eastAsia="仿宋_GB2312"/>
                      <w:sz w:val="15"/>
                    </w:rPr>
                    <w:t>1.规格：规格：800*600*1950mm</w:t>
                  </w:r>
                  <w:r>
                    <w:br/>
                  </w:r>
                  <w:r>
                    <w:rPr>
                      <w:rFonts w:ascii="仿宋_GB2312" w:hAnsi="仿宋_GB2312" w:cs="仿宋_GB2312" w:eastAsia="仿宋_GB2312"/>
                      <w:sz w:val="15"/>
                    </w:rPr>
                    <w:t>[工作内容]</w:t>
                  </w:r>
                  <w:r>
                    <w:br/>
                  </w:r>
                  <w:r>
                    <w:rPr>
                      <w:rFonts w:ascii="仿宋_GB2312" w:hAnsi="仿宋_GB2312" w:cs="仿宋_GB2312" w:eastAsia="仿宋_GB2312"/>
                      <w:sz w:val="15"/>
                    </w:rPr>
                    <w:t>1.柜体整体材料采用1.0mm 304#不锈钢磨砂板，表面贴塑，内胆防腐处具有坚固、美观，耐腐蚀等特点。</w:t>
                  </w:r>
                  <w:r>
                    <w:br/>
                  </w:r>
                  <w:r>
                    <w:rPr>
                      <w:rFonts w:ascii="仿宋_GB2312" w:hAnsi="仿宋_GB2312" w:cs="仿宋_GB2312" w:eastAsia="仿宋_GB2312"/>
                      <w:sz w:val="15"/>
                    </w:rPr>
                    <w:t>2.制冷采用品牌压缩机制冷，柜内温度要可控制在0℃~10℃。温度偏差±2℃，温度梯度≦2℃，温度波动≦1℃。</w:t>
                  </w:r>
                  <w:r>
                    <w:br/>
                  </w:r>
                  <w:r>
                    <w:rPr>
                      <w:rFonts w:ascii="仿宋_GB2312" w:hAnsi="仿宋_GB2312" w:cs="仿宋_GB2312" w:eastAsia="仿宋_GB2312"/>
                      <w:sz w:val="15"/>
                    </w:rPr>
                    <w:t>3.配中空玻璃门，防凝效果好，门体有加热功能，能防止冷凝水在门上凝固，四周密封，能有效防止有害气体溢出。</w:t>
                  </w:r>
                  <w:r>
                    <w:br/>
                  </w:r>
                  <w:r>
                    <w:rPr>
                      <w:rFonts w:ascii="仿宋_GB2312" w:hAnsi="仿宋_GB2312" w:cs="仿宋_GB2312" w:eastAsia="仿宋_GB2312"/>
                      <w:sz w:val="15"/>
                    </w:rPr>
                    <w:t>4.风冷型制冷，换热效率高，制冷效果好，无结冰结霜现象。</w:t>
                  </w:r>
                  <w:r>
                    <w:br/>
                  </w:r>
                  <w:r>
                    <w:rPr>
                      <w:rFonts w:ascii="仿宋_GB2312" w:hAnsi="仿宋_GB2312" w:cs="仿宋_GB2312" w:eastAsia="仿宋_GB2312"/>
                      <w:sz w:val="15"/>
                    </w:rPr>
                    <w:t>5.配有数字电脑温度显示器，温控报警系统，柜内温度显示一目了然。</w:t>
                  </w:r>
                  <w:r>
                    <w:br/>
                  </w:r>
                  <w:r>
                    <w:rPr>
                      <w:rFonts w:ascii="仿宋_GB2312" w:hAnsi="仿宋_GB2312" w:cs="仿宋_GB2312" w:eastAsia="仿宋_GB2312"/>
                      <w:sz w:val="15"/>
                    </w:rPr>
                    <w:t>6.排风采用高效、低嗓优质抽风机，风速达到0.5m/s以上，噪音要低于20dba，能彻底排出有害气体，关闭排风时风阀自动关闭。</w:t>
                  </w:r>
                  <w:r>
                    <w:br/>
                  </w:r>
                  <w:r>
                    <w:rPr>
                      <w:rFonts w:ascii="仿宋_GB2312" w:hAnsi="仿宋_GB2312" w:cs="仿宋_GB2312" w:eastAsia="仿宋_GB2312"/>
                      <w:sz w:val="15"/>
                    </w:rPr>
                    <w:t>7.中间隔层φ8mm的钢筋喷塑格网，随机配送10只专用耐腐塑料标本存放盒，承载强度大，方便标本存放。</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5"/>
                    </w:rPr>
                    <w:t>5</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带过滤危化品柜</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规格：</w:t>
                  </w:r>
                  <w:r>
                    <w:rPr>
                      <w:rFonts w:ascii="仿宋_GB2312" w:hAnsi="仿宋_GB2312" w:cs="仿宋_GB2312" w:eastAsia="仿宋_GB2312"/>
                      <w:sz w:val="15"/>
                    </w:rPr>
                    <w:t>900*510*1800mm</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带过滤危化品柜</w:t>
                  </w:r>
                  <w:r>
                    <w:br/>
                  </w:r>
                  <w:r>
                    <w:rPr>
                      <w:rFonts w:ascii="仿宋_GB2312" w:hAnsi="仿宋_GB2312" w:cs="仿宋_GB2312" w:eastAsia="仿宋_GB2312"/>
                      <w:sz w:val="15"/>
                    </w:rPr>
                    <w:t>[项目特征]</w:t>
                  </w:r>
                  <w:r>
                    <w:br/>
                  </w:r>
                  <w:r>
                    <w:rPr>
                      <w:rFonts w:ascii="仿宋_GB2312" w:hAnsi="仿宋_GB2312" w:cs="仿宋_GB2312" w:eastAsia="仿宋_GB2312"/>
                      <w:sz w:val="15"/>
                    </w:rPr>
                    <w:t>1.规格：900*510*1800mm</w:t>
                  </w:r>
                  <w:r>
                    <w:br/>
                  </w:r>
                  <w:r>
                    <w:rPr>
                      <w:rFonts w:ascii="仿宋_GB2312" w:hAnsi="仿宋_GB2312" w:cs="仿宋_GB2312" w:eastAsia="仿宋_GB2312"/>
                      <w:sz w:val="15"/>
                    </w:rPr>
                    <w:t>[工作内容]</w:t>
                  </w:r>
                  <w:r>
                    <w:br/>
                  </w:r>
                  <w:r>
                    <w:rPr>
                      <w:rFonts w:ascii="仿宋_GB2312" w:hAnsi="仿宋_GB2312" w:cs="仿宋_GB2312" w:eastAsia="仿宋_GB2312"/>
                      <w:sz w:val="15"/>
                    </w:rPr>
                    <w:t>1.机械+电子密码双锁，符合五双管理制度。存储柜符合中国《危险化学品安全管理条例》的规定。</w:t>
                  </w:r>
                  <w:r>
                    <w:br/>
                  </w:r>
                  <w:r>
                    <w:rPr>
                      <w:rFonts w:ascii="仿宋_GB2312" w:hAnsi="仿宋_GB2312" w:cs="仿宋_GB2312" w:eastAsia="仿宋_GB2312"/>
                      <w:sz w:val="15"/>
                    </w:rPr>
                    <w:t>2.壳体全部采用不低于1.0mm 的优质冷轧钢板，柜体底座采用 2.0mm 的一级优质冷轧钢板, 内外表面经过酸洗磷化环氧树脂粉末喷涂，烘热固化处理，喷涂附着力不低于2级，</w:t>
                  </w:r>
                  <w:r>
                    <w:br/>
                  </w:r>
                  <w:r>
                    <w:rPr>
                      <w:rFonts w:ascii="仿宋_GB2312" w:hAnsi="仿宋_GB2312" w:cs="仿宋_GB2312" w:eastAsia="仿宋_GB2312"/>
                      <w:sz w:val="15"/>
                    </w:rPr>
                    <w:t>3.柜体内胆（上、下、左、右内衬板）全部采用瓷白 pp（聚丙烯树脂）板</w:t>
                  </w:r>
                  <w:r>
                    <w:br/>
                  </w:r>
                  <w:r>
                    <w:rPr>
                      <w:rFonts w:ascii="仿宋_GB2312" w:hAnsi="仿宋_GB2312" w:cs="仿宋_GB2312" w:eastAsia="仿宋_GB2312"/>
                      <w:sz w:val="15"/>
                    </w:rPr>
                    <w:t>4.柜体设3块瓷白色PP聚丙烯树脂活动搁板，层板底部做网状加强筋，并做包钢处理，内置加强钢管，确保承重不变型，隔板设有10mm的通气孔</w:t>
                  </w:r>
                  <w:r>
                    <w:br/>
                  </w:r>
                  <w:r>
                    <w:rPr>
                      <w:rFonts w:ascii="仿宋_GB2312" w:hAnsi="仿宋_GB2312" w:cs="仿宋_GB2312" w:eastAsia="仿宋_GB2312"/>
                      <w:sz w:val="15"/>
                    </w:rPr>
                    <w:t>5.柜顶部中间有φ150mm出风口且风口中内置一个AC220V、50H、0.18A轴流风机，最大风量大于300m3/h、转速2550转/min、环境温度（-10-+70）℃控制开关设置柜体顶部的右上角</w:t>
                  </w:r>
                  <w:r>
                    <w:br/>
                  </w:r>
                  <w:r>
                    <w:rPr>
                      <w:rFonts w:ascii="仿宋_GB2312" w:hAnsi="仿宋_GB2312" w:cs="仿宋_GB2312" w:eastAsia="仿宋_GB2312"/>
                      <w:sz w:val="15"/>
                    </w:rPr>
                    <w:t>6.柜体填充具有保温隔热作用的防火材料陶瓷纤维</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5"/>
                    </w:rPr>
                    <w:t>2</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11</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水盆</w:t>
                  </w:r>
                  <w:r>
                    <w:rPr>
                      <w:rFonts w:ascii="仿宋_GB2312" w:hAnsi="仿宋_GB2312" w:cs="仿宋_GB2312" w:eastAsia="仿宋_GB2312"/>
                      <w:sz w:val="15"/>
                    </w:rPr>
                    <w:t>/龙头/洗眼器</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水盆：</w:t>
                  </w:r>
                  <w:r>
                    <w:rPr>
                      <w:rFonts w:ascii="仿宋_GB2312" w:hAnsi="仿宋_GB2312" w:cs="仿宋_GB2312" w:eastAsia="仿宋_GB2312"/>
                      <w:sz w:val="15"/>
                    </w:rPr>
                    <w:t>575*475*335mm</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水盆</w:t>
                  </w:r>
                  <w:r>
                    <w:rPr>
                      <w:rFonts w:ascii="仿宋_GB2312" w:hAnsi="仿宋_GB2312" w:cs="仿宋_GB2312" w:eastAsia="仿宋_GB2312"/>
                      <w:sz w:val="15"/>
                    </w:rPr>
                    <w:t>/龙头/洗眼器</w:t>
                  </w:r>
                  <w:r>
                    <w:br/>
                  </w:r>
                  <w:r>
                    <w:rPr>
                      <w:rFonts w:ascii="仿宋_GB2312" w:hAnsi="仿宋_GB2312" w:cs="仿宋_GB2312" w:eastAsia="仿宋_GB2312"/>
                      <w:sz w:val="15"/>
                    </w:rPr>
                    <w:t>[项目特征]</w:t>
                  </w:r>
                  <w:r>
                    <w:br/>
                  </w:r>
                  <w:r>
                    <w:rPr>
                      <w:rFonts w:ascii="仿宋_GB2312" w:hAnsi="仿宋_GB2312" w:cs="仿宋_GB2312" w:eastAsia="仿宋_GB2312"/>
                      <w:sz w:val="15"/>
                    </w:rPr>
                    <w:t>1.龙头：单口实验室龙头</w:t>
                  </w:r>
                  <w:r>
                    <w:br/>
                  </w:r>
                  <w:r>
                    <w:rPr>
                      <w:rFonts w:ascii="仿宋_GB2312" w:hAnsi="仿宋_GB2312" w:cs="仿宋_GB2312" w:eastAsia="仿宋_GB2312"/>
                      <w:sz w:val="15"/>
                    </w:rPr>
                    <w:t xml:space="preserve">2.水盆：575*475*335mm </w:t>
                  </w:r>
                  <w:r>
                    <w:br/>
                  </w:r>
                  <w:r>
                    <w:rPr>
                      <w:rFonts w:ascii="仿宋_GB2312" w:hAnsi="仿宋_GB2312" w:cs="仿宋_GB2312" w:eastAsia="仿宋_GB2312"/>
                      <w:sz w:val="15"/>
                    </w:rPr>
                    <w:t>[工作内容]</w:t>
                  </w:r>
                  <w:r>
                    <w:br/>
                  </w:r>
                  <w:r>
                    <w:rPr>
                      <w:rFonts w:ascii="仿宋_GB2312" w:hAnsi="仿宋_GB2312" w:cs="仿宋_GB2312" w:eastAsia="仿宋_GB2312"/>
                      <w:sz w:val="15"/>
                    </w:rPr>
                    <w:t>1.水龙头：304不锈钢龙头</w:t>
                  </w:r>
                  <w:r>
                    <w:br/>
                  </w:r>
                  <w:r>
                    <w:rPr>
                      <w:rFonts w:ascii="仿宋_GB2312" w:hAnsi="仿宋_GB2312" w:cs="仿宋_GB2312" w:eastAsia="仿宋_GB2312"/>
                      <w:sz w:val="15"/>
                    </w:rPr>
                    <w:t>2.PP水槽：符合QB2658-2017要求</w:t>
                  </w:r>
                  <w:r>
                    <w:br/>
                  </w:r>
                  <w:r>
                    <w:rPr>
                      <w:rFonts w:ascii="仿宋_GB2312" w:hAnsi="仿宋_GB2312" w:cs="仿宋_GB2312" w:eastAsia="仿宋_GB2312"/>
                      <w:sz w:val="15"/>
                    </w:rPr>
                    <w:t>3.符合要求腐蚀性试验:依据“GB/T 11547-2008”检测方法</w:t>
                  </w:r>
                  <w:r>
                    <w:br/>
                  </w:r>
                  <w:r>
                    <w:rPr>
                      <w:rFonts w:ascii="仿宋_GB2312" w:hAnsi="仿宋_GB2312" w:cs="仿宋_GB2312" w:eastAsia="仿宋_GB2312"/>
                      <w:sz w:val="15"/>
                    </w:rPr>
                    <w:t>4.抗老化测试：依据GB/T16422.3-2022标准，220h老化的过程，测试结果≤0.20，外观无可视变化</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5"/>
                    </w:rPr>
                    <w:t>4</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货架</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规格：</w:t>
                  </w:r>
                  <w:r>
                    <w:rPr>
                      <w:rFonts w:ascii="仿宋_GB2312" w:hAnsi="仿宋_GB2312" w:cs="仿宋_GB2312" w:eastAsia="仿宋_GB2312"/>
                      <w:sz w:val="15"/>
                    </w:rPr>
                    <w:t>100*500*2000mm</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货架</w:t>
                  </w:r>
                  <w:r>
                    <w:br/>
                  </w:r>
                  <w:r>
                    <w:rPr>
                      <w:rFonts w:ascii="仿宋_GB2312" w:hAnsi="仿宋_GB2312" w:cs="仿宋_GB2312" w:eastAsia="仿宋_GB2312"/>
                      <w:sz w:val="15"/>
                    </w:rPr>
                    <w:t>[项目特征]</w:t>
                  </w:r>
                  <w:r>
                    <w:br/>
                  </w:r>
                  <w:r>
                    <w:rPr>
                      <w:rFonts w:ascii="仿宋_GB2312" w:hAnsi="仿宋_GB2312" w:cs="仿宋_GB2312" w:eastAsia="仿宋_GB2312"/>
                      <w:sz w:val="15"/>
                    </w:rPr>
                    <w:t xml:space="preserve">1.规格：100*500*2000mm </w:t>
                  </w:r>
                  <w:r>
                    <w:br/>
                  </w:r>
                  <w:r>
                    <w:rPr>
                      <w:rFonts w:ascii="仿宋_GB2312" w:hAnsi="仿宋_GB2312" w:cs="仿宋_GB2312" w:eastAsia="仿宋_GB2312"/>
                      <w:sz w:val="15"/>
                    </w:rPr>
                    <w:t>[工作内容]</w:t>
                  </w:r>
                  <w:r>
                    <w:br/>
                  </w:r>
                  <w:r>
                    <w:rPr>
                      <w:rFonts w:ascii="仿宋_GB2312" w:hAnsi="仿宋_GB2312" w:cs="仿宋_GB2312" w:eastAsia="仿宋_GB2312"/>
                      <w:sz w:val="15"/>
                    </w:rPr>
                    <w:t>1.立柱为C型，采用≥1.2mm厚钢板，经冲压组合整体焊接为H型侧架，含加强筋；</w:t>
                  </w:r>
                  <w:r>
                    <w:br/>
                  </w:r>
                  <w:r>
                    <w:rPr>
                      <w:rFonts w:ascii="仿宋_GB2312" w:hAnsi="仿宋_GB2312" w:cs="仿宋_GB2312" w:eastAsia="仿宋_GB2312"/>
                      <w:sz w:val="15"/>
                    </w:rPr>
                    <w:t>2.层板采用≥0.8mm厚钢板，四周双重折边防止人员及物体损伤；</w:t>
                  </w:r>
                  <w:r>
                    <w:br/>
                  </w:r>
                  <w:r>
                    <w:rPr>
                      <w:rFonts w:ascii="仿宋_GB2312" w:hAnsi="仿宋_GB2312" w:cs="仿宋_GB2312" w:eastAsia="仿宋_GB2312"/>
                      <w:sz w:val="15"/>
                    </w:rPr>
                    <w:t>3.横梁采用≥1.2mm厚钢板，经数控一体折边为梯形；</w:t>
                  </w:r>
                  <w:r>
                    <w:br/>
                  </w:r>
                  <w:r>
                    <w:rPr>
                      <w:rFonts w:ascii="仿宋_GB2312" w:hAnsi="仿宋_GB2312" w:cs="仿宋_GB2312" w:eastAsia="仿宋_GB2312"/>
                      <w:sz w:val="15"/>
                    </w:rPr>
                    <w:t>4.挂片采用≥1.2mm厚钢板，经模具冲压成L型；</w:t>
                  </w:r>
                  <w:r>
                    <w:br/>
                  </w:r>
                  <w:r>
                    <w:rPr>
                      <w:rFonts w:ascii="仿宋_GB2312" w:hAnsi="仿宋_GB2312" w:cs="仿宋_GB2312" w:eastAsia="仿宋_GB2312"/>
                      <w:sz w:val="15"/>
                    </w:rPr>
                    <w:t>5.所有金属表面经环氧树脂粉末静电喷涂，高温固化，抗冲击，耐腐蚀；</w:t>
                  </w:r>
                  <w:r>
                    <w:br/>
                  </w:r>
                  <w:r>
                    <w:rPr>
                      <w:rFonts w:ascii="仿宋_GB2312" w:hAnsi="仿宋_GB2312" w:cs="仿宋_GB2312" w:eastAsia="仿宋_GB2312"/>
                      <w:sz w:val="15"/>
                    </w:rPr>
                    <w:t>6.承重性能每层层板承重力≥300kg</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组</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5"/>
                    </w:rPr>
                    <w:t>2</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13</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病理专业排风系统</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风机功率：</w:t>
                  </w:r>
                  <w:r>
                    <w:rPr>
                      <w:rFonts w:ascii="仿宋_GB2312" w:hAnsi="仿宋_GB2312" w:cs="仿宋_GB2312" w:eastAsia="仿宋_GB2312"/>
                      <w:sz w:val="15"/>
                    </w:rPr>
                    <w:t>18.5KW</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病理专业排风系统</w:t>
                  </w:r>
                  <w:r>
                    <w:br/>
                  </w:r>
                  <w:r>
                    <w:rPr>
                      <w:rFonts w:ascii="仿宋_GB2312" w:hAnsi="仿宋_GB2312" w:cs="仿宋_GB2312" w:eastAsia="仿宋_GB2312"/>
                      <w:sz w:val="15"/>
                    </w:rPr>
                    <w:t>[项目特征]</w:t>
                  </w:r>
                  <w:r>
                    <w:br/>
                  </w:r>
                  <w:r>
                    <w:rPr>
                      <w:rFonts w:ascii="仿宋_GB2312" w:hAnsi="仿宋_GB2312" w:cs="仿宋_GB2312" w:eastAsia="仿宋_GB2312"/>
                      <w:sz w:val="15"/>
                    </w:rPr>
                    <w:t>1.规格：定制系统，耐酸碱腐蚀，变频系统</w:t>
                  </w:r>
                  <w:r>
                    <w:br/>
                  </w:r>
                  <w:r>
                    <w:rPr>
                      <w:rFonts w:ascii="仿宋_GB2312" w:hAnsi="仿宋_GB2312" w:cs="仿宋_GB2312" w:eastAsia="仿宋_GB2312"/>
                      <w:sz w:val="15"/>
                    </w:rPr>
                    <w:t>2.风机功率：18.5KW</w:t>
                  </w:r>
                  <w:r>
                    <w:br/>
                  </w:r>
                  <w:r>
                    <w:rPr>
                      <w:rFonts w:ascii="仿宋_GB2312" w:hAnsi="仿宋_GB2312" w:cs="仿宋_GB2312" w:eastAsia="仿宋_GB2312"/>
                      <w:sz w:val="15"/>
                    </w:rPr>
                    <w:t>[工作内容]</w:t>
                  </w:r>
                  <w:r>
                    <w:br/>
                  </w:r>
                  <w:r>
                    <w:rPr>
                      <w:rFonts w:ascii="仿宋_GB2312" w:hAnsi="仿宋_GB2312" w:cs="仿宋_GB2312" w:eastAsia="仿宋_GB2312"/>
                      <w:sz w:val="15"/>
                    </w:rPr>
                    <w:t>1.专业定制</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5"/>
                    </w:rPr>
                    <w:t>1</w:t>
                  </w:r>
                </w:p>
              </w:tc>
            </w:tr>
            <w:tr>
              <w:tc>
                <w:tcPr>
                  <w:tcW w:type="dxa" w:w="2536"/>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52"/>
                    </w:rPr>
                    <w:t>二层</w:t>
                  </w:r>
                  <w:r>
                    <w:rPr>
                      <w:rFonts w:ascii="仿宋_GB2312" w:hAnsi="仿宋_GB2312" w:cs="仿宋_GB2312" w:eastAsia="仿宋_GB2312"/>
                      <w:sz w:val="52"/>
                    </w:rPr>
                    <w:t xml:space="preserve">PCR设备汇总     </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序号</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名称</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规格</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参数</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单位</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数量</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实验台</w:t>
                  </w:r>
                  <w:r>
                    <w:rPr>
                      <w:rFonts w:ascii="仿宋_GB2312" w:hAnsi="仿宋_GB2312" w:cs="仿宋_GB2312" w:eastAsia="仿宋_GB2312"/>
                      <w:sz w:val="15"/>
                    </w:rPr>
                    <w:t></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L*750*800mm</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[工作内容]</w:t>
                  </w:r>
                  <w:r>
                    <w:br/>
                  </w:r>
                  <w:r>
                    <w:rPr>
                      <w:rFonts w:ascii="仿宋_GB2312" w:hAnsi="仿宋_GB2312" w:cs="仿宋_GB2312" w:eastAsia="仿宋_GB2312"/>
                      <w:sz w:val="15"/>
                    </w:rPr>
                    <w:t>1.底柜要求:采用国标裸板≧1.0mm厚优质冷轧钢板为基材，整体焊接一体成型（不得现场拼接）</w:t>
                  </w:r>
                  <w:r>
                    <w:br/>
                  </w:r>
                  <w:r>
                    <w:rPr>
                      <w:rFonts w:ascii="仿宋_GB2312" w:hAnsi="仿宋_GB2312" w:cs="仿宋_GB2312" w:eastAsia="仿宋_GB2312"/>
                      <w:sz w:val="15"/>
                    </w:rPr>
                    <w:t>2.柜体钢板：符合GB/T24820-2024标准，采用≥1.0mm厚冷轧钢板，表面环氧树脂喷涂</w:t>
                  </w:r>
                  <w:r>
                    <w:br/>
                  </w:r>
                  <w:r>
                    <w:rPr>
                      <w:rFonts w:ascii="仿宋_GB2312" w:hAnsi="仿宋_GB2312" w:cs="仿宋_GB2312" w:eastAsia="仿宋_GB2312"/>
                      <w:sz w:val="15"/>
                    </w:rPr>
                    <w:t>3.柜体：承载性实验需满足：柜体总承重≥900Kg，柜体没有永久损坏现象。平衡脚无变形不影响调节系统功能</w:t>
                  </w:r>
                  <w:r>
                    <w:br/>
                  </w:r>
                  <w:r>
                    <w:rPr>
                      <w:rFonts w:ascii="仿宋_GB2312" w:hAnsi="仿宋_GB2312" w:cs="仿宋_GB2312" w:eastAsia="仿宋_GB2312"/>
                      <w:sz w:val="15"/>
                    </w:rPr>
                    <w:t>4.框架：≥50mm×50mm×2.5mm方钢或40mm×60mm矩形钢管</w:t>
                  </w:r>
                  <w:r>
                    <w:br/>
                  </w:r>
                  <w:r>
                    <w:rPr>
                      <w:rFonts w:ascii="仿宋_GB2312" w:hAnsi="仿宋_GB2312" w:cs="仿宋_GB2312" w:eastAsia="仿宋_GB2312"/>
                      <w:sz w:val="15"/>
                    </w:rPr>
                    <w:t>5.台面：不低于15毫米厚实验室专用陶瓷板。需满足以下技术要求</w:t>
                  </w:r>
                  <w:r>
                    <w:br/>
                  </w:r>
                  <w:r>
                    <w:rPr>
                      <w:rFonts w:ascii="仿宋_GB2312" w:hAnsi="仿宋_GB2312" w:cs="仿宋_GB2312" w:eastAsia="仿宋_GB2312"/>
                      <w:sz w:val="15"/>
                    </w:rPr>
                    <w:t>高温长时间煅烧而成，釉面和坯体结合后不脱落、不脱层、耐磨、耐强腐蚀。投标时投标单位须提供满足以下性能要求的，并提供</w:t>
                  </w:r>
                  <w:r>
                    <w:rPr>
                      <w:rFonts w:ascii="仿宋_GB2312" w:hAnsi="仿宋_GB2312" w:cs="仿宋_GB2312" w:eastAsia="仿宋_GB2312"/>
                      <w:sz w:val="15"/>
                    </w:rPr>
                    <w:t>CMA或CNAS认证的检测机构出具的检测报告；其检测报告复印件和相关证明资料需含有品牌厂家的红色鲜章，并标注专用于本项目投标使用字样</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m</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5"/>
                    </w:rPr>
                    <w:t>58</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水盆</w:t>
                  </w:r>
                  <w:r>
                    <w:rPr>
                      <w:rFonts w:ascii="仿宋_GB2312" w:hAnsi="仿宋_GB2312" w:cs="仿宋_GB2312" w:eastAsia="仿宋_GB2312"/>
                      <w:sz w:val="15"/>
                    </w:rPr>
                    <w:t>/龙头/洗眼器</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水盆：</w:t>
                  </w:r>
                  <w:r>
                    <w:rPr>
                      <w:rFonts w:ascii="仿宋_GB2312" w:hAnsi="仿宋_GB2312" w:cs="仿宋_GB2312" w:eastAsia="仿宋_GB2312"/>
                      <w:sz w:val="15"/>
                    </w:rPr>
                    <w:t>575*475*335mm</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水盆</w:t>
                  </w:r>
                  <w:r>
                    <w:rPr>
                      <w:rFonts w:ascii="仿宋_GB2312" w:hAnsi="仿宋_GB2312" w:cs="仿宋_GB2312" w:eastAsia="仿宋_GB2312"/>
                      <w:sz w:val="15"/>
                    </w:rPr>
                    <w:t>/龙头/洗眼器</w:t>
                  </w:r>
                  <w:r>
                    <w:br/>
                  </w:r>
                  <w:r>
                    <w:rPr>
                      <w:rFonts w:ascii="仿宋_GB2312" w:hAnsi="仿宋_GB2312" w:cs="仿宋_GB2312" w:eastAsia="仿宋_GB2312"/>
                      <w:sz w:val="15"/>
                    </w:rPr>
                    <w:t>[项目特征]</w:t>
                  </w:r>
                  <w:r>
                    <w:br/>
                  </w:r>
                  <w:r>
                    <w:rPr>
                      <w:rFonts w:ascii="仿宋_GB2312" w:hAnsi="仿宋_GB2312" w:cs="仿宋_GB2312" w:eastAsia="仿宋_GB2312"/>
                      <w:sz w:val="15"/>
                    </w:rPr>
                    <w:t>1.龙头：单口实验室龙头，</w:t>
                  </w:r>
                  <w:r>
                    <w:br/>
                  </w:r>
                  <w:r>
                    <w:rPr>
                      <w:rFonts w:ascii="仿宋_GB2312" w:hAnsi="仿宋_GB2312" w:cs="仿宋_GB2312" w:eastAsia="仿宋_GB2312"/>
                      <w:sz w:val="15"/>
                    </w:rPr>
                    <w:t xml:space="preserve">2.水盆：575*475*335mm </w:t>
                  </w:r>
                  <w:r>
                    <w:br/>
                  </w:r>
                  <w:r>
                    <w:rPr>
                      <w:rFonts w:ascii="仿宋_GB2312" w:hAnsi="仿宋_GB2312" w:cs="仿宋_GB2312" w:eastAsia="仿宋_GB2312"/>
                      <w:sz w:val="15"/>
                    </w:rPr>
                    <w:t>[工作内容]</w:t>
                  </w:r>
                  <w:r>
                    <w:br/>
                  </w:r>
                  <w:r>
                    <w:rPr>
                      <w:rFonts w:ascii="仿宋_GB2312" w:hAnsi="仿宋_GB2312" w:cs="仿宋_GB2312" w:eastAsia="仿宋_GB2312"/>
                      <w:sz w:val="15"/>
                    </w:rPr>
                    <w:t>1.水龙头：304不锈钢龙头</w:t>
                  </w:r>
                  <w:r>
                    <w:br/>
                  </w:r>
                  <w:r>
                    <w:rPr>
                      <w:rFonts w:ascii="仿宋_GB2312" w:hAnsi="仿宋_GB2312" w:cs="仿宋_GB2312" w:eastAsia="仿宋_GB2312"/>
                      <w:sz w:val="15"/>
                    </w:rPr>
                    <w:t>2.PP水槽：符合QB2658-2017要求</w:t>
                  </w:r>
                  <w:r>
                    <w:br/>
                  </w:r>
                  <w:r>
                    <w:rPr>
                      <w:rFonts w:ascii="仿宋_GB2312" w:hAnsi="仿宋_GB2312" w:cs="仿宋_GB2312" w:eastAsia="仿宋_GB2312"/>
                      <w:sz w:val="15"/>
                    </w:rPr>
                    <w:t>3.符合要求腐蚀性试验:依据“GB/T 11547-2008”检测方法</w:t>
                  </w:r>
                  <w:r>
                    <w:br/>
                  </w:r>
                  <w:r>
                    <w:rPr>
                      <w:rFonts w:ascii="仿宋_GB2312" w:hAnsi="仿宋_GB2312" w:cs="仿宋_GB2312" w:eastAsia="仿宋_GB2312"/>
                      <w:sz w:val="15"/>
                    </w:rPr>
                    <w:t>4.抗老化测试：依据GB/T16422.3-2022标准，220h老化的过程，测试结果≤0.20，外观无可视变化</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5"/>
                    </w:rPr>
                    <w:t>8</w:t>
                  </w:r>
                </w:p>
              </w:tc>
            </w:tr>
            <w:tr>
              <w:tc>
                <w:tcPr>
                  <w:tcW w:type="dxa" w:w="2536"/>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52"/>
                    </w:rPr>
                    <w:t>四层动物实验室设备汇总</w:t>
                  </w:r>
                  <w:r>
                    <w:rPr>
                      <w:rFonts w:ascii="仿宋_GB2312" w:hAnsi="仿宋_GB2312" w:cs="仿宋_GB2312" w:eastAsia="仿宋_GB2312"/>
                      <w:sz w:val="52"/>
                    </w:rPr>
                    <w:t xml:space="preserve">     </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序号</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名称</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规格</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参数</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单位</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数量</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实验台</w:t>
                  </w:r>
                  <w:r>
                    <w:rPr>
                      <w:rFonts w:ascii="仿宋_GB2312" w:hAnsi="仿宋_GB2312" w:cs="仿宋_GB2312" w:eastAsia="仿宋_GB2312"/>
                      <w:sz w:val="15"/>
                    </w:rPr>
                    <w:t></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L*750*800mm</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[工作内容]</w:t>
                  </w:r>
                  <w:r>
                    <w:br/>
                  </w:r>
                  <w:r>
                    <w:rPr>
                      <w:rFonts w:ascii="仿宋_GB2312" w:hAnsi="仿宋_GB2312" w:cs="仿宋_GB2312" w:eastAsia="仿宋_GB2312"/>
                      <w:sz w:val="15"/>
                    </w:rPr>
                    <w:t>1.底柜要求:采用国标裸板≧1.0mm厚优质冷轧钢板为基材，整体焊接一体成型（不得现场拼接）</w:t>
                  </w:r>
                  <w:r>
                    <w:br/>
                  </w:r>
                  <w:r>
                    <w:rPr>
                      <w:rFonts w:ascii="仿宋_GB2312" w:hAnsi="仿宋_GB2312" w:cs="仿宋_GB2312" w:eastAsia="仿宋_GB2312"/>
                      <w:sz w:val="15"/>
                    </w:rPr>
                    <w:t>2.柜体钢板：符合GB/T24820-2024标准，采用≥1.0mm厚冷轧钢板，表面环氧树脂喷涂</w:t>
                  </w:r>
                  <w:r>
                    <w:br/>
                  </w:r>
                  <w:r>
                    <w:rPr>
                      <w:rFonts w:ascii="仿宋_GB2312" w:hAnsi="仿宋_GB2312" w:cs="仿宋_GB2312" w:eastAsia="仿宋_GB2312"/>
                      <w:sz w:val="15"/>
                    </w:rPr>
                    <w:t>3.柜体：承载性实验需满足：柜体总承重≥900Kg，柜体没有永久损坏现象。平衡脚无变形不影响调节系统功能</w:t>
                  </w:r>
                  <w:r>
                    <w:br/>
                  </w:r>
                  <w:r>
                    <w:rPr>
                      <w:rFonts w:ascii="仿宋_GB2312" w:hAnsi="仿宋_GB2312" w:cs="仿宋_GB2312" w:eastAsia="仿宋_GB2312"/>
                      <w:sz w:val="15"/>
                    </w:rPr>
                    <w:t>4.框架：≥50mm×50mm×2.5mm方钢或40mm×60mm矩形钢管</w:t>
                  </w:r>
                  <w:r>
                    <w:br/>
                  </w:r>
                  <w:r>
                    <w:rPr>
                      <w:rFonts w:ascii="仿宋_GB2312" w:hAnsi="仿宋_GB2312" w:cs="仿宋_GB2312" w:eastAsia="仿宋_GB2312"/>
                      <w:sz w:val="15"/>
                    </w:rPr>
                    <w:t>5.台面：不低于15毫米厚实验室专用陶瓷板。需满足以下技术要求</w:t>
                  </w:r>
                  <w:r>
                    <w:br/>
                  </w:r>
                  <w:r>
                    <w:rPr>
                      <w:rFonts w:ascii="仿宋_GB2312" w:hAnsi="仿宋_GB2312" w:cs="仿宋_GB2312" w:eastAsia="仿宋_GB2312"/>
                      <w:sz w:val="15"/>
                    </w:rPr>
                    <w:t>高温长时间煅烧而成，釉面和坯体结合后不脱落、不脱层、耐磨、耐强腐蚀。投标时投标单位须提供满足以下性能要求的，并提供</w:t>
                  </w:r>
                  <w:r>
                    <w:rPr>
                      <w:rFonts w:ascii="仿宋_GB2312" w:hAnsi="仿宋_GB2312" w:cs="仿宋_GB2312" w:eastAsia="仿宋_GB2312"/>
                      <w:sz w:val="15"/>
                    </w:rPr>
                    <w:t>CMA或CNAS认证的检测机构出具的检测报告；其检测报告复印件和相关证明资料需含有品牌厂家的红色鲜章，并标注专用于本项目投标使用字样</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m</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5"/>
                    </w:rPr>
                    <w:t>4.2</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质量标准符合本项目采购清单要求、建筑装饰装修工程质量验收规范和国家、陕西省、西安市现行工程质量验评标准。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 xml:space="preserve"> 1、本工程为交钥匙工程，为清单报价，报价中包含暂列金，最终工程量按照实际发生量计取。 2、报价汇总表中的价格必须是完成本项目的所有费用的报价；工程量清单中的全费用综合单价包括但不限于所需的人工费、材料费、运杂费（含装卸、搬运、损耗、二次运输及多次倒运费用）、施工机械使用费、保管费、检测与试验费、安装及调试费、各种措施费（含安全文明措施费）、劳保统筹基金、各类保险、管理费、利润、规费、各项税费、施工车辆校内通行费、垃圾清运费、用水用电费、验收、质保及保修服务、风险、责任和义务等所有费用。 3、供应商填报工程量清单报价时，对采购人提供的工程量清单数据及内容、表格格式均不得改动，如有改动，工程结算时采购人有权按有利于采购人的方式进行结算。 4、磋商报价应是包含劳保统筹基金的含税工程造价。</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2、纸质响应文件正本、副本、电子版，标明供应商名称分开密封递交（响应文件采用双面打印）。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 4、请确认踏勘的供应商在踏勘时间前将公司名称、踏勘联系人、联系电话编辑文字发送至邮箱710070685@qq.com。） 5、保证金的退还：自成交通知书发出之日起5个工作日内退还未成交供应商的投标保证金,自采购合同签订之日起5个工作日内退还成交供应商的投标保证金。 6、样品递交要求 ①供应商提供病理科设备实验台（序号1）台面、柜体实体切割面样块及五金件样品各1件； ②递交样品截止时间：同响应文件递交时间一致； ③样品递交地点：西安市雁展路1111号莱安中心T6-15层； ④样品须密封递交，外包装标识：项目名称、项目编号、供应商名称； ⑤样品退还：成交公告发布后，未成交供应商5个工作日内领取样品，未在规定时间内领取样品，则由采购代理机构代为处理，后期不得有任何异议。成交供应商样品由采购人封存，作为项目履约验收的依据。 ⑥评审时需对样品切割面等进行查验，查看其材质等是否符合采购需求，由此造成的损失由供应商自行承担；各供应商自行承担样品制作及提交过程中发生的所有费用和损失。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供应商须具备建筑工程施工总承包三级及以上资质或建筑装修装饰工程专业承包二级及以上资质和建筑机电安装工程专业承包二级及以上资质；且具备合法有效的安全生产许可证。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拟派项目经理须具备建筑工程专业或机电工程专业二级及以上注册建造师资格和安全生产考核合格证，且无其他在建项目（提供无在建工程的承诺函）。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供应商及其拟派项目经理相关信息须在“陕西省住房和城乡建设厅”官方网站可查询。</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响应报价表.docx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响应文件的初步审查</w:t>
            </w:r>
          </w:p>
        </w:tc>
        <w:tc>
          <w:tcPr>
            <w:tcW w:type="dxa" w:w="3322"/>
          </w:tcPr>
          <w:p>
            <w:pPr>
              <w:pStyle w:val="null3"/>
            </w:pPr>
            <w:r>
              <w:rPr>
                <w:rFonts w:ascii="仿宋_GB2312" w:hAnsi="仿宋_GB2312" w:cs="仿宋_GB2312" w:eastAsia="仿宋_GB2312"/>
              </w:rPr>
              <w:t>磋商小组应当对供应商提交的响应文件进行初步审查，包括响应文件的有效性、完整性、符合性。除可变动的技术、服务要求以及合同草案条款外，首次提交的响应文件有不符合下列情况的，其响应文件无效。 (1) 供应商名称与营业执照、资质证书一致； (2) 响应文件按磋商文件要求的数量、计量单位、报价货币及签字盖章； (3) 响应文件的有效期达到磋商文件要求； (4) 响应文件中主要材料技术指标无负偏离的； (5) 符合法律、法规和磋商文件中规定的其他实质性要求； (6) 已标价工程量清单的扉页（仅指投标总价扉页）由注册或登记在本单位的造价人员签字并盖执业印章； (7) 保证金交纳符合磋商文件要求。</w:t>
            </w:r>
          </w:p>
        </w:tc>
        <w:tc>
          <w:tcPr>
            <w:tcW w:type="dxa" w:w="1661"/>
          </w:tcPr>
          <w:p>
            <w:pPr>
              <w:pStyle w:val="null3"/>
            </w:pPr>
            <w:r>
              <w:rPr>
                <w:rFonts w:ascii="仿宋_GB2312" w:hAnsi="仿宋_GB2312" w:cs="仿宋_GB2312" w:eastAsia="仿宋_GB2312"/>
              </w:rPr>
              <w:t>响应方案说明.docx 已标价工程量清单 中小企业声明函 技术服务合同条款及其他商务要求应答表 保证金交纳凭证保函.docx 供应商承诺书.docx 强制优先采购产品承诺函 响应文件封面 主要材料清单.docx 项目管理机构组成表 残疾人福利性单位声明函 供应商类似项目业绩一览表 供应商资格证明文件.docx 响应报价表.docx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针对本项目列出的工程质量的技术组织措施的合理性、可行性等因素进行自主评分； 满分5分，内容存在一处缺陷扣1分，扣完为止。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针对本项目情况列出具体安全措施，明确相应的安全管理措施的合理性、可行性等因素进行自主评分； 满分5分，内容存在一处缺陷扣1分，扣完为止。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针对本项目列出的文明施工的技术措施及环境保护措施的合理性、可行性等因素进行自主评分； 满分5分，内容存在一处缺陷扣1分，扣完为止。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针对本项目列出的确保工期的技术组织措施的合理性、可行性等因素进行自主评分； 满分5分，内容存在一处缺陷扣1分，扣完为止。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针对本项目列出的施工方案施工方案的合理性、可行性等因素进行自主评分； 整体适宜性和综合效果：投保单位提供的施工方案先进，产品工艺及质量标准优异，与采购单位的需求定位契合度高，能较高程度体现出实验室的建设效果。 满分5分，内容存在一处缺陷扣1分，扣完为止。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项目经理业绩</w:t>
            </w:r>
          </w:p>
        </w:tc>
        <w:tc>
          <w:tcPr>
            <w:tcW w:type="dxa" w:w="2492"/>
          </w:tcPr>
          <w:p>
            <w:pPr>
              <w:pStyle w:val="null3"/>
            </w:pPr>
            <w:r>
              <w:rPr>
                <w:rFonts w:ascii="仿宋_GB2312" w:hAnsi="仿宋_GB2312" w:cs="仿宋_GB2312" w:eastAsia="仿宋_GB2312"/>
              </w:rPr>
              <w:t>自2022年1月1日起至本项目响应文件递交截止时间止，每提供1项类似业绩证明材料的计1分，最多计5分。 评审依据:以供应商所提供的合同扫描件(或复印件)并加盖供应商公章为准，合同上应体现供应商拟派项目负责人的相关信息(包括但不限于姓名等相关内容)，时间以合同签订时间为依据。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项目组成员构成</w:t>
            </w:r>
          </w:p>
        </w:tc>
        <w:tc>
          <w:tcPr>
            <w:tcW w:type="dxa" w:w="2492"/>
          </w:tcPr>
          <w:p>
            <w:pPr>
              <w:pStyle w:val="null3"/>
            </w:pPr>
            <w:r>
              <w:rPr>
                <w:rFonts w:ascii="仿宋_GB2312" w:hAnsi="仿宋_GB2312" w:cs="仿宋_GB2312" w:eastAsia="仿宋_GB2312"/>
              </w:rPr>
              <w:t>根据各供应商项目团队具体组织架构及总体人员组成情况专业等方面进行评分： 项目组成员全面合理且具有相应资格证得3分，基本合理得1分，未提供不得分。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项目组成员职称</w:t>
            </w:r>
          </w:p>
        </w:tc>
        <w:tc>
          <w:tcPr>
            <w:tcW w:type="dxa" w:w="2492"/>
          </w:tcPr>
          <w:p>
            <w:pPr>
              <w:pStyle w:val="null3"/>
            </w:pPr>
            <w:r>
              <w:rPr>
                <w:rFonts w:ascii="仿宋_GB2312" w:hAnsi="仿宋_GB2312" w:cs="仿宋_GB2312" w:eastAsia="仿宋_GB2312"/>
              </w:rPr>
              <w:t>根据各供应商项目团队人员职称方面进行评分： 项目组成员具备1个相关专业中级及以上职称得1分，相同专业不重复得分，最高得3分。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针对本项目列出的施工进度表或施工网络图的合理性、可行性等因素进行自主评分； 满分5分，内容存在一处缺陷扣1分，扣完为止。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针对本项目列出的劳动力安排计划的合理性、可行性等因素进行自主评分； 满分5分，内容存在一处缺陷扣1分，扣完为止。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施工机械配备和材料投入计划进行自主评分； 1.投标建筑材料、设备材料及主要部件耐用性好，型号、产地明确，备品配件供应有保障且货源渠道正规。满分2分，内容存在一处缺陷扣1分，扣完为止。 备注：缺陷是指内容不合理、虽有内容但不完善、内容表述前后不一致、套用其他项目方案或与项目需求不匹配及其他不利于项目实施的等任意一种情形。 2.以投标人出具的设备产品技术说明书或产品生产厂商公开发布的产品彩页及效果图、结构图、产品标准、使用说明书、第三方出具的检验报告或证明等技术指标和参数证明或支持文件等。内容详实，逻辑严谨。内容全面、可行。 满分2分，内容存在一处缺陷扣1分，扣完为止。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主要材料清单.docx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设备来源渠道</w:t>
            </w:r>
          </w:p>
        </w:tc>
        <w:tc>
          <w:tcPr>
            <w:tcW w:type="dxa" w:w="2492"/>
          </w:tcPr>
          <w:p>
            <w:pPr>
              <w:pStyle w:val="null3"/>
            </w:pPr>
            <w:r>
              <w:rPr>
                <w:rFonts w:ascii="仿宋_GB2312" w:hAnsi="仿宋_GB2312" w:cs="仿宋_GB2312" w:eastAsia="仿宋_GB2312"/>
              </w:rPr>
              <w:t>提供试验台、通风柜、取材台、病理冷藏标本柜、带过滤危化品柜、病理专业排风系统的合法来源渠道证明文件或情况说明，每提供一项得0.5分，满分3分。不提供不得分。投标人可根据自身情况提供以下资料中的任意一种： 1、如投标人为所投产品代理商：提供货物的合法来源渠道证明文件（例如：产品制造商授权、销售协议、代理协议等证明文件）。 2、如投标人为所投产品的制造商：需提供情况说明（说明某一项产品为制造商自己生产）。 备注：以加盖供应商公章的证明材料复印件为计分依据。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主要材料清单.docx</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供应商提供病理科设备实验台（序号1）台面、柜体实体切割面样块及五金件样品各一件，根据所提供样品的工艺、质量、功能、构造、观感等要素进行综合评审。 样品完全满足需求，无缺陷计5分；每存在1除缺陷，扣1分，扣完为止。 备注：缺陷是指样品提供不符合采购需求、虽有样品但数量种类不齐全、材质做工等与项目需求不匹配及其他不利于项目实施的等任意一种情形。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根据本项目实际需求提供售后服务方案。内容包含：①售后服务范围及保障措施②响应时间③响应方式④故障处理及补救措施。 每有一项缺项扣1分，每有一项内容存在一处缺陷扣0.5分，扣完为止。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提供供应商2022年1月1日至响应截止时间（以合同签订时间为准）实验室合同或PCR实验室合同，每提供1份得2分，最高得8分。 评审依据：以加盖公章的业绩合同复印件为准，合同至少需包含合同首页、中间页、签章页。</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（1）根据《关于进一步加大政府采购支持中小企业力度的通知》财库〔2022〕19号的相关规定，对小型和微型企业的价格给予3%的扣除，用扣除后的价格参与评审。 （2）根据《财政部民政部中国残疾人联合会关于促进残疾人就业政府采购政策的通知》（财库〔2017〕141号）的规定，对符合条件的残疾人福利性单位设备的价格给予3%的扣除，用扣除后的价格参与评审。小型、微型企业和监狱企业及符合财政部、民政部、中国残疾人联合会关于促进残疾人就业政府采购政策的通知，以上政策同时具备的仅对其进行一次3%的价格扣除，不重复扣除。</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已标价工程量清单</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详见附件：主要材料清单.docx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