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版本号：2025-HZZB-10420251223001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长安校区教学区校园规划研究及实施详细规划项目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2025-HZZB-104</w:t>
      </w:r>
      <w:r>
        <w:br/>
      </w:r>
      <w:r>
        <w:br/>
      </w:r>
      <w:r>
        <w:br/>
      </w:r>
    </w:p>
    <w:p>
      <w:pPr>
        <w:pStyle w:val="null3"/>
        <w:jc w:val="center"/>
        <w:outlineLvl w:val="2"/>
      </w:pPr>
      <w:r>
        <w:rPr>
          <w:rFonts w:ascii="仿宋_GB2312" w:hAnsi="仿宋_GB2312" w:cs="仿宋_GB2312" w:eastAsia="仿宋_GB2312"/>
          <w:sz w:val="28"/>
          <w:b/>
        </w:rPr>
        <w:t>西安财经大学</w:t>
      </w:r>
    </w:p>
    <w:p>
      <w:pPr>
        <w:pStyle w:val="null3"/>
        <w:jc w:val="center"/>
        <w:outlineLvl w:val="2"/>
      </w:pPr>
      <w:r>
        <w:rPr>
          <w:rFonts w:ascii="仿宋_GB2312" w:hAnsi="仿宋_GB2312" w:cs="仿宋_GB2312" w:eastAsia="仿宋_GB2312"/>
          <w:sz w:val="28"/>
          <w:b/>
        </w:rPr>
        <w:t>衡正国际工程咨询有限公司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衡正国际工程咨询有限公司</w:t>
      </w:r>
      <w:r>
        <w:rPr>
          <w:rFonts w:ascii="仿宋_GB2312" w:hAnsi="仿宋_GB2312" w:cs="仿宋_GB2312" w:eastAsia="仿宋_GB2312"/>
        </w:rPr>
        <w:t>（以下简称“代理机构”）受</w:t>
      </w:r>
      <w:r>
        <w:rPr>
          <w:rFonts w:ascii="仿宋_GB2312" w:hAnsi="仿宋_GB2312" w:cs="仿宋_GB2312" w:eastAsia="仿宋_GB2312"/>
        </w:rPr>
        <w:t>西安财经大学</w:t>
      </w:r>
      <w:r>
        <w:rPr>
          <w:rFonts w:ascii="仿宋_GB2312" w:hAnsi="仿宋_GB2312" w:cs="仿宋_GB2312" w:eastAsia="仿宋_GB2312"/>
        </w:rPr>
        <w:t>委托，拟对</w:t>
      </w:r>
      <w:r>
        <w:rPr>
          <w:rFonts w:ascii="仿宋_GB2312" w:hAnsi="仿宋_GB2312" w:cs="仿宋_GB2312" w:eastAsia="仿宋_GB2312"/>
        </w:rPr>
        <w:t>长安校区教学区校园规划研究及实施详细规划项目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2025-HZZB-104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长安校区教学区校园规划研究及实施详细规划项目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长安校区教学区校园规划研究及实施详细规划:（1）编制长安校区校园规划研究文本，指导校园长远发展与空间建设的战略性和法定性。主要内容包括现状综合分析、规模预测与需求分析、总体空间结构和布局、分期建设等内容；（2）编制长安校区实施详细规划文本，确定建设指标，满足拟建项目报规报建要求；给定发展预留板块指标原则。背景及上位规划梳理、现状分析、规划指标分析、城市设计分析。（3）明确地块边界，确定地块用地性质、容积率、建筑密度、绿地率、建筑高度等技术指标，市政基础设施和公共服务配套设施的用地规划、范围，以及建筑形态、公共空间等城市设计控制要求。取得实施详细规划批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2、法人授权委托书：法定代表人参与响应时，提供法定代表人身份证明及本人身份证复印件加盖公章；授权代表参与响应时，提供企业法人授权委托书和被授权人身份证复印件加盖公章；</w:t>
      </w:r>
    </w:p>
    <w:p>
      <w:pPr>
        <w:pStyle w:val="null3"/>
      </w:pPr>
      <w:r>
        <w:rPr>
          <w:rFonts w:ascii="仿宋_GB2312" w:hAnsi="仿宋_GB2312" w:cs="仿宋_GB2312" w:eastAsia="仿宋_GB2312"/>
        </w:rPr>
        <w:t>3、财务状况报告：供应商提供2023年度或2024年度经审计完整的财务会计报告（成立时间至提交投标文件截止时间不足一年的可提供成立后任意时段的资产负债表），或其磋商前三个月内基本存款账户开户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4、社会保障资金缴纳证明：响应单位提供2025年1月至今任意一个月的社会保障资金缴存单据或社保机构开具的社会保险参保缴费情况证明，依法不需要缴纳社会保障资金的响应单位应提供相关文件证明；</w:t>
      </w:r>
    </w:p>
    <w:p>
      <w:pPr>
        <w:pStyle w:val="null3"/>
      </w:pPr>
      <w:r>
        <w:rPr>
          <w:rFonts w:ascii="仿宋_GB2312" w:hAnsi="仿宋_GB2312" w:cs="仿宋_GB2312" w:eastAsia="仿宋_GB2312"/>
        </w:rPr>
        <w:t>5、税收缴纳证明：提供2025年1月至今已缴纳的至少一个月的纳税证明或完税证明，依法免税的单位应提供相关证明材料；</w:t>
      </w:r>
    </w:p>
    <w:p>
      <w:pPr>
        <w:pStyle w:val="null3"/>
      </w:pPr>
      <w:r>
        <w:rPr>
          <w:rFonts w:ascii="仿宋_GB2312" w:hAnsi="仿宋_GB2312" w:cs="仿宋_GB2312" w:eastAsia="仿宋_GB2312"/>
        </w:rPr>
        <w:t>6、无重大违法记录声明：参加政府采购活动前3年内经营活动中没有重大违法记录声明；</w:t>
      </w:r>
    </w:p>
    <w:p>
      <w:pPr>
        <w:pStyle w:val="null3"/>
      </w:pPr>
      <w:r>
        <w:rPr>
          <w:rFonts w:ascii="仿宋_GB2312" w:hAnsi="仿宋_GB2312" w:cs="仿宋_GB2312" w:eastAsia="仿宋_GB2312"/>
        </w:rPr>
        <w:t>7、信用：通过“信用中国”网站和“中国政府采购网”查询投标主体未被列入失信被执行人、重大税收失信主体、政府采购严重违法失信行为记录名单；</w:t>
      </w:r>
    </w:p>
    <w:p>
      <w:pPr>
        <w:pStyle w:val="null3"/>
      </w:pPr>
      <w:r>
        <w:rPr>
          <w:rFonts w:ascii="仿宋_GB2312" w:hAnsi="仿宋_GB2312" w:cs="仿宋_GB2312" w:eastAsia="仿宋_GB2312"/>
        </w:rPr>
        <w:t>8、承诺函：提供具有履行服务合同所必需的设备和专业技术能力的承诺函</w:t>
      </w:r>
    </w:p>
    <w:p>
      <w:pPr>
        <w:pStyle w:val="null3"/>
      </w:pPr>
      <w:r>
        <w:rPr>
          <w:rFonts w:ascii="仿宋_GB2312" w:hAnsi="仿宋_GB2312" w:cs="仿宋_GB2312" w:eastAsia="仿宋_GB2312"/>
        </w:rPr>
        <w:t>9、资质要求：具有城乡规划编制资质证书乙级资质及以上资质</w:t>
      </w:r>
    </w:p>
    <w:p>
      <w:pPr>
        <w:pStyle w:val="null3"/>
      </w:pPr>
      <w:r>
        <w:rPr>
          <w:rFonts w:ascii="仿宋_GB2312" w:hAnsi="仿宋_GB2312" w:cs="仿宋_GB2312" w:eastAsia="仿宋_GB2312"/>
        </w:rPr>
        <w:t>10、控股关系：单位负责人为同一人或者存在控股、管理关系的不同供应商，不得同时参加本项目采购活动；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西安财经大学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西安市长安区常宁大街360号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张珈彬</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85781396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衡正国际工程咨询有限公司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西安市雁塔区科技西路绿地博海大厦16层1603室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13679165459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采购包1：624,000.00元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代理服务费收费标准：参照计价格[2002]1980号文件计费办法，以中标金额为基数计算后下浮48%计取。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西安财经大学</w:t>
      </w:r>
      <w:r>
        <w:rPr>
          <w:rFonts w:ascii="仿宋_GB2312" w:hAnsi="仿宋_GB2312" w:cs="仿宋_GB2312" w:eastAsia="仿宋_GB2312"/>
        </w:rPr>
        <w:t>和</w:t>
      </w:r>
      <w:r>
        <w:rPr>
          <w:rFonts w:ascii="仿宋_GB2312" w:hAnsi="仿宋_GB2312" w:cs="仿宋_GB2312" w:eastAsia="仿宋_GB2312"/>
        </w:rPr>
        <w:t>衡正国际工程咨询有限公司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西安财经大学</w:t>
      </w:r>
      <w:r>
        <w:rPr>
          <w:rFonts w:ascii="仿宋_GB2312" w:hAnsi="仿宋_GB2312" w:cs="仿宋_GB2312" w:eastAsia="仿宋_GB2312"/>
        </w:rPr>
        <w:t>负责解释。除上述磋商文件内容，其他内容由</w:t>
      </w:r>
      <w:r>
        <w:rPr>
          <w:rFonts w:ascii="仿宋_GB2312" w:hAnsi="仿宋_GB2312" w:cs="仿宋_GB2312" w:eastAsia="仿宋_GB2312"/>
        </w:rPr>
        <w:t>衡正国际工程咨询有限公司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西安财经大学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衡正国际工程咨询有限公司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根据采购文件和合同约定执行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联系人：陈梅</w:t>
      </w:r>
    </w:p>
    <w:p>
      <w:pPr>
        <w:pStyle w:val="null3"/>
      </w:pPr>
      <w:r>
        <w:rPr>
          <w:rFonts w:ascii="仿宋_GB2312" w:hAnsi="仿宋_GB2312" w:cs="仿宋_GB2312" w:eastAsia="仿宋_GB2312"/>
        </w:rPr>
        <w:t>联系电话：13679165459</w:t>
      </w:r>
    </w:p>
    <w:p>
      <w:pPr>
        <w:pStyle w:val="null3"/>
      </w:pPr>
      <w:r>
        <w:rPr>
          <w:rFonts w:ascii="仿宋_GB2312" w:hAnsi="仿宋_GB2312" w:cs="仿宋_GB2312" w:eastAsia="仿宋_GB2312"/>
        </w:rPr>
        <w:t>地址：西安市雁塔区科技西路绿地博海大厦16层1603室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长安校区教学区校园规划研究及实施详细规划:（1）编制长安校区校园规划研究文本，指导校园长远发展与空间建设的战略性和法定性。主要内容包括现状综合分析、规模预测与需求分析、总体空间结构和布局、分期建设等内容；（2）编制长安校区实施详细规划文本，确定建设指标，满足拟建项目报规报建要求；给定发展预留板块指标原则。背景及上位规划梳理、现状分析、规划指标分析、城市设计分析。（3）明确地块边界，确定地块用地性质、容积率、建筑密度、绿地率、建筑高度等技术指标，市政基础设施和公共服务配套设施的用地规划、范围，以及建筑形态、公共空间等城市设计控制要求。取得实施详细规划批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624,000.00</w:t>
      </w:r>
    </w:p>
    <w:p>
      <w:pPr>
        <w:pStyle w:val="null3"/>
      </w:pPr>
      <w:r>
        <w:rPr>
          <w:rFonts w:ascii="仿宋_GB2312" w:hAnsi="仿宋_GB2312" w:cs="仿宋_GB2312" w:eastAsia="仿宋_GB2312"/>
        </w:rPr>
        <w:t>采购包最高限价（元）: 624,000.00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长安校区教学区校园规划研究及实施详细规划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标的名称：长安校区教学区校园规划研究及实施详细规划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00"/>
              <w:jc w:val="both"/>
            </w:pPr>
            <w:r>
              <w:rPr>
                <w:rFonts w:ascii="仿宋_GB2312" w:hAnsi="仿宋_GB2312" w:cs="仿宋_GB2312" w:eastAsia="仿宋_GB2312"/>
              </w:rPr>
              <w:t>1</w:t>
            </w:r>
            <w:r>
              <w:rPr>
                <w:rFonts w:ascii="仿宋_GB2312" w:hAnsi="仿宋_GB2312" w:cs="仿宋_GB2312" w:eastAsia="仿宋_GB2312"/>
              </w:rPr>
              <w:t>、委托内容及标准：</w:t>
            </w:r>
          </w:p>
          <w:p>
            <w:pPr>
              <w:pStyle w:val="null3"/>
              <w:ind w:firstLine="200"/>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）编制长安校区校园规划研究文本，指导校园长远发展与空间建设的战略性和法定性。主要内容包括现状综合分析、规模预测与需求分析、总体空间结构和布局、分期建设等内容；</w:t>
            </w:r>
          </w:p>
          <w:p>
            <w:pPr>
              <w:pStyle w:val="null3"/>
              <w:ind w:firstLine="200"/>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编制长安校区实施详细规划文本，确定建设指标，满足拟建项目报规报建要求；给定发展预留板块指标原则。背景及上位规划梳理、现状分析、规划指标分析、城市设计分析。</w:t>
            </w:r>
          </w:p>
          <w:p>
            <w:pPr>
              <w:pStyle w:val="null3"/>
              <w:ind w:firstLine="200"/>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 xml:space="preserve">）明确地块边界，确定地块用地性质、容积率、建筑密度、绿地率、建筑高度等技术指标，市政基础设施和公共服务配套设施的用地规划、范围，以及建筑形态、公共空间等城市设计控制要求。取得实施详细规划批准文件。  </w:t>
            </w:r>
          </w:p>
          <w:p>
            <w:pPr>
              <w:pStyle w:val="null3"/>
              <w:ind w:firstLine="200"/>
              <w:jc w:val="both"/>
            </w:pPr>
            <w:r>
              <w:rPr>
                <w:rFonts w:ascii="仿宋_GB2312" w:hAnsi="仿宋_GB2312" w:cs="仿宋_GB2312" w:eastAsia="仿宋_GB2312"/>
              </w:rPr>
              <w:t>2</w:t>
            </w:r>
            <w:r>
              <w:rPr>
                <w:rFonts w:ascii="仿宋_GB2312" w:hAnsi="仿宋_GB2312" w:cs="仿宋_GB2312" w:eastAsia="仿宋_GB2312"/>
              </w:rPr>
              <w:t>、 提交的设计成果及成果要求</w:t>
            </w:r>
          </w:p>
          <w:p>
            <w:pPr>
              <w:pStyle w:val="null3"/>
              <w:ind w:firstLine="200"/>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）成果内容：长安校区教学区校园规划研究文本册及实施详细规划（含附图、基础资料汇编等），给定发展预留板块指标原则。</w:t>
            </w:r>
          </w:p>
          <w:p>
            <w:pPr>
              <w:pStyle w:val="null3"/>
              <w:ind w:firstLine="200"/>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）技术成果：该项目通过专家评审及政府审批的校园规划研究文本册及实施详细规划（含附图、基础资料汇编等）一式捌份、汇报文件及成果电子文件一份（</w:t>
            </w:r>
            <w:r>
              <w:rPr>
                <w:rFonts w:ascii="仿宋_GB2312" w:hAnsi="仿宋_GB2312" w:cs="仿宋_GB2312" w:eastAsia="仿宋_GB2312"/>
              </w:rPr>
              <w:t>U</w:t>
            </w:r>
            <w:r>
              <w:rPr>
                <w:rFonts w:ascii="仿宋_GB2312" w:hAnsi="仿宋_GB2312" w:cs="仿宋_GB2312" w:eastAsia="仿宋_GB2312"/>
              </w:rPr>
              <w:t>盘）</w:t>
            </w:r>
          </w:p>
          <w:p>
            <w:pPr>
              <w:pStyle w:val="null3"/>
              <w:ind w:firstLine="200"/>
              <w:jc w:val="both"/>
            </w:pPr>
            <w:r>
              <w:rPr>
                <w:rFonts w:ascii="仿宋_GB2312" w:hAnsi="仿宋_GB2312" w:cs="仿宋_GB2312" w:eastAsia="仿宋_GB2312"/>
              </w:rPr>
              <w:t>3</w:t>
            </w:r>
            <w:r>
              <w:rPr>
                <w:rFonts w:ascii="仿宋_GB2312" w:hAnsi="仿宋_GB2312" w:cs="仿宋_GB2312" w:eastAsia="仿宋_GB2312"/>
              </w:rPr>
              <w:t>、 技术要求和设计质量</w:t>
            </w:r>
          </w:p>
          <w:p>
            <w:pPr>
              <w:pStyle w:val="null3"/>
              <w:ind w:firstLine="200"/>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 本项目成果文件必须执行中华人民共和国现行规划行业设计规范、规定、规程、条例、标准等；</w:t>
            </w:r>
          </w:p>
          <w:p>
            <w:pPr>
              <w:pStyle w:val="null3"/>
              <w:ind w:firstLine="200"/>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 本项目成果文件应符合行业及地方通用标准和惯例的要求；</w:t>
            </w:r>
          </w:p>
          <w:p>
            <w:pPr>
              <w:pStyle w:val="null3"/>
            </w:pPr>
            <w:r>
              <w:rPr>
                <w:rFonts w:ascii="仿宋_GB2312" w:hAnsi="仿宋_GB2312" w:cs="仿宋_GB2312" w:eastAsia="仿宋_GB2312"/>
              </w:rPr>
              <w:t xml:space="preserve">（3）本项目成果文件必须满足本项目报审要求及合同目的，并最终通过专家评审和政府审批。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安排符合项目需求的服务人员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配备符合项目需求的专业设备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具体要求详见采购需求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自中标通知书发出之日起60日历天（含出具成果文件用时）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西安财经大学长安校区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根据采购文件和合同约定执行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自本合同签订后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成果方案完成审查后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乙方向甲方提交技术成果并通过专家评审及政府审批后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法人授权委托书</w:t>
            </w:r>
          </w:p>
        </w:tc>
        <w:tc>
          <w:tcPr>
            <w:tcW w:type="dxa" w:w="3322"/>
          </w:tcPr>
          <w:p>
            <w:pPr>
              <w:pStyle w:val="null3"/>
            </w:pPr>
            <w:r>
              <w:rPr>
                <w:rFonts w:ascii="仿宋_GB2312" w:hAnsi="仿宋_GB2312" w:cs="仿宋_GB2312" w:eastAsia="仿宋_GB2312"/>
              </w:rPr>
              <w:t>法定代表人参与响应时，提供法定代表人身份证明及本人身份证复印件加盖公章；授权代表参与响应时，提供企业法人授权委托书和被授权人身份证复印件加盖公章；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或2024年度经审计完整的财务会计报告（成立时间至提交投标文件截止时间不足一年的可提供成立后任意时段的资产负债表），或其磋商前三个月内基本存款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响应单位提供2025年1月至今任意一个月的社会保障资金缴存单据或社保机构开具的社会保险参保缴费情况证明，依法不需要缴纳社会保障资金的响应单位应提供相关文件证明；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参加政府采购活动前3年内经营活动中没有重大违法记录声明；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通过“信用中国”网站和“中国政府采购网”查询投标主体未被列入失信被执行人、重大税收失信主体、政府采购严重违法失信行为记录名单；</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提供具有履行服务合同所必需的设备和专业技术能力的承诺函</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具有城乡规划编制资质证书乙级资质及以上资质</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单位负责人为同一人或者存在控股、管理关系的不同供应商，不得同时参加本项目采购活动；</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投标文件的签署、加盖公章有效；</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投标人资格证明文件.docx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有效性</w:t>
            </w:r>
          </w:p>
        </w:tc>
        <w:tc>
          <w:tcPr>
            <w:tcW w:type="dxa" w:w="3322"/>
          </w:tcPr>
          <w:p>
            <w:pPr>
              <w:pStyle w:val="null3"/>
            </w:pPr>
            <w:r>
              <w:rPr>
                <w:rFonts w:ascii="仿宋_GB2312" w:hAnsi="仿宋_GB2312" w:cs="仿宋_GB2312" w:eastAsia="仿宋_GB2312"/>
              </w:rPr>
              <w:t>响应文件有效期达到磋商文件的要求；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投标人资格证明文件.docx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完全理解并接受法律法规和磋商文件对投标人合法经营的各类规约和责任义务要求，未出现法律、法规或磋商文件规定的其他无效情形的。</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投标人资格证明文件.docx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报价未超过磋商文件中规定的最高限价的。</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相关政策背景理解</w:t>
            </w:r>
          </w:p>
        </w:tc>
        <w:tc>
          <w:tcPr>
            <w:tcW w:type="dxa" w:w="2492"/>
          </w:tcPr>
          <w:p>
            <w:pPr>
              <w:pStyle w:val="null3"/>
            </w:pPr>
            <w:r>
              <w:rPr>
                <w:rFonts w:ascii="仿宋_GB2312" w:hAnsi="仿宋_GB2312" w:cs="仿宋_GB2312" w:eastAsia="仿宋_GB2312"/>
              </w:rPr>
              <w:t>评审内容：供应商对政策背景理解包括但不限于①规划审批相关政策解读；②规划背景；③专业资料的搜集与内容梳理； 评审标准：项目解读各部分内容全面详细、阐述条理清晰详尽、符合本项目采购需求得15分，评审内容每缺一项扣5分；评审内容有缺陷（缺陷是指：内容粗略、逻辑混乱、描述过于简单、与项目特点不匹配、凭空编造、逻辑漏洞、出现常识性错误、存在不适用项目实际情况的情形或只有标题没有实质性内容等任一情形）评审内容出现以上任一情形扣 1 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评审内容：供应商针对本项目制定整体服务方案，包括但不限于①服务目标、内容；②服务标准；③服务方法及策略；④配合验收方案；⑤重难点分析； 评审标准：项目解读各部分内容全面详细、阐述条理清晰详尽、符合本项目采购需求得25分，评审内容每缺一项扣5分；评审内容有缺陷（缺陷是指：内容粗略、逻辑混乱、描述过于简单、与项目特点不匹配、凭空编造、逻辑漏洞、出现常识性错误、存在不适用项目实际情况的情形或只有标题没有实质性内容等任一情形）评审内容出现以上任一情形扣 1 分，扣完为止。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评审内容：质量保障内容包含但不限于①服务质量目标分析；②针对本项目质量管理制度；③内部管控流程。 评审标准：质量保证各部分内容全面详细、阐述条理清晰详尽、符合本项目采购需求得15分，评审内容每缺一项扣5分；评审内容有缺陷（缺陷是指：内容粗略、逻辑混乱、描述过于简单、与项目特点不匹配、凭空编造、逻辑漏洞、出现常识性错误、存在不适用项目实际情况的情形或只有标题没有实质性内容等任一情形）评审内容出现以上任一情形扣 1 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w:t>
            </w:r>
          </w:p>
        </w:tc>
        <w:tc>
          <w:tcPr>
            <w:tcW w:type="dxa" w:w="2492"/>
          </w:tcPr>
          <w:p>
            <w:pPr>
              <w:pStyle w:val="null3"/>
            </w:pPr>
            <w:r>
              <w:rPr>
                <w:rFonts w:ascii="仿宋_GB2312" w:hAnsi="仿宋_GB2312" w:cs="仿宋_GB2312" w:eastAsia="仿宋_GB2312"/>
              </w:rPr>
              <w:t>评审内容：进度保障内容包括但不限于①项目实施进度目标分析；②项目进度保障措施；③突发情况的应急方案；④基础工作阶段、编制阶段、报审阶段的进度安排。 评审标准：进度保障各部分内容全面详细、阐述条理清晰详尽、符合本项目采购需求得12分，评审内容每缺一项扣3分；评审内容有缺陷（缺陷是指：内容粗略、逻辑混乱、描述过于简单、与项目特点不匹配、凭空编造、逻辑漏洞、出现常识性错误、存在不适用项目实际情况的情形或只有标题没有实质性内容等任一情形）评审内容出现以上任一情形扣 1 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项目组人员配备</w:t>
            </w:r>
          </w:p>
        </w:tc>
        <w:tc>
          <w:tcPr>
            <w:tcW w:type="dxa" w:w="2492"/>
          </w:tcPr>
          <w:p>
            <w:pPr>
              <w:pStyle w:val="null3"/>
            </w:pPr>
            <w:r>
              <w:rPr>
                <w:rFonts w:ascii="仿宋_GB2312" w:hAnsi="仿宋_GB2312" w:cs="仿宋_GB2312" w:eastAsia="仿宋_GB2312"/>
              </w:rPr>
              <w:t>1、项目负责人：同时具有相关专业高级专业技术职称、国家注册规划师资格且有同类型项目业绩经验的得3分，不满足的不得分； 2、团队成员（5 分）（除项目负责人外）：团队成员具有相关专业中级及以上专业技术职称，且具备本科及以上学历，每提供 1 个完全满足以上要求的人员得1 分，此项满分 5 分，不满足要求不得分。 （所有人员均须提交开标前半年内任意一个月人员社保缴纳证明等，未提供社保缴纳证明的不计分）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评审内容：供应商对本项目提供服务措施承诺（验收配合、后期技术服务等事项）； 评审标准：服务承诺内容全面详细、符合本项目采购需求得5分；评审内容有缺陷（缺陷是指：内容粗略、逻辑混乱、描述过于简单、与项目特点不匹配、凭空编造、逻辑漏洞、出现常识性错误、存在不适用项目实际情况的情形或只有标题没有实质性内容等任一情形）评审内容出现以上任一情形扣1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供应商提供2022年10月至今类似项目的业绩，每提供一份计1分，满分5分。 备注：须同时提供合同及中标通知书复印件（供应商所提供的复印件需齐全、清晰），未完整提供不计分。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满足磋商文件要求且最终报价最低的供应商的价格为磋商基准价，其价格分为满分。其他供应商的价格分统一按照下列公式计算： 磋商报价得分=（磋商基准价/最终磋商报价）×价格权值×100 符合磋商文件规定的小微企业、监狱企业、残疾人福利企业优惠条件的供应商，价格给予10%的扣除，用扣除后的价格参与评审。 注：计算分数时四舍五入取小数点后两位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