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版本号：ZTZLZC-XA2025-122420251226001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陕西好粮油参加丝绸之路国际博览会项目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ZTZLZC-XA2025-1224</w:t>
      </w:r>
      <w:r>
        <w:br/>
      </w:r>
      <w:r>
        <w:br/>
      </w:r>
      <w:r>
        <w:br/>
      </w:r>
    </w:p>
    <w:p>
      <w:pPr>
        <w:pStyle w:val="null3"/>
        <w:jc w:val="center"/>
        <w:outlineLvl w:val="2"/>
      </w:pPr>
      <w:r>
        <w:rPr>
          <w:rFonts w:ascii="仿宋_GB2312" w:hAnsi="仿宋_GB2312" w:cs="仿宋_GB2312" w:eastAsia="仿宋_GB2312"/>
          <w:sz w:val="28"/>
          <w:b/>
        </w:rPr>
        <w:t>陕西省粮食和物资储备局</w:t>
      </w:r>
    </w:p>
    <w:p>
      <w:pPr>
        <w:pStyle w:val="null3"/>
        <w:jc w:val="center"/>
        <w:outlineLvl w:val="2"/>
      </w:pPr>
      <w:r>
        <w:rPr>
          <w:rFonts w:ascii="仿宋_GB2312" w:hAnsi="仿宋_GB2312" w:cs="仿宋_GB2312" w:eastAsia="仿宋_GB2312"/>
          <w:sz w:val="28"/>
          <w:b/>
        </w:rPr>
        <w:t>陕西中天正略企业运营发展有限公司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陕西中天正略企业运营发展有限公司</w:t>
      </w:r>
      <w:r>
        <w:rPr>
          <w:rFonts w:ascii="仿宋_GB2312" w:hAnsi="仿宋_GB2312" w:cs="仿宋_GB2312" w:eastAsia="仿宋_GB2312"/>
        </w:rPr>
        <w:t>（以下简称“代理机构”）受</w:t>
      </w:r>
      <w:r>
        <w:rPr>
          <w:rFonts w:ascii="仿宋_GB2312" w:hAnsi="仿宋_GB2312" w:cs="仿宋_GB2312" w:eastAsia="仿宋_GB2312"/>
        </w:rPr>
        <w:t>陕西省粮食和物资储备局</w:t>
      </w:r>
      <w:r>
        <w:rPr>
          <w:rFonts w:ascii="仿宋_GB2312" w:hAnsi="仿宋_GB2312" w:cs="仿宋_GB2312" w:eastAsia="仿宋_GB2312"/>
        </w:rPr>
        <w:t>委托，拟对</w:t>
      </w:r>
      <w:r>
        <w:rPr>
          <w:rFonts w:ascii="仿宋_GB2312" w:hAnsi="仿宋_GB2312" w:cs="仿宋_GB2312" w:eastAsia="仿宋_GB2312"/>
        </w:rPr>
        <w:t>陕西好粮油参加丝绸之路国际博览会项目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ZTZLZC-XA2025-1224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陕西好粮油参加丝绸之路国际博览会项目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采购人要求在丝绸之路国际博览会搭建特装展台，陈列超过100余种好粮油产品。陈列展示含“陕西好粮油”产品、粮油精深加工产品等展品，通过造型、文字等宣传陕西好粮油特色。包括但不限于展台的图纸设计，搭建材料的购买、加工、运输，展台造型的拼装，场馆内水电开支等展台运营，撤展时展台的拆除及清运等相关展出服务及布展、展览或撤展时临时增加的项目服务。参展展品搜集、运输及未尽事宜的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采购包1（陕西好粮油参加丝绸之路国际博览会项目）：属于专门面向中小企业采购。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营业执照/事业单位法人证书/专业服务机构执业许可证/民办非企业单位登记证书等相关证明，自然人参与的提供其身份证明；</w:t>
      </w:r>
    </w:p>
    <w:p>
      <w:pPr>
        <w:pStyle w:val="null3"/>
      </w:pPr>
      <w:r>
        <w:rPr>
          <w:rFonts w:ascii="仿宋_GB2312" w:hAnsi="仿宋_GB2312" w:cs="仿宋_GB2312" w:eastAsia="仿宋_GB2312"/>
        </w:rPr>
        <w:t>2、授权委托书：供应商应授权合法的人员参加投标：法定代表人直接参加投标，须出具法定代表人身份证明；法定代表人授权代表参加投标，须出具法定代表人授权书；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3、财务状况报告：提供2024年度的财务审计报告或开户银行出具的资信证明；</w:t>
      </w:r>
    </w:p>
    <w:p>
      <w:pPr>
        <w:pStyle w:val="null3"/>
      </w:pPr>
      <w:r>
        <w:rPr>
          <w:rFonts w:ascii="仿宋_GB2312" w:hAnsi="仿宋_GB2312" w:cs="仿宋_GB2312" w:eastAsia="仿宋_GB2312"/>
        </w:rPr>
        <w:t>4、税收缴纳证明：开标前六个月内至少三个月的纳税凭证/证明，依法免税的应提供相关证明材料；</w:t>
      </w:r>
    </w:p>
    <w:p>
      <w:pPr>
        <w:pStyle w:val="null3"/>
      </w:pPr>
      <w:r>
        <w:rPr>
          <w:rFonts w:ascii="仿宋_GB2312" w:hAnsi="仿宋_GB2312" w:cs="仿宋_GB2312" w:eastAsia="仿宋_GB2312"/>
        </w:rPr>
        <w:t>5、社会保障资金缴纳证明：开标前六个月内至少三个月的社会保障资金缴纳凭证/证明，依法不需要缴纳的应提供相关证明材料；</w:t>
      </w:r>
    </w:p>
    <w:p>
      <w:pPr>
        <w:pStyle w:val="null3"/>
      </w:pPr>
      <w:r>
        <w:rPr>
          <w:rFonts w:ascii="仿宋_GB2312" w:hAnsi="仿宋_GB2312" w:cs="仿宋_GB2312" w:eastAsia="仿宋_GB2312"/>
        </w:rPr>
        <w:t>6、履约承诺：提供具有履行本合同所必需的设备和专业技术能力的说明或承诺书；</w:t>
      </w:r>
    </w:p>
    <w:p>
      <w:pPr>
        <w:pStyle w:val="null3"/>
      </w:pPr>
      <w:r>
        <w:rPr>
          <w:rFonts w:ascii="仿宋_GB2312" w:hAnsi="仿宋_GB2312" w:cs="仿宋_GB2312" w:eastAsia="仿宋_GB2312"/>
        </w:rPr>
        <w:t>7、书面声明：供应商应出具参加政府采购活动前3年内在经营活动中没有重大违法记录的书面声明；</w:t>
      </w:r>
    </w:p>
    <w:p>
      <w:pPr>
        <w:pStyle w:val="null3"/>
      </w:pPr>
      <w:r>
        <w:rPr>
          <w:rFonts w:ascii="仿宋_GB2312" w:hAnsi="仿宋_GB2312" w:cs="仿宋_GB2312" w:eastAsia="仿宋_GB2312"/>
        </w:rPr>
        <w:t>8、信用截图：供应商不得被列入“中国执行信息公开网”（http：//zxgk.court.gov.cn）失信被执行人，不得被列入“信用中国”网站（www.creditchina.gov.cn）重大税收违法失信主体，不得被列入“中国政府采购网”（www.ccgp.gov.cn）政府采购严重违法失信行为记录名单；</w:t>
      </w:r>
    </w:p>
    <w:p>
      <w:pPr>
        <w:pStyle w:val="null3"/>
      </w:pPr>
      <w:r>
        <w:rPr>
          <w:rFonts w:ascii="仿宋_GB2312" w:hAnsi="仿宋_GB2312" w:cs="仿宋_GB2312" w:eastAsia="仿宋_GB2312"/>
        </w:rPr>
        <w:t>9、中小企业：本项目专门面向中小企业；</w:t>
      </w:r>
    </w:p>
    <w:p>
      <w:pPr>
        <w:pStyle w:val="null3"/>
      </w:pPr>
      <w:r>
        <w:rPr>
          <w:rFonts w:ascii="仿宋_GB2312" w:hAnsi="仿宋_GB2312" w:cs="仿宋_GB2312" w:eastAsia="仿宋_GB2312"/>
        </w:rPr>
        <w:t>10、不接受联合体：本项目不接受联合体投标。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陕西省粮食和物资储备局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陕西省西安市莲湖路32号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陶老师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029-87276190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陕西中天正略企业运营发展有限公司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西安曲江新区翠华路500号佳和中心B座26层3号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翟工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029-89660303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发改价格[2011]534号文件及《国家发展改革委关于进一步放开建设项目专业服务价格的通知》（发改价格〔2015〕299号）文规定收取代理服务费。由成交人领取成交通知书时一次性支付完毕。</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陕西省粮食和物资储备局</w:t>
      </w:r>
      <w:r>
        <w:rPr>
          <w:rFonts w:ascii="仿宋_GB2312" w:hAnsi="仿宋_GB2312" w:cs="仿宋_GB2312" w:eastAsia="仿宋_GB2312"/>
        </w:rPr>
        <w:t>和</w:t>
      </w:r>
      <w:r>
        <w:rPr>
          <w:rFonts w:ascii="仿宋_GB2312" w:hAnsi="仿宋_GB2312" w:cs="仿宋_GB2312" w:eastAsia="仿宋_GB2312"/>
        </w:rPr>
        <w:t>陕西中天正略企业运营发展有限公司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陕西省粮食和物资储备局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陕西中天正略企业运营发展有限公司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陕西省粮食和物资储备局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陕西中天正略企业运营发展有限公司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(一)合同文本、合同附件、招标文件、响应文件。(二)乙方提交的结案报告。(三)国内相应的标准、规范。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陕西中天正略企业运营发展有限公司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联系人：翟工</w:t>
      </w:r>
    </w:p>
    <w:p>
      <w:pPr>
        <w:pStyle w:val="null3"/>
      </w:pPr>
      <w:r>
        <w:rPr>
          <w:rFonts w:ascii="仿宋_GB2312" w:hAnsi="仿宋_GB2312" w:cs="仿宋_GB2312" w:eastAsia="仿宋_GB2312"/>
        </w:rPr>
        <w:t>联系电话：029-89660303</w:t>
      </w:r>
    </w:p>
    <w:p>
      <w:pPr>
        <w:pStyle w:val="null3"/>
      </w:pPr>
      <w:r>
        <w:rPr>
          <w:rFonts w:ascii="仿宋_GB2312" w:hAnsi="仿宋_GB2312" w:cs="仿宋_GB2312" w:eastAsia="仿宋_GB2312"/>
        </w:rPr>
        <w:t>地址：西安曲江新区翠华路500号佳和中心B座26层3号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根据采购人要求在丝绸之路国际博览会搭建</w:t>
      </w:r>
      <w:r>
        <w:rPr>
          <w:rFonts w:ascii="仿宋_GB2312" w:hAnsi="仿宋_GB2312" w:cs="仿宋_GB2312" w:eastAsia="仿宋_GB2312"/>
          <w:sz w:val="21"/>
        </w:rPr>
        <w:t>特装展台</w:t>
      </w:r>
      <w:r>
        <w:rPr>
          <w:rFonts w:ascii="仿宋_GB2312" w:hAnsi="仿宋_GB2312" w:cs="仿宋_GB2312" w:eastAsia="仿宋_GB2312"/>
          <w:sz w:val="21"/>
        </w:rPr>
        <w:t>，陈列超过</w:t>
      </w:r>
      <w:r>
        <w:rPr>
          <w:rFonts w:ascii="仿宋_GB2312" w:hAnsi="仿宋_GB2312" w:cs="仿宋_GB2312" w:eastAsia="仿宋_GB2312"/>
          <w:sz w:val="21"/>
        </w:rPr>
        <w:t>100余种好粮油产品。</w:t>
      </w:r>
      <w:r>
        <w:rPr>
          <w:rFonts w:ascii="仿宋_GB2312" w:hAnsi="仿宋_GB2312" w:cs="仿宋_GB2312" w:eastAsia="仿宋_GB2312"/>
          <w:sz w:val="21"/>
        </w:rPr>
        <w:t>陈列展示含</w:t>
      </w:r>
      <w:r>
        <w:rPr>
          <w:rFonts w:ascii="仿宋_GB2312" w:hAnsi="仿宋_GB2312" w:cs="仿宋_GB2312" w:eastAsia="仿宋_GB2312"/>
          <w:sz w:val="21"/>
        </w:rPr>
        <w:t>“陕西好粮油”产品、粮油精深加工产品等展品，通过造型、文字等宣传陕西好粮油特</w:t>
      </w:r>
      <w:r>
        <w:rPr>
          <w:rFonts w:ascii="仿宋_GB2312" w:hAnsi="仿宋_GB2312" w:cs="仿宋_GB2312" w:eastAsia="仿宋_GB2312"/>
          <w:sz w:val="21"/>
        </w:rPr>
        <w:t>色。</w:t>
      </w:r>
      <w:r>
        <w:rPr>
          <w:rFonts w:ascii="仿宋_GB2312" w:hAnsi="仿宋_GB2312" w:cs="仿宋_GB2312" w:eastAsia="仿宋_GB2312"/>
          <w:sz w:val="21"/>
        </w:rPr>
        <w:t>包括但不限于展台的图纸设计，搭建材料的购买、加工、运输，展台造型的拼装，场馆内水电开支</w:t>
      </w:r>
      <w:r>
        <w:rPr>
          <w:rFonts w:ascii="仿宋_GB2312" w:hAnsi="仿宋_GB2312" w:cs="仿宋_GB2312" w:eastAsia="仿宋_GB2312"/>
          <w:sz w:val="21"/>
        </w:rPr>
        <w:t>等</w:t>
      </w:r>
      <w:r>
        <w:rPr>
          <w:rFonts w:ascii="仿宋_GB2312" w:hAnsi="仿宋_GB2312" w:cs="仿宋_GB2312" w:eastAsia="仿宋_GB2312"/>
          <w:sz w:val="21"/>
        </w:rPr>
        <w:t>展台运营，撤展时展台的拆除及清运等相关展出服务及布展、展览或撤展时临时增加的项目服务。参展展品搜集、运输及未尽事宜的服务。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陕西好粮油参加丝绸之路国际博览会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标的名称：陕西好粮油参加丝绸之路国际博览会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6"/>
                <w:b/>
              </w:rPr>
              <w:t>一、服务内容</w:t>
            </w:r>
          </w:p>
          <w:p>
            <w:pPr>
              <w:pStyle w:val="null3"/>
              <w:ind w:firstLine="640"/>
              <w:jc w:val="both"/>
            </w:pPr>
            <w:r>
              <w:rPr>
                <w:rFonts w:ascii="仿宋_GB2312" w:hAnsi="仿宋_GB2312" w:cs="仿宋_GB2312" w:eastAsia="仿宋_GB2312"/>
                <w:sz w:val="16"/>
              </w:rPr>
              <w:t>根据采购人要求在丝绸之路国际博览会搭建特装展台，陈列超过100余种好粮油产品。陈列展示含“陕西好粮油”产品、粮油精深加工产品等展品，通过造型、文字等宣传陕西好粮油特色</w:t>
            </w:r>
            <w:r>
              <w:rPr>
                <w:rFonts w:ascii="仿宋_GB2312" w:hAnsi="仿宋_GB2312" w:cs="仿宋_GB2312" w:eastAsia="仿宋_GB2312"/>
                <w:sz w:val="16"/>
              </w:rPr>
              <w:t>。包括但不限于展台的图纸设计，搭建材料的购买、加工、运输，展台造型的拼装，场馆内水电开支</w:t>
            </w:r>
            <w:r>
              <w:rPr>
                <w:rFonts w:ascii="仿宋_GB2312" w:hAnsi="仿宋_GB2312" w:cs="仿宋_GB2312" w:eastAsia="仿宋_GB2312"/>
                <w:sz w:val="16"/>
              </w:rPr>
              <w:t>等</w:t>
            </w:r>
            <w:r>
              <w:rPr>
                <w:rFonts w:ascii="仿宋_GB2312" w:hAnsi="仿宋_GB2312" w:cs="仿宋_GB2312" w:eastAsia="仿宋_GB2312"/>
                <w:sz w:val="16"/>
              </w:rPr>
              <w:t>展台运营，撤展时展台的拆除及清运等相关展出服务及布展、展览或撤展时临时增加的项目服务。参展展品搜集、运输及未尽事宜的服务。</w:t>
            </w:r>
          </w:p>
          <w:p>
            <w:pPr>
              <w:pStyle w:val="null3"/>
              <w:ind w:firstLine="643"/>
              <w:jc w:val="both"/>
            </w:pPr>
            <w:r>
              <w:rPr>
                <w:rFonts w:ascii="仿宋_GB2312" w:hAnsi="仿宋_GB2312" w:cs="仿宋_GB2312" w:eastAsia="仿宋_GB2312"/>
                <w:sz w:val="16"/>
                <w:b/>
              </w:rPr>
              <w:t>二、服务期：</w:t>
            </w:r>
            <w:r>
              <w:rPr>
                <w:rFonts w:ascii="仿宋_GB2312" w:hAnsi="仿宋_GB2312" w:cs="仿宋_GB2312" w:eastAsia="仿宋_GB2312"/>
                <w:sz w:val="16"/>
                <w:b/>
              </w:rPr>
              <w:t>2026年12月底前完成</w:t>
            </w:r>
          </w:p>
          <w:p>
            <w:pPr>
              <w:pStyle w:val="null3"/>
              <w:ind w:firstLine="643"/>
              <w:jc w:val="both"/>
            </w:pPr>
            <w:r>
              <w:rPr>
                <w:rFonts w:ascii="仿宋_GB2312" w:hAnsi="仿宋_GB2312" w:cs="仿宋_GB2312" w:eastAsia="仿宋_GB2312"/>
                <w:sz w:val="16"/>
                <w:b/>
              </w:rPr>
              <w:t>三、付款方式：</w:t>
            </w:r>
            <w:r>
              <w:rPr>
                <w:rFonts w:ascii="仿宋_GB2312" w:hAnsi="仿宋_GB2312" w:cs="仿宋_GB2312" w:eastAsia="仿宋_GB2312"/>
                <w:sz w:val="16"/>
              </w:rPr>
              <w:t>合同签订后支付合同总金额</w:t>
            </w:r>
            <w:r>
              <w:rPr>
                <w:rFonts w:ascii="仿宋_GB2312" w:hAnsi="仿宋_GB2312" w:cs="仿宋_GB2312" w:eastAsia="仿宋_GB2312"/>
                <w:sz w:val="16"/>
              </w:rPr>
              <w:t>6</w:t>
            </w:r>
            <w:r>
              <w:rPr>
                <w:rFonts w:ascii="仿宋_GB2312" w:hAnsi="仿宋_GB2312" w:cs="仿宋_GB2312" w:eastAsia="仿宋_GB2312"/>
                <w:sz w:val="16"/>
              </w:rPr>
              <w:t>0%，执行结束且验收合格后付剩余</w:t>
            </w:r>
            <w:r>
              <w:rPr>
                <w:rFonts w:ascii="仿宋_GB2312" w:hAnsi="仿宋_GB2312" w:cs="仿宋_GB2312" w:eastAsia="仿宋_GB2312"/>
                <w:sz w:val="16"/>
              </w:rPr>
              <w:t>4</w:t>
            </w:r>
            <w:r>
              <w:rPr>
                <w:rFonts w:ascii="仿宋_GB2312" w:hAnsi="仿宋_GB2312" w:cs="仿宋_GB2312" w:eastAsia="仿宋_GB2312"/>
                <w:sz w:val="16"/>
              </w:rPr>
              <w:t>0%。</w:t>
            </w:r>
          </w:p>
          <w:p>
            <w:pPr>
              <w:pStyle w:val="null3"/>
              <w:ind w:firstLine="64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针对本项目投入专业服务团队，组织结构合理，人员分工明确。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自合同生效之日起至合同全部权利义务履行完毕之日止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合同条款前附表指定地点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(一)合同文本、合同附件、招标文件、响应文件。(二)乙方提交的结案报告。(三)国内相应的标准、规范。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执行结束且验收合格后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1.服务缺陷的补救措施和索赔 (1)如果乙方提供的服务不符合本合同约定以及磋商 文件、响应文件关于服务的要求和承诺，乙方应按照甲方同意的下列一种或几种方式结合起来解决索赔事宜： ①乙方同意将 服务款项目退还给甲方，由此发生的一切费用和损失由乙方承担。如甲方以适当的条件和方法购买与未履约标的相类似的服 务，乙方应负担新购买类似服务所超出的费用。 ②根据服务的质量状况以及甲方所遭受的损失，经过甲乙双方商定降低服务 的价格，协商不成的，以甲方确认的服务价格为准。 (2)如果在甲方发出索赔通知后10日内乙方未作答复，上述索赔应视为已 被乙方接受。如果乙方未能在甲方发出索赔通知后10日内或甲方同意延长的期限内，按照上述规定的任何一种方法采取补救 措施，甲方有权从应付服务款中扣除索赔金额或者要求提供履约保函的银行进行赔付，如不足以弥补甲方损失的，甲方有权进 一步要求乙方赔偿。 2.迟延履约的违约责任 (1)乙方应按照本合同规定的时间、地点提供服务。 (2)在履行合同过程中，如果 乙方遇到可能妨碍按时提供服务的情形时，应及时以书面形式将迟延的事实、可能迟延的期限和理由通知甲方。甲方在收到乙 方通知后，应尽快对情况进行评价，并确定是否同意延期提供服务。 (3)除甲乙双方另有约定外，如果乙方没有按照合同规定 的时间提供服务，且没有在甲方同意的延长的期限内进行补救时，甲方有权从服务款中扣除、或要求乙方另行支付误期赔偿费 而不影响合同项下的其他补救方法。赔偿费每日按合同金额的0.5%计收，直至交货或提供服务为止。但误期赔偿费的最高限 额不超过合同价的15%。 (4)如果乙方延迟履约超过30日，甲方有权终止全部或部分合同，并依其认为适当的条件和方法购买与未履约类似的服务，乙方应负担购买类似服务所超出的费用。但是，乙方应继续执行合同中未终止的部分。 3.未履行合 同义务的违约责任 (1)守约方有权终止全部或部分合同。 (2)由违约一方支付违约金，违约金标准见合同条款前附表。 (3)违约金不足以弥补守约方实际损失、可预见或者应当预见的损失，由违约方全额予以赔偿。 4.不可抗力 （1）如果合同双方因不可抗力而导致合同实施延误或合同无法实施，不应该承担误期赔偿或不能履行合同义务的责任。 （2）本条所述的“不可抗力”系指那些双方不可预见、不可避免、不可克服的客观情况，但不包括双方的违约或疏忽。这些事件包括但不限于：战争、严重火灾、洪水、台风、地震等。 （3）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时间内达成进一步履行 的协议。 5.合同纠纷的解决方式 （1）合同各方应通过友好协商，解决在执行合同过程中所发生的或与合同有关的一切争端。如协商30日内(根据实际情况设定)不能解决，可以按合同规定的方式提起诉讼。 （2）诉讼应由甲方住所地人民法院管辖。财产保全担保保险费、财产保全申请费、律师代理费、差旅费、评估费、鉴定费诉讼费等与仲裁或诉讼活动相关费用应由败诉方负担。 （3）如诉讼事项不影响合同其他部分的履行，则在诉讼期间，除正在进行诉讼的部分外，合同的其他部分应继续执行。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试点应用工作，供应商需要在线提交所有通过电子化交易平台实施的政府采购项目的投标文件。同时，线下提交纸质投标文件正本壹份、副本贰份，电子版本贰份(以U盘形式提供，文件格式包含word 或pdf格式)。若电子投标文件与纸质投标文件不一致的，以电子投标文件为准；若正本和副本不符。以正本为准。投标文件正本和副本分别各自装订成册密封（电子版同正本一起密封）。在封口处加盖供应商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具有独立承担民事责任能力的法人、其他组织或自然人，提供合法有效的营业执照/事业单位法人证书/专业服务机构执业许可证/民办非企业单位登记证书等相关证明，自然人参与的提供其身份证明；</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提供2024年度的财务审计报告或开户银行出具的资信证明；</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开标前六个月内至少三个月的纳税凭证/证明，依法免税的应提供相关证明材料；</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开标前六个月内至少三个月的社会保障资金缴纳凭证/证明，依法不需要缴纳的应提供相关证明材料；</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提供具有履行本合同所必需的设备和专业技术能力的说明或承诺书；</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本项目专门面向中小企业；</w:t>
            </w:r>
          </w:p>
        </w:tc>
        <w:tc>
          <w:tcPr>
            <w:tcW w:type="dxa" w:w="1661"/>
          </w:tcPr>
          <w:p>
            <w:pPr>
              <w:pStyle w:val="null3"/>
            </w:pPr>
            <w:r>
              <w:rPr>
                <w:rFonts w:ascii="仿宋_GB2312" w:hAnsi="仿宋_GB2312" w:cs="仿宋_GB2312" w:eastAsia="仿宋_GB2312"/>
              </w:rPr>
              <w:t>响应文件封面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响应文件签字盖章、格式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服务方案及业绩.docx 供应商认为有必要补充说明的事项.docx 标的清单 报价表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服务周期的响应</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服务方案对关键条款的响应</w:t>
            </w:r>
          </w:p>
        </w:tc>
        <w:tc>
          <w:tcPr>
            <w:tcW w:type="dxa" w:w="3322"/>
          </w:tcPr>
          <w:p>
            <w:pPr>
              <w:pStyle w:val="null3"/>
            </w:pPr>
            <w:r>
              <w:rPr>
                <w:rFonts w:ascii="仿宋_GB2312" w:hAnsi="仿宋_GB2312" w:cs="仿宋_GB2312" w:eastAsia="仿宋_GB2312"/>
              </w:rPr>
              <w:t>无缺漏项</w:t>
            </w:r>
          </w:p>
        </w:tc>
        <w:tc>
          <w:tcPr>
            <w:tcW w:type="dxa" w:w="1661"/>
          </w:tcPr>
          <w:p>
            <w:pPr>
              <w:pStyle w:val="null3"/>
            </w:pPr>
            <w:r>
              <w:rPr>
                <w:rFonts w:ascii="仿宋_GB2312" w:hAnsi="仿宋_GB2312" w:cs="仿宋_GB2312" w:eastAsia="仿宋_GB2312"/>
              </w:rPr>
              <w:t>响应文件封面 服务方案及业绩.docx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满足磋商文件的要求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服务方案及业绩.docx 供应商认为有必要补充说明的事项.docx 标的清单 报价表 供应商资格证明文件.docx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供应商针对本项目提供详细的项目理解，包括：①陕西好粮油品牌定位及品牌宣传核心需求；②服务需求细节的掌握；③陕西好粮油品牌展示核心诉求的认知；根据各供应商响应优劣程度进行赋分。以上方案每缺一项扣3分；每有1处描述缺陷要求扣1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供应商针对本项目提供详细的实施计划，包括：①制定从设计定稿、报审、制作完整时间表，明确各节点截止时间及责任人，预留应急缓冲时间；②配备项目负责人、设计团队、现场服务人员，人员配备齐全、从业经验丰富，明确各岗位职责分工；③针对设计变更、延期、设备故障、物料损坏等突发情况，制定具体应急措施及预案，明确应急响应流程和责任人员；根据各供应商响应优劣程度进行赋分。以上方案每缺一项扣5分；每有1处描述缺陷要求扣2.5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供应商针对本项目提供详细的实施方案，包括：① 宣传的策划；②质量保障科学合理；③安全保障；④现场配置的完备性；⑤宣传推广成果保障；⑥对本次服务所提交的预期成果是否全面；⑦结合本项目提出合理化建议；根据各供应商响应优劣程度进行赋分。以上方案每缺一项扣5分；每有1处描述缺陷要求扣2.5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重难点分析</w:t>
            </w:r>
          </w:p>
        </w:tc>
        <w:tc>
          <w:tcPr>
            <w:tcW w:type="dxa" w:w="2492"/>
          </w:tcPr>
          <w:p>
            <w:pPr>
              <w:pStyle w:val="null3"/>
            </w:pPr>
            <w:r>
              <w:rPr>
                <w:rFonts w:ascii="仿宋_GB2312" w:hAnsi="仿宋_GB2312" w:cs="仿宋_GB2312" w:eastAsia="仿宋_GB2312"/>
              </w:rPr>
              <w:t>供应商针对本项目实施难点、重点分析，包括：①重难点识别的准确性；②针对识别的重难点，制定具体、可操作的解决措施；根据各供应商响应优劣程度进行赋分。 以上方案每缺一项扣3分；每有1处描述缺陷要求扣1分，扣完为止。缺陷是指:内容粗略不够全面、不够合理、可行性不足或缺少关键点；非专门针对本项目或不适用本项目特性、套用其他项目内容；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供应商资格证明文件.docx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供应商针对服务期限、质量、人员到位情况、服务响应时间、 后期服务，这五项做出实质性承诺，根据各供应商响应优劣程度进行赋分。以上方案每缺一项扣2分；每有1处描述缺陷要求扣1分，扣完为止。缺陷是指:内容粗略不够全面、不够合理、可行性不足或缺少关键点；非专门针对本项目或不适用本项目特性、套用其他项目内容； 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供应商提供2022年1月1日至今（中标通知书或合同签订时间为准）同类项目业绩，响应文件中附有完整合同或中标通知书作为业绩证明资料，每提供一个业绩证明计2.5分，满分10分。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服务方案及业绩.docx</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满足磋商文件要求且投标价格最低的投标报价为评标基准价，其价格分为满分 。其他投标供应商的价格分统一按照下列公式计算：投标报价得分=（评标基准 价/投标报价）×价格权值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详见附件：服务方案及业绩.docx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