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版本号：ZTZLZC-XA2025-122220251225001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陕西好粮油宣传片制作与媒体推广</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ZTZLZC-XA2025-1222</w:t>
      </w:r>
      <w:r>
        <w:br/>
      </w:r>
      <w:r>
        <w:br/>
      </w:r>
      <w:r>
        <w:br/>
      </w:r>
    </w:p>
    <w:p>
      <w:pPr>
        <w:pStyle w:val="null3"/>
        <w:jc w:val="center"/>
        <w:outlineLvl w:val="2"/>
      </w:pPr>
      <w:r>
        <w:rPr>
          <w:rFonts w:ascii="仿宋_GB2312" w:hAnsi="仿宋_GB2312" w:cs="仿宋_GB2312" w:eastAsia="仿宋_GB2312"/>
          <w:sz w:val="28"/>
          <w:b/>
        </w:rPr>
        <w:t>陕西省粮食和物资储备局</w:t>
      </w:r>
    </w:p>
    <w:p>
      <w:pPr>
        <w:pStyle w:val="null3"/>
        <w:jc w:val="center"/>
        <w:outlineLvl w:val="2"/>
      </w:pPr>
      <w:r>
        <w:rPr>
          <w:rFonts w:ascii="仿宋_GB2312" w:hAnsi="仿宋_GB2312" w:cs="仿宋_GB2312" w:eastAsia="仿宋_GB2312"/>
          <w:sz w:val="28"/>
          <w:b/>
        </w:rPr>
        <w:t>陕西中天正略企业运营发展有限公司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陕西中天正略企业运营发展有限公司</w:t>
      </w:r>
      <w:r>
        <w:rPr>
          <w:rFonts w:ascii="仿宋_GB2312" w:hAnsi="仿宋_GB2312" w:cs="仿宋_GB2312" w:eastAsia="仿宋_GB2312"/>
        </w:rPr>
        <w:t>（以下简称“代理机构”）受</w:t>
      </w:r>
      <w:r>
        <w:rPr>
          <w:rFonts w:ascii="仿宋_GB2312" w:hAnsi="仿宋_GB2312" w:cs="仿宋_GB2312" w:eastAsia="仿宋_GB2312"/>
        </w:rPr>
        <w:t>陕西省粮食和物资储备局</w:t>
      </w:r>
      <w:r>
        <w:rPr>
          <w:rFonts w:ascii="仿宋_GB2312" w:hAnsi="仿宋_GB2312" w:cs="仿宋_GB2312" w:eastAsia="仿宋_GB2312"/>
        </w:rPr>
        <w:t>委托，拟对</w:t>
      </w:r>
      <w:r>
        <w:rPr>
          <w:rFonts w:ascii="仿宋_GB2312" w:hAnsi="仿宋_GB2312" w:cs="仿宋_GB2312" w:eastAsia="仿宋_GB2312"/>
        </w:rPr>
        <w:t>陕西好粮油宣传片制作与媒体推广</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ZTZLZC-XA2025-1222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陕西好粮油宣传片制作与媒体推广</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制作宣传片全方位展现“陕西好粮油”及区域品牌的优良品质、鲜明地域特色与精湛生产技艺，生动传递品牌背后的文化底蕴与匠心精神；通过系统策划、统筹实施省级媒体宣传、品牌活动记录与宣传片制作等工作，进一步扩大“陕西好粮油”品牌知晓度、美誉度和市场影响力，塑造陕西粮油产业新形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采购包1（陕西好粮油宣传片制作与媒体推广）：属于专门面向中小企业采购。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2、授权委托书：法定代表人直接参加投标，须出具法定代表人身份证明；法定代表人授权代表参加投标，须出具法定代表人授权书；</w:t>
      </w:r>
    </w:p>
    <w:p>
      <w:pPr>
        <w:pStyle w:val="null3"/>
      </w:pPr>
      <w:r>
        <w:rPr>
          <w:rFonts w:ascii="仿宋_GB2312" w:hAnsi="仿宋_GB2312" w:cs="仿宋_GB2312" w:eastAsia="仿宋_GB2312"/>
        </w:rPr>
        <w:t>3、财务状况报告：提供2024年度的财务审计报告或开户银行出具的资信证明；</w:t>
      </w:r>
    </w:p>
    <w:p>
      <w:pPr>
        <w:pStyle w:val="null3"/>
      </w:pPr>
      <w:r>
        <w:rPr>
          <w:rFonts w:ascii="仿宋_GB2312" w:hAnsi="仿宋_GB2312" w:cs="仿宋_GB2312" w:eastAsia="仿宋_GB2312"/>
        </w:rPr>
        <w:t>4、税收缴纳证明：开标前六个月内至少三个月的纳税凭证/证明，依法免税的应提供相关证明材料；</w:t>
      </w:r>
    </w:p>
    <w:p>
      <w:pPr>
        <w:pStyle w:val="null3"/>
      </w:pPr>
      <w:r>
        <w:rPr>
          <w:rFonts w:ascii="仿宋_GB2312" w:hAnsi="仿宋_GB2312" w:cs="仿宋_GB2312" w:eastAsia="仿宋_GB2312"/>
        </w:rPr>
        <w:t>5、社会保障资金缴纳证明：开标前六个月内至少三个月的社会保障资金缴纳凭证/证明，依法不需要缴纳的应提供相关证明材料；</w:t>
      </w:r>
    </w:p>
    <w:p>
      <w:pPr>
        <w:pStyle w:val="null3"/>
      </w:pPr>
      <w:r>
        <w:rPr>
          <w:rFonts w:ascii="仿宋_GB2312" w:hAnsi="仿宋_GB2312" w:cs="仿宋_GB2312" w:eastAsia="仿宋_GB2312"/>
        </w:rPr>
        <w:t>6、履约承诺：提供具有履行本合同所必需的设备和专业技术能力的说明或承诺书；</w:t>
      </w:r>
    </w:p>
    <w:p>
      <w:pPr>
        <w:pStyle w:val="null3"/>
      </w:pPr>
      <w:r>
        <w:rPr>
          <w:rFonts w:ascii="仿宋_GB2312" w:hAnsi="仿宋_GB2312" w:cs="仿宋_GB2312" w:eastAsia="仿宋_GB2312"/>
        </w:rPr>
        <w:t>7、书面声明：供应商应出具参加政府采购活动前3年内在经营活动中没有重大违法记录的书面声明；</w:t>
      </w:r>
    </w:p>
    <w:p>
      <w:pPr>
        <w:pStyle w:val="null3"/>
      </w:pPr>
      <w:r>
        <w:rPr>
          <w:rFonts w:ascii="仿宋_GB2312" w:hAnsi="仿宋_GB2312" w:cs="仿宋_GB2312" w:eastAsia="仿宋_GB2312"/>
        </w:rPr>
        <w:t>8、信用截图：供应商不得被列入“中国执行信息公开网”（http：//zxgk.court.gov.cn）失信被执行人，不得被列入“信用中国”网站（www.creditchina.gov.cn）重大税收违法失信主体，不得被列入“中国政府采购网”（www.ccgp.gov.cn）政府采购严重违法失信行为记录名单。</w:t>
      </w:r>
    </w:p>
    <w:p>
      <w:pPr>
        <w:pStyle w:val="null3"/>
      </w:pPr>
      <w:r>
        <w:rPr>
          <w:rFonts w:ascii="仿宋_GB2312" w:hAnsi="仿宋_GB2312" w:cs="仿宋_GB2312" w:eastAsia="仿宋_GB2312"/>
        </w:rPr>
        <w:t>9、中小企业：本项目专门面向中小企业</w:t>
      </w:r>
    </w:p>
    <w:p>
      <w:pPr>
        <w:pStyle w:val="null3"/>
      </w:pPr>
      <w:r>
        <w:rPr>
          <w:rFonts w:ascii="仿宋_GB2312" w:hAnsi="仿宋_GB2312" w:cs="仿宋_GB2312" w:eastAsia="仿宋_GB2312"/>
        </w:rPr>
        <w:t>10、不接受联合体：本项目不接受联合体投标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陕西省粮食和物资储备局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陕西省西安市莲湖路32号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陶老师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029-87276190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陕西中天正略企业运营发展有限公司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西安曲江新区翠华路500号佳和中心B座26层3号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翟工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029-89660303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发改价格[2011]534号文件及《国家发展改革委关于进一步放开建设项目专业服务价格的通知》（发改价格〔2015〕299号）文规定收取代理服务费。由成交人领取成交通知书时一次性支付完毕</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陕西省粮食和物资储备局</w:t>
      </w:r>
      <w:r>
        <w:rPr>
          <w:rFonts w:ascii="仿宋_GB2312" w:hAnsi="仿宋_GB2312" w:cs="仿宋_GB2312" w:eastAsia="仿宋_GB2312"/>
        </w:rPr>
        <w:t>和</w:t>
      </w:r>
      <w:r>
        <w:rPr>
          <w:rFonts w:ascii="仿宋_GB2312" w:hAnsi="仿宋_GB2312" w:cs="仿宋_GB2312" w:eastAsia="仿宋_GB2312"/>
        </w:rPr>
        <w:t>陕西中天正略企业运营发展有限公司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陕西省粮食和物资储备局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陕西中天正略企业运营发展有限公司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陕西省粮食和物资储备局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陕西中天正略企业运营发展有限公司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(一)合同文本、合同附件、招标文件、响应文件。(二)乙方提交的结案报告。(三)国内相应的标准、规范。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陕西中天正略企业运营发展有限公司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陕西中天正略企业运营发展有限公司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陕西中天正略企业运营发展有限公司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联系人：翟工</w:t>
      </w:r>
    </w:p>
    <w:p>
      <w:pPr>
        <w:pStyle w:val="null3"/>
      </w:pPr>
      <w:r>
        <w:rPr>
          <w:rFonts w:ascii="仿宋_GB2312" w:hAnsi="仿宋_GB2312" w:cs="仿宋_GB2312" w:eastAsia="仿宋_GB2312"/>
        </w:rPr>
        <w:t>联系电话：029-89660303</w:t>
      </w:r>
    </w:p>
    <w:p>
      <w:pPr>
        <w:pStyle w:val="null3"/>
      </w:pPr>
      <w:r>
        <w:rPr>
          <w:rFonts w:ascii="仿宋_GB2312" w:hAnsi="仿宋_GB2312" w:cs="仿宋_GB2312" w:eastAsia="仿宋_GB2312"/>
        </w:rPr>
        <w:t>地址：西安曲江新区翠华路500号佳和中心B座26层3号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制作宣传片全方位展现“陕西好粮油”及区域品牌的优良品质、鲜明地域特色与精湛生产技艺，生动传递品牌背后的文化底蕴与匠心精神；通过系统策划、统筹实施省级媒体宣传、品牌活动记录与宣传片制作等工作，进一步扩大“陕西好粮油”品牌知晓度、美誉度和市场影响力，塑造陕西粮油产业新形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陕西好粮油宣传片制作与媒体推广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标的名称：陕西好粮油宣传片制作与媒体推广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pPr>
            <w:r>
              <w:rPr>
                <w:rFonts w:ascii="仿宋_GB2312" w:hAnsi="仿宋_GB2312" w:cs="仿宋_GB2312" w:eastAsia="仿宋_GB2312"/>
                <w:sz w:val="24"/>
                <w:b/>
              </w:rPr>
              <w:t>一、服务内容：</w:t>
            </w:r>
          </w:p>
          <w:p>
            <w:pPr>
              <w:pStyle w:val="null3"/>
              <w:ind w:firstLine="482"/>
            </w:pPr>
            <w:r>
              <w:rPr>
                <w:rFonts w:ascii="仿宋_GB2312" w:hAnsi="仿宋_GB2312" w:cs="仿宋_GB2312" w:eastAsia="仿宋_GB2312"/>
                <w:sz w:val="24"/>
              </w:rPr>
              <w:t>1.</w:t>
            </w:r>
            <w:r>
              <w:rPr>
                <w:rFonts w:ascii="仿宋_GB2312" w:hAnsi="仿宋_GB2312" w:cs="仿宋_GB2312" w:eastAsia="仿宋_GB2312"/>
                <w:sz w:val="24"/>
              </w:rPr>
              <w:t>制作宣传片全方位展现</w:t>
            </w:r>
            <w:r>
              <w:rPr>
                <w:rFonts w:ascii="仿宋_GB2312" w:hAnsi="仿宋_GB2312" w:cs="仿宋_GB2312" w:eastAsia="仿宋_GB2312"/>
                <w:sz w:val="24"/>
              </w:rPr>
              <w:t>“陕西好粮油”及区域品牌的优良品质、鲜明地域特色与精湛生产技艺，生动传递品牌背后的文化底蕴与匠心精神；通过系统策划、统筹实施省级媒体宣传、品牌活动记录与宣传片制作等工作，进一步扩大“陕西好粮油”品牌知晓度、美誉度和市场影响力，塑造陕西粮油产业新形象。</w:t>
            </w:r>
          </w:p>
          <w:p>
            <w:pPr>
              <w:pStyle w:val="null3"/>
              <w:ind w:firstLine="482"/>
            </w:pPr>
            <w:r>
              <w:rPr>
                <w:rFonts w:ascii="仿宋_GB2312" w:hAnsi="仿宋_GB2312" w:cs="仿宋_GB2312" w:eastAsia="仿宋_GB2312"/>
                <w:sz w:val="24"/>
              </w:rPr>
              <w:t>2.</w:t>
            </w:r>
            <w:r>
              <w:rPr>
                <w:rFonts w:ascii="仿宋_GB2312" w:hAnsi="仿宋_GB2312" w:cs="仿宋_GB2312" w:eastAsia="仿宋_GB2312"/>
                <w:sz w:val="24"/>
              </w:rPr>
              <w:t>拍摄制作</w:t>
            </w:r>
            <w:r>
              <w:rPr>
                <w:rFonts w:ascii="仿宋_GB2312" w:hAnsi="仿宋_GB2312" w:cs="仿宋_GB2312" w:eastAsia="仿宋_GB2312"/>
                <w:sz w:val="24"/>
              </w:rPr>
              <w:t>“陕西好粮油”主品牌及区域子品牌主题宣传片，使用4K全画幅摄像设备进行录制，利用航拍器、稳定器、三脚架等多种辅助设备进行拍摄工作；</w:t>
            </w:r>
          </w:p>
          <w:p>
            <w:pPr>
              <w:pStyle w:val="null3"/>
              <w:ind w:firstLine="482"/>
            </w:pPr>
            <w:r>
              <w:rPr>
                <w:rFonts w:ascii="仿宋_GB2312" w:hAnsi="仿宋_GB2312" w:cs="仿宋_GB2312" w:eastAsia="仿宋_GB2312"/>
                <w:sz w:val="24"/>
              </w:rPr>
              <w:t>完成宣传片所涉及的后期特效包装工作，包括画面调色、转场特效、背景音乐、后期合成等工作；</w:t>
            </w:r>
          </w:p>
          <w:p>
            <w:pPr>
              <w:pStyle w:val="null3"/>
              <w:ind w:firstLine="482"/>
            </w:pPr>
            <w:r>
              <w:rPr>
                <w:rFonts w:ascii="仿宋_GB2312" w:hAnsi="仿宋_GB2312" w:cs="仿宋_GB2312" w:eastAsia="仿宋_GB2312"/>
                <w:sz w:val="24"/>
              </w:rPr>
              <w:t>视频规格及技术参数：拍摄素材格式主要为</w:t>
            </w:r>
            <w:r>
              <w:rPr>
                <w:rFonts w:ascii="仿宋_GB2312" w:hAnsi="仿宋_GB2312" w:cs="仿宋_GB2312" w:eastAsia="仿宋_GB2312"/>
                <w:sz w:val="24"/>
              </w:rPr>
              <w:t>mp4、mov格式，影片分辨率规格为1920*1080数字高清，时长约3—5分钟。</w:t>
            </w:r>
          </w:p>
          <w:p>
            <w:pPr>
              <w:pStyle w:val="null3"/>
              <w:ind w:firstLine="482"/>
            </w:pPr>
            <w:r>
              <w:rPr>
                <w:rFonts w:ascii="仿宋_GB2312" w:hAnsi="仿宋_GB2312" w:cs="仿宋_GB2312" w:eastAsia="仿宋_GB2312"/>
                <w:sz w:val="24"/>
                <w:b/>
              </w:rPr>
              <w:t>二、</w:t>
            </w:r>
            <w:r>
              <w:rPr>
                <w:rFonts w:ascii="仿宋_GB2312" w:hAnsi="仿宋_GB2312" w:cs="仿宋_GB2312" w:eastAsia="仿宋_GB2312"/>
                <w:sz w:val="24"/>
                <w:b/>
              </w:rPr>
              <w:t>服务期：</w:t>
            </w:r>
            <w:r>
              <w:rPr>
                <w:rFonts w:ascii="仿宋_GB2312" w:hAnsi="仿宋_GB2312" w:cs="仿宋_GB2312" w:eastAsia="仿宋_GB2312"/>
                <w:sz w:val="24"/>
                <w:b/>
              </w:rPr>
              <w:t>2026年12月底前完成</w:t>
            </w:r>
          </w:p>
          <w:p>
            <w:pPr>
              <w:pStyle w:val="null3"/>
              <w:ind w:firstLine="482"/>
            </w:pPr>
            <w:r>
              <w:rPr>
                <w:rFonts w:ascii="仿宋_GB2312" w:hAnsi="仿宋_GB2312" w:cs="仿宋_GB2312" w:eastAsia="仿宋_GB2312"/>
                <w:sz w:val="24"/>
                <w:b/>
              </w:rPr>
              <w:t>三、</w:t>
            </w:r>
            <w:r>
              <w:rPr>
                <w:rFonts w:ascii="仿宋_GB2312" w:hAnsi="仿宋_GB2312" w:cs="仿宋_GB2312" w:eastAsia="仿宋_GB2312"/>
                <w:sz w:val="24"/>
                <w:b/>
              </w:rPr>
              <w:t>付款方式：</w:t>
            </w:r>
          </w:p>
          <w:p>
            <w:pPr>
              <w:pStyle w:val="null3"/>
            </w:pPr>
            <w:r>
              <w:rPr>
                <w:rFonts w:ascii="仿宋_GB2312" w:hAnsi="仿宋_GB2312" w:cs="仿宋_GB2312" w:eastAsia="仿宋_GB2312"/>
                <w:sz w:val="21"/>
              </w:rPr>
              <w:t>合同签订后支付合同总金额</w:t>
            </w:r>
            <w:r>
              <w:rPr>
                <w:rFonts w:ascii="仿宋_GB2312" w:hAnsi="仿宋_GB2312" w:cs="仿宋_GB2312" w:eastAsia="仿宋_GB2312"/>
                <w:sz w:val="21"/>
              </w:rPr>
              <w:t>60%，执行结束且验收合格后付剩余40%。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针对本项目投入专业服务团队，组织结构合理，人员分工明确。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自合同生效之日起至合同全部权利义务履行完毕之日止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合同条款前附表指定地点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(一)合同文本、合同附件、招标文件、响应文件。(二)乙方提交的结案报告。(三)国内相应的标准、规范。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执行结束且验收合格后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1.服务缺陷的补救措施和索赔 (1)如果乙方提供的服务不符合本合同约定以及磋商文件、响应文件关于服务的要求和承诺，乙方应按照甲方同意的下列一种或几种方式结合起来解决索赔事宜： ①乙方同意将服务款项目退还给甲方，由此发生的一切费用和损失由乙方承担。如甲方以适当的条件和方法购买与未履约标的相类似的服务，乙方应负担新购买类似服务所超出的费用。 ②根据服务的质量状况以及甲方所遭受的损失，经过甲乙双方商定降低服务的价格，协商不成的，以甲方确认的服务价格为准。 (2)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要求提供履约保函的银行进行赔付，如不足以弥补甲方损失的，甲方有权进一步要求乙方赔偿。 2.迟延履约的违约责任 (1)乙方应按照本合同规定的时间、地点提供服务。 (2)在履行合同过程中，如果乙方遇到可能妨碍按时提供服务的情形时，应及时以书面形式将迟延的事实、可能迟延的期限和理由通知甲方。甲方在收到乙方通知后，应尽快对情况进行评价，并确定是否同意延期提供服务。 (3)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计收，直至交货或提供服务为止。但误期赔偿费的最高限额不超过合同价的15%。 (4)如果乙方延迟履约超过30日，甲方有权终止全部或部分合同，并依其认为适当的条件和方法购买与未履约类似的服务，乙方应负担购买类似服务所超出的费用。但是，乙方应继续执行合同中未终止的部分。 3.未履行合同义务的违约责任 (1)守约方有权终止全部或部分合同。 (2)由违约一方支付违约金，违约金标准见合同条款前附表。 (3)违约金不足以弥补守约方实际损失、可预见或者应当预见的损失，由违约方全额予以赔偿。 4.不可抗力 （1）如果合同双方因不可抗力而导致合同实施延误或合同无法实施，不应该承担误期赔偿或不能履行合同义务的责任。 （2）本条所述的“不可抗力”系指那些双方不可预见、不可避免、不可克服的客观情况，但不包括双方的违约或疏忽。这些事件包括但不限于：战争、严重火灾、洪水、台风、地震等。 （3）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时间内达成进一步履行的协议。 5.合同纠纷的解决方式 （1）合同各方应通过友好协商，解决在执行合同过程中所发生的或与合同有关的一切争端。如协商30日内(根据实际情况设定)不能解决，可以按合同规定的方式提起诉讼。 （2）诉讼应由甲方住所地人民法院管辖。财产保全担保保险费、财产保全申请费、律师代理费、差旅费、评估费、鉴定费诉讼费等与仲裁或诉讼活动相关费用应由败诉方负担。 （3）如诉讼事项不影响合同其他部分的履行，则在诉讼期间，除正在进行诉讼的部分外，合同的其他部分应继续执行。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投标文件。同时，线下提交纸质投标文件正本壹份、副本贰份，电子版本贰份(以U盘形式提供，文件格式包含word 或pdf格式)。若电子投标文件与纸质投标文件不一致的，以电子投标文件为准；若正本和副本不符。以正本为准。投标文件正本和副本分别各自装订成册密封（电子版同正本一起密封）。在封口处加盖供应商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供应商资格证明文件.docx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法定代表人直接参加投标，须出具法定代表人身份证明；法定代表人授权代表参加投标，须出具法定代表人授权书；</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提供2024年度的财务审计报告或开户银行出具的资信证明；</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开标前六个月内至少三个月的纳税凭证/证明，依法免税的应提供相关证明材料；</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开标前六个月内至少三个月的社会保障资金缴纳凭证/证明，依法不需要缴纳的应提供相关证明材料；</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提供具有履行本合同所必需的设备和专业技术能力的说明或承诺书；</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被列入“中国执行信息公开网”（http：//zxgk.court.gov.cn）失信被执行人，不得被列入“信用中国”网站（www.creditchina.gov.cn）重大税收违法失信主体，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响应文件封面 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响应文件签字盖章、格式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服务方案及业绩.docx 供应商认为有必要补充说明的事项.docx 标的清单 报价表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服务周期的响应</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服务方案对关键条款的响应</w:t>
            </w:r>
          </w:p>
        </w:tc>
        <w:tc>
          <w:tcPr>
            <w:tcW w:type="dxa" w:w="3322"/>
          </w:tcPr>
          <w:p>
            <w:pPr>
              <w:pStyle w:val="null3"/>
            </w:pPr>
            <w:r>
              <w:rPr>
                <w:rFonts w:ascii="仿宋_GB2312" w:hAnsi="仿宋_GB2312" w:cs="仿宋_GB2312" w:eastAsia="仿宋_GB2312"/>
              </w:rPr>
              <w:t>无缺漏项</w:t>
            </w:r>
          </w:p>
        </w:tc>
        <w:tc>
          <w:tcPr>
            <w:tcW w:type="dxa" w:w="1661"/>
          </w:tcPr>
          <w:p>
            <w:pPr>
              <w:pStyle w:val="null3"/>
            </w:pPr>
            <w:r>
              <w:rPr>
                <w:rFonts w:ascii="仿宋_GB2312" w:hAnsi="仿宋_GB2312" w:cs="仿宋_GB2312" w:eastAsia="仿宋_GB2312"/>
              </w:rPr>
              <w:t>响应文件封面 服务方案及业绩.docx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服务方案及业绩.docx 供应商认为有必要补充说明的事项.docx 标的清单 报价表 供应商资格证明文件.docx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针对本项目提供详细的项目理解，包括：①陕西好粮油品牌定位及品牌宣传片核心需求；②服务需求细节的掌握；③陕西好粮油品牌展示核心诉求的认知；根据各供应商响应优劣程度进行赋分。以上方案每缺一项扣3分；每有1处描述缺陷要求扣1分，扣完为止。 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服务方案及业绩.docx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供应商针对本项目提供详细的实施计划，包括：①制定从设计定稿、报审、制作完整时间表，明确各节点截止时间及责任人，预留应急缓冲时间；②配备项目负责人、设计团队、现场服务人员，人员配备齐全、从业经验丰富，明确各岗位职责分工；③针对设计变更、延期、设备故障、物料损坏等突发情况，制定具体应急措施及预案，明确应急响应流程和责任人员；根据各供应商响应优劣程度进行赋分。以上方案每缺一项扣5分；每有1处描述缺陷要求扣2.5分，扣完为止。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服务方案及业绩.docx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供应商针对本项目提供详细的实施方案，包括：① 宣传片的策划；②质量保障科学合理；③安全保障；④现场配置的完备性；⑤宣传推广成果保障（明确短视频、照片、新闻稿的制作标准及交付时间，制定媒体转载推广计划，确保达成实施目标；⑥对本次服务所提交的预期成果是否全面；⑦结合本项目提出合理化建议；根据各供应商响应优劣程度进行赋分。以上方案每缺一项扣5分；每有1处描述缺陷要求扣2.5分，扣完为止。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服务方案及业绩.docx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供应商针对本项目实施难点、重点分析，包括：①重难点识别的准确性；②针对识别的重难点，制定具体、可操作的解决措施；根据各供应商响应优劣程度进行赋分。 以上方案每缺一项扣3分；每有1处描述缺陷要求扣1分，扣完为止。缺陷是指:内容粗略不够全面、不够合理、可行性不足或缺少关键点；非专门针对本项目或不适用本项目特性、套用其他项目内容；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服务方案及业绩.docx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供应商针对服务期限、质量、人员到位情况、服务响应时间、 后期服务，这五项做出实质性承诺，根据各供应商响应优劣程度进行赋分。以上方案每缺一项扣2分；每有1处描述缺陷要求扣1分，扣完为止。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服务方案及业绩.docx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供应商提供2022年1月1日至今（中标通知书或合同签订时间为准）同类项目业绩，响应文件中附有完整合同或中标通知书作为业绩证明资料，每提供一个业绩证明计2.5分，满分10分。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服务方案及业绩.docx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满足磋商文件要求且投标价格最低的投标报价为评标基准价，其价格分为满分。其他投标供应商的价格分统一按照下列公式计算：投标报价得分=（评标基准价/投标报价）×价格权值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详见附件：服务方案及业绩.docx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