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版本号：SXLX25-02-124Z(F)20251225001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陕西省司法厅《法治建设大家谈》项目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SXLX25-02-124Z(F)</w:t>
      </w:r>
      <w:r>
        <w:br/>
      </w:r>
      <w:r>
        <w:br/>
      </w:r>
      <w:r>
        <w:br/>
      </w:r>
    </w:p>
    <w:p>
      <w:pPr>
        <w:pStyle w:val="null3"/>
        <w:jc w:val="center"/>
        <w:outlineLvl w:val="5"/>
      </w:pPr>
      <w:r>
        <w:rPr>
          <w:rFonts w:ascii="仿宋_GB2312" w:hAnsi="仿宋_GB2312" w:cs="仿宋_GB2312" w:eastAsia="仿宋_GB2312"/>
          <w:sz w:val="15"/>
          <w:b/>
        </w:rPr>
        <w:t>省司法厅机关</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陕西省司法厅《法治建设大家谈》项目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SXLX25-02-124Z(F)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陕西省司法厅《法治建设大家谈》项目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本项目为陕西省司法厅《法治建设大家谈》项目，为集中展示法治陕西建设的理论探索及成功实践，拟推出融媒体访谈节目《法治建设大家谈》，访谈节目在陕西卫视、融媒体矩阵平台进行播放。</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采购包1：499,400.00元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采购包1：499,400.00元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代理服务费收费标准：采购代理服务费依据《国家发展改革委关于进一步放开建设项目专业服务价格的通知》（发改价格〔2015〕299号）文件规定标准计算收取10000元整。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本项目为陕西省司法厅《法治建设大家谈》项目，为集中展示法治陕西建设的理论探索及成功实践，拟推出融媒体访谈节目《法治建设大家谈》，访谈节目在陕西卫视、融媒体矩阵平台进行播放。 本项目所属行业为其他未列明行业。（从业人员300人以下的为中小微型企业。其中，从业人员100人及以上的为中型企业；从业人员10人及以上的为小型企业；从业人员10人以下的为微型企业。）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499,400.00</w:t>
      </w:r>
    </w:p>
    <w:p>
      <w:pPr>
        <w:pStyle w:val="null3"/>
      </w:pPr>
      <w:r>
        <w:rPr>
          <w:rFonts w:ascii="仿宋_GB2312" w:hAnsi="仿宋_GB2312" w:cs="仿宋_GB2312" w:eastAsia="仿宋_GB2312"/>
        </w:rPr>
        <w:t>采购包最高限价（元）: 499,400.00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法治建设大家谈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标的名称：法治建设大家谈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一、采购内容</w:t>
            </w:r>
          </w:p>
          <w:p>
            <w:pPr>
              <w:pStyle w:val="null3"/>
              <w:ind w:firstLine="420"/>
              <w:jc w:val="left"/>
            </w:pPr>
            <w:r>
              <w:rPr>
                <w:rFonts w:ascii="仿宋_GB2312" w:hAnsi="仿宋_GB2312" w:cs="仿宋_GB2312" w:eastAsia="仿宋_GB2312"/>
                <w:sz w:val="21"/>
                <w:color w:val="000000"/>
              </w:rPr>
              <w:t>1.能够准确把</w:t>
            </w:r>
            <w:r>
              <w:rPr>
                <w:rFonts w:ascii="仿宋_GB2312" w:hAnsi="仿宋_GB2312" w:cs="仿宋_GB2312" w:eastAsia="仿宋_GB2312"/>
                <w:sz w:val="21"/>
                <w:color w:val="000000"/>
              </w:rPr>
              <w:t>握节目主题</w:t>
            </w:r>
            <w:r>
              <w:rPr>
                <w:rFonts w:ascii="仿宋_GB2312" w:hAnsi="仿宋_GB2312" w:cs="仿宋_GB2312" w:eastAsia="仿宋_GB2312"/>
                <w:sz w:val="21"/>
                <w:color w:val="000000"/>
              </w:rPr>
              <w:t>，能够组织科学高效的拍摄、制作和播出团队，拥有较为丰富的相关经验，具有</w:t>
            </w:r>
            <w:r>
              <w:rPr>
                <w:rFonts w:ascii="仿宋_GB2312" w:hAnsi="仿宋_GB2312" w:cs="仿宋_GB2312" w:eastAsia="仿宋_GB2312"/>
                <w:sz w:val="21"/>
                <w:color w:val="000000"/>
              </w:rPr>
              <w:t>陕西卫视及融媒体矩阵平台</w:t>
            </w:r>
            <w:r>
              <w:rPr>
                <w:rFonts w:ascii="仿宋_GB2312" w:hAnsi="仿宋_GB2312" w:cs="仿宋_GB2312" w:eastAsia="仿宋_GB2312"/>
                <w:sz w:val="21"/>
                <w:color w:val="000000"/>
              </w:rPr>
              <w:t>资源，能够确保节目在</w:t>
            </w:r>
            <w:r>
              <w:rPr>
                <w:rFonts w:ascii="仿宋_GB2312" w:hAnsi="仿宋_GB2312" w:cs="仿宋_GB2312" w:eastAsia="仿宋_GB2312"/>
                <w:sz w:val="21"/>
                <w:color w:val="000000"/>
              </w:rPr>
              <w:t>陕西卫视、融媒体矩阵平台播放</w:t>
            </w:r>
            <w:r>
              <w:rPr>
                <w:rFonts w:ascii="仿宋_GB2312" w:hAnsi="仿宋_GB2312" w:cs="仿宋_GB2312" w:eastAsia="仿宋_GB2312"/>
                <w:sz w:val="21"/>
                <w:color w:val="000000"/>
              </w:rPr>
              <w:t>，使此项活动在全省范围内形成一定影响力和宣传效果。</w:t>
            </w:r>
          </w:p>
          <w:p>
            <w:pPr>
              <w:pStyle w:val="null3"/>
              <w:ind w:firstLine="420"/>
              <w:jc w:val="left"/>
            </w:pPr>
            <w:r>
              <w:rPr>
                <w:rFonts w:ascii="仿宋_GB2312" w:hAnsi="仿宋_GB2312" w:cs="仿宋_GB2312" w:eastAsia="仿宋_GB2312"/>
                <w:sz w:val="21"/>
                <w:color w:val="000000"/>
              </w:rPr>
              <w:t>2.节目内容紧密围绕</w:t>
            </w:r>
            <w:r>
              <w:rPr>
                <w:rFonts w:ascii="仿宋_GB2312" w:hAnsi="仿宋_GB2312" w:cs="仿宋_GB2312" w:eastAsia="仿宋_GB2312"/>
                <w:sz w:val="21"/>
                <w:color w:val="000000"/>
              </w:rPr>
              <w:t>学习宣传法治思想这一主题，集中展示法治陕西建设的理论探索及成功实践，叙事流畅，讨论深入，客观平实，感染力强</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3.制作12期节目，每期节目时长20分钟。视频清晰度达到1920*1080，音频达到立体声48KHz/24bit，平均响度达到-24LKFS±2db，字幕准确。</w:t>
            </w:r>
          </w:p>
          <w:p>
            <w:pPr>
              <w:pStyle w:val="null3"/>
              <w:ind w:firstLine="420"/>
              <w:jc w:val="left"/>
            </w:pPr>
            <w:r>
              <w:rPr>
                <w:rFonts w:ascii="仿宋_GB2312" w:hAnsi="仿宋_GB2312" w:cs="仿宋_GB2312" w:eastAsia="仿宋_GB2312"/>
                <w:sz w:val="21"/>
                <w:color w:val="000000"/>
              </w:rPr>
              <w:t>4.节目制作完成并经采购人审核通过后，在</w:t>
            </w:r>
            <w:r>
              <w:rPr>
                <w:rFonts w:ascii="仿宋_GB2312" w:hAnsi="仿宋_GB2312" w:cs="仿宋_GB2312" w:eastAsia="仿宋_GB2312"/>
                <w:sz w:val="21"/>
                <w:color w:val="000000"/>
              </w:rPr>
              <w:t>陕西卫视、融媒体矩阵平台播放，每月播放</w:t>
            </w:r>
            <w:r>
              <w:rPr>
                <w:rFonts w:ascii="仿宋_GB2312" w:hAnsi="仿宋_GB2312" w:cs="仿宋_GB2312" w:eastAsia="仿宋_GB2312"/>
                <w:sz w:val="21"/>
                <w:color w:val="000000"/>
              </w:rPr>
              <w:t>2期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二、服务要求</w:t>
            </w:r>
          </w:p>
          <w:p>
            <w:pPr>
              <w:pStyle w:val="null3"/>
              <w:ind w:firstLine="360"/>
              <w:jc w:val="left"/>
            </w:pPr>
            <w:r>
              <w:rPr>
                <w:rFonts w:ascii="仿宋_GB2312" w:hAnsi="仿宋_GB2312" w:cs="仿宋_GB2312" w:eastAsia="仿宋_GB2312"/>
                <w:sz w:val="18"/>
                <w:color w:val="000000"/>
                <w:shd w:fill="FFFFFF" w:val="clear"/>
              </w:rPr>
              <w:t>1</w:t>
            </w:r>
            <w:r>
              <w:rPr>
                <w:rFonts w:ascii="仿宋_GB2312" w:hAnsi="仿宋_GB2312" w:cs="仿宋_GB2312" w:eastAsia="仿宋_GB2312"/>
                <w:sz w:val="21"/>
                <w:color w:val="000000"/>
              </w:rPr>
              <w:t>.内容创作要求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1）合法性与准确性：节目内容必须严格遵守法律法规，确保所传播的法律知识、案例分析等信息准确无误，不得出现误导性或错误的法律解读。</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2）主题针对性：围绕特定的法治主题展开，或结合社会热点事件、民生问题进行“以案释法”，使观众能够清晰了解相关法律知识及其应用。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3）通俗易懂性：采用通俗易懂的语言和表达方式，避免使用过于专业或晦涩的法律术语，确保不同文化层次和年龄阶段的观众都能理解和接受节目内容。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4）教育性与启发性：引导观众树立正确的法治观念，增强法律意识，培养依法办事、遇事找法的思维习惯。</w:t>
            </w:r>
          </w:p>
          <w:p>
            <w:pPr>
              <w:pStyle w:val="null3"/>
              <w:ind w:firstLine="420"/>
              <w:jc w:val="left"/>
            </w:pPr>
            <w:r>
              <w:rPr>
                <w:rFonts w:ascii="仿宋_GB2312" w:hAnsi="仿宋_GB2312" w:cs="仿宋_GB2312" w:eastAsia="仿宋_GB2312"/>
                <w:sz w:val="21"/>
                <w:color w:val="000000"/>
              </w:rPr>
              <w:t>2.制作技术要求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1）画面质量：分辨率通常不低于1080p（1920×1080），画面清晰稳定，色彩还原准确，无抖动、卡顿、偏色等问题。拍摄设备需满足专业标准，确保画面质感和视觉效果。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2）音频质量：语音清晰、语速适中、语调自然，背景音乐与节目内容适配，无杂音、音量失衡等问题。配音需由专业人员完成，确保语言表达准确、流畅。</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3）剪辑与包装：剪辑逻辑清晰、节奏流畅，镜头过渡自然，符合节目叙事逻辑。包装设计简洁大方，字幕规范、清晰，可适当添加动态图表、标识等元素，增强视觉效果和信息传递效率。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4）格式与兼容性：提供多种格式的成片，如MP4（H.264编码）、MOV等，以满足不同平台的播放需求。同时，需确保节目在电视、网络、移动设备等多终端上的兼容性和适配性。</w:t>
            </w:r>
          </w:p>
          <w:p>
            <w:pPr>
              <w:pStyle w:val="null3"/>
              <w:ind w:firstLine="420"/>
              <w:jc w:val="left"/>
            </w:pPr>
            <w:r>
              <w:rPr>
                <w:rFonts w:ascii="仿宋_GB2312" w:hAnsi="仿宋_GB2312" w:cs="仿宋_GB2312" w:eastAsia="仿宋_GB2312"/>
                <w:sz w:val="21"/>
                <w:color w:val="000000"/>
              </w:rPr>
              <w:t>3.版权与合规要求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1）素材版权：使用的背景音乐、图片、视频素材、字体等必须为正版，需提供相应的版权授权证明文件，避免产生侵权纠纷。</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2）法律合规：节目制作过程需严格遵守国家法律法规和行业规范，不得涉及敏感话题或违反公序良俗的内容。涉及人物采访、案例引用等需获得相关方的授权和同意。</w:t>
            </w:r>
          </w:p>
          <w:p>
            <w:pPr>
              <w:pStyle w:val="null3"/>
              <w:ind w:firstLine="420"/>
              <w:jc w:val="left"/>
            </w:pPr>
            <w:r>
              <w:rPr>
                <w:rFonts w:ascii="仿宋_GB2312" w:hAnsi="仿宋_GB2312" w:cs="仿宋_GB2312" w:eastAsia="仿宋_GB2312"/>
                <w:sz w:val="21"/>
                <w:color w:val="000000"/>
              </w:rPr>
              <w:t>4.团队要求</w:t>
            </w:r>
          </w:p>
          <w:p>
            <w:pPr>
              <w:pStyle w:val="null3"/>
              <w:ind w:firstLine="420"/>
              <w:jc w:val="left"/>
            </w:pPr>
            <w:r>
              <w:rPr>
                <w:rFonts w:ascii="仿宋_GB2312" w:hAnsi="仿宋_GB2312" w:cs="仿宋_GB2312" w:eastAsia="仿宋_GB2312"/>
                <w:sz w:val="21"/>
                <w:color w:val="000000"/>
              </w:rPr>
              <w:t>供应商需具备专业的节目制作团队，包括策划、编剧、导演、摄像、剪辑、配音等专业人员，团队成员应具备丰富的法治节目制作经验或相关领域专业知识。</w:t>
            </w:r>
          </w:p>
          <w:p>
            <w:pPr>
              <w:pStyle w:val="null3"/>
              <w:ind w:firstLine="420"/>
              <w:jc w:val="left"/>
            </w:pPr>
            <w:r>
              <w:rPr>
                <w:rFonts w:ascii="仿宋_GB2312" w:hAnsi="仿宋_GB2312" w:cs="仿宋_GB2312" w:eastAsia="仿宋_GB2312"/>
                <w:sz w:val="21"/>
                <w:color w:val="000000"/>
              </w:rPr>
              <w:t>5.交付要求</w:t>
            </w:r>
          </w:p>
          <w:p>
            <w:pPr>
              <w:pStyle w:val="null3"/>
              <w:ind w:firstLine="420"/>
              <w:jc w:val="left"/>
            </w:pPr>
            <w:r>
              <w:rPr>
                <w:rFonts w:ascii="仿宋_GB2312" w:hAnsi="仿宋_GB2312" w:cs="仿宋_GB2312" w:eastAsia="仿宋_GB2312"/>
                <w:sz w:val="21"/>
                <w:color w:val="000000"/>
              </w:rPr>
              <w:t>除成片外，还需提供原始拍摄素材、后期制作工程文件、字幕文件、版权授权证明等资料，以便采购人进行审核、存档和后续使用。</w:t>
            </w:r>
          </w:p>
          <w:p>
            <w:pPr>
              <w:pStyle w:val="null3"/>
              <w:spacing w:before="150" w:after="150"/>
              <w:jc w:val="left"/>
              <w:outlineLvl w:val="1"/>
            </w:pPr>
            <w:r>
              <w:rPr>
                <w:rFonts w:ascii="仿宋_GB2312" w:hAnsi="仿宋_GB2312" w:cs="仿宋_GB2312" w:eastAsia="仿宋_GB2312"/>
                <w:sz w:val="21"/>
                <w:b/>
                <w:color w:val="000000"/>
              </w:rPr>
              <w:t>三、本项目需要落实的政府采购政策</w:t>
            </w:r>
          </w:p>
          <w:p>
            <w:pPr>
              <w:pStyle w:val="null3"/>
              <w:spacing w:before="105" w:after="105"/>
              <w:ind w:firstLine="420"/>
              <w:jc w:val="both"/>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spacing w:before="105" w:after="105"/>
              <w:ind w:firstLine="420"/>
              <w:jc w:val="both"/>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spacing w:before="105" w:after="105"/>
              <w:ind w:firstLine="420"/>
              <w:jc w:val="both"/>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spacing w:before="105" w:after="105"/>
              <w:ind w:firstLine="420"/>
              <w:jc w:val="both"/>
            </w:pPr>
            <w:r>
              <w:rPr>
                <w:rFonts w:ascii="仿宋_GB2312" w:hAnsi="仿宋_GB2312" w:cs="仿宋_GB2312" w:eastAsia="仿宋_GB2312"/>
                <w:sz w:val="21"/>
                <w:color w:val="000000"/>
              </w:rPr>
              <w:t>4.支持创新等政府采购政策。</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供应商需具备专业的节目制作团队，包括策划、编剧、导演、摄像、剪辑、配音等专业人员，团队成员应具备丰富的法治节目制作经验或相关领域专业知识。</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根据项目特性，自行配置投入有利于完成本项目服务的设施设备。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自合同签订之日起10个月，如需调整需经双方协商一致。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第一期节目按要求播出后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报价是供应商响应本项目要求的全部工作内容的价格体现，包括供应商完成本项目所需的直接费、间接费、利润、税金及其他相关的一切费用。包括但不限于：人工费、设备费、节目制作费、管理费、验收费、采购代理服务费、利润和税金等全部费用。在提供服务的过程中的任何遗漏，均由成交供应商免费提供，采购人将不再支付任何费用。 三、协商有效期 1.出现特殊情况需要延长响应有效期的，采购代理机构或采购人可于响应有效期满之前，以书面形式通知所有供应商延长响应有效期。供应商应予书面答复，同意延长的，应相应延长其协商保证金（如有）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四、分公司独立参与协商时，不能使用总公司的资质或业绩；总公司单独参与协商时，除总公司所投产品为分公司生产的产品外，不能使用分公司的资质或业绩。总公司授权分公司或分支机构参与协商的，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六、签名是指手写签名或者加盖名章(含电子签名或电子印章)，盖章是指加盖单位印章。 七、资格审查小组说明：1、根据《中华人民共和国政府采购法》第二十三条规定，采购人应依法对供应商的资格进行审查。经采购人授权，资格审查工作可由资格审查小组完成。2、资格审查小组，由经采购人授权的采购人代表和采购代理机构工作人员3人及以上单数组成，采购代理机构项目经理担任资格审查小组组长。3、资格审查小组成立后，全体小组成员应当在签到表中签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法定代表人（单位负责人）参加协商的，提供本人身份证复印件；法定代表人（单位负责人）授权他人参加协商的，提供法定代表人（单位负责人）委托授权书及被授权代表的身份证复印件。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参加本次协商前3年内，在经营活动中没有重大违法记录的书面声明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供应商响应文件满足采购文件中的实质性要求。</w:t>
            </w:r>
          </w:p>
        </w:tc>
        <w:tc>
          <w:tcPr>
            <w:tcW w:type="dxa" w:w="1661"/>
          </w:tcPr>
          <w:p>
            <w:pPr>
              <w:pStyle w:val="null3"/>
            </w:pPr>
            <w:r>
              <w:rPr>
                <w:rFonts w:ascii="仿宋_GB2312" w:hAnsi="仿宋_GB2312" w:cs="仿宋_GB2312" w:eastAsia="仿宋_GB2312"/>
              </w:rPr>
              <w:t>响应文件封面 商务技术文件.docx 标的清单 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过程中，协商小组认为供应商报价明显低于其他通过符合性审查供应商的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响应文件中不存在采购文件规定的无效情形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应符合采购文件中的规定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