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版本号：SCZD2025-JT-3494-00120251226001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2026年灭菌防护类医用耗材采购项目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SCZD2025-JT-3494-001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2026年灭菌防护类医用耗材采购项目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SCZD2025-JT-3494-001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2026年灭菌防护类医用耗材采购项目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本次采购灭菌防护类医用耗材，14种品规，总采购年预算49.5827万元，合同期限一年，签订单价，据实结算。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w:t>
      </w:r>
    </w:p>
    <w:p>
      <w:pPr>
        <w:pStyle w:val="null3"/>
      </w:pPr>
      <w:r>
        <w:rPr>
          <w:rFonts w:ascii="仿宋_GB2312" w:hAnsi="仿宋_GB2312" w:cs="仿宋_GB2312" w:eastAsia="仿宋_GB2312"/>
        </w:rPr>
        <w:t>3、供应商资质，满足以下两条其一即可： （1）供应商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供应商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供应商资质，满足以下两条其一即可： （1）供应商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供应商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p>
      <w:pPr>
        <w:pStyle w:val="null3"/>
      </w:pPr>
      <w:r>
        <w:rPr>
          <w:rFonts w:ascii="仿宋_GB2312" w:hAnsi="仿宋_GB2312" w:cs="仿宋_GB2312" w:eastAsia="仿宋_GB2312"/>
        </w:rPr>
        <w:t>4、若所投产品为第一类医疗器械，须提供该产品《第一类医疗器械备案凭证》；若为第二类、第三类医疗器械，须提供该产品《医疗器械注册证》；若不属于医疗器械管理的，须由生产企业提供不作为医疗器械管理的声明：若所投产品为第一类医疗器械，须提供该产品《第一类医疗器械备案凭证》；若为第二类、第三类医疗器械，须提供该产品《医疗器械注册证》；若不属于医疗器械管理的，须由生产企业提供不作为医疗器械管理的声明</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需按照谈判公告要求的方式获取谈判文件并登记备案，未按谈判公告要求的方式获取谈判文件并登记备案的供应商均无资格参加谈判：需按照谈判公告要求的方式获取谈判文件并登记备案，未按谈判公告要求的方式获取谈判文件并登记备案的供应商均无资格参加谈判：需按照谈判公告要求的方式获取谈判文件并登记备案，未按谈判公告要求的方式获取谈判文件并登记备案的供应商均无资格参加谈判：需按照谈判公告要求的方式获取谈判文件并登记备案，未按谈判公告要求的方式获取谈判文件并登记备案的供应商均无资格参加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采购包1：495,827.00元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银行账号：103262467078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代理服务费收费标准：按照国家计委颁布的《招标代理服务收费管理暂行办法》（计价格[2002]1980号）规定的招标代理服务收费标准，50万元以下的项目按照下浮40%进行收取。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陕西省人民医院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详见销购合同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本次采购灭菌防护类医用耗材，14种品规，总采购年预算49.5827万元，合同期限一年，签订单价，据实结算。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495,827.00</w:t>
      </w:r>
    </w:p>
    <w:p>
      <w:pPr>
        <w:pStyle w:val="null3"/>
      </w:pPr>
      <w:r>
        <w:rPr>
          <w:rFonts w:ascii="仿宋_GB2312" w:hAnsi="仿宋_GB2312" w:cs="仿宋_GB2312" w:eastAsia="仿宋_GB2312"/>
        </w:rPr>
        <w:t>采购包最高限价（元）: 495,827.00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灭菌防护类医用耗材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495,827.00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标的名称：灭菌防护类医用耗材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rPr>
              <w:t>技术要求</w:t>
            </w:r>
          </w:p>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一</w:t>
            </w:r>
            <w:r>
              <w:rPr>
                <w:rFonts w:ascii="仿宋_GB2312" w:hAnsi="仿宋_GB2312" w:cs="仿宋_GB2312" w:eastAsia="仿宋_GB2312"/>
                <w:sz w:val="18"/>
                <w:b/>
              </w:rPr>
              <w:t>）</w:t>
            </w:r>
            <w:r>
              <w:rPr>
                <w:rFonts w:ascii="仿宋_GB2312" w:hAnsi="仿宋_GB2312" w:cs="仿宋_GB2312" w:eastAsia="仿宋_GB2312"/>
                <w:sz w:val="18"/>
                <w:b/>
              </w:rPr>
              <w:t>项目概述</w:t>
            </w:r>
          </w:p>
          <w:p>
            <w:pPr>
              <w:pStyle w:val="null3"/>
              <w:jc w:val="left"/>
            </w:pPr>
            <w:r>
              <w:rPr>
                <w:rFonts w:ascii="仿宋_GB2312" w:hAnsi="仿宋_GB2312" w:cs="仿宋_GB2312" w:eastAsia="仿宋_GB2312"/>
                <w:sz w:val="18"/>
                <w:b/>
                <w:u w:val="single"/>
              </w:rPr>
              <w:t>该项目为基础卫生类未挂网医用耗材招标采购项目，灭菌防护类医用耗材，</w:t>
            </w:r>
            <w:r>
              <w:rPr>
                <w:rFonts w:ascii="仿宋_GB2312" w:hAnsi="仿宋_GB2312" w:cs="仿宋_GB2312" w:eastAsia="仿宋_GB2312"/>
                <w:sz w:val="18"/>
                <w:b/>
                <w:u w:val="single"/>
              </w:rPr>
              <w:t>14种品规，总采购年预算49.5827万元，合同期限一年，签订单价，据实结算。</w:t>
            </w:r>
          </w:p>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二</w:t>
            </w:r>
            <w:r>
              <w:rPr>
                <w:rFonts w:ascii="仿宋_GB2312" w:hAnsi="仿宋_GB2312" w:cs="仿宋_GB2312" w:eastAsia="仿宋_GB2312"/>
                <w:sz w:val="18"/>
                <w:b/>
              </w:rPr>
              <w:t>）</w:t>
            </w:r>
            <w:r>
              <w:rPr>
                <w:rFonts w:ascii="仿宋_GB2312" w:hAnsi="仿宋_GB2312" w:cs="仿宋_GB2312" w:eastAsia="仿宋_GB2312"/>
                <w:sz w:val="21"/>
              </w:rPr>
              <w:t xml:space="preserve"> </w:t>
            </w:r>
            <w:r>
              <w:rPr>
                <w:rFonts w:ascii="仿宋_GB2312" w:hAnsi="仿宋_GB2312" w:cs="仿宋_GB2312" w:eastAsia="仿宋_GB2312"/>
                <w:sz w:val="18"/>
                <w:b/>
              </w:rPr>
              <w:t>核心产品</w:t>
            </w:r>
          </w:p>
          <w:tbl>
            <w:tblPr>
              <w:tblInd w:type="dxa" w:w="135"/>
              <w:tblBorders>
                <w:top w:val="none" w:color="000000" w:sz="4"/>
                <w:left w:val="none" w:color="000000" w:sz="4"/>
                <w:bottom w:val="none" w:color="000000" w:sz="4"/>
                <w:right w:val="none" w:color="000000" w:sz="4"/>
                <w:insideH w:val="none"/>
                <w:insideV w:val="none"/>
              </w:tblBorders>
            </w:tblPr>
            <w:tblGrid>
              <w:gridCol w:w="314"/>
              <w:gridCol w:w="1290"/>
              <w:gridCol w:w="948"/>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18"/>
                      <w:b/>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核心</w:t>
                  </w:r>
                  <w:r>
                    <w:rPr>
                      <w:rFonts w:ascii="仿宋_GB2312" w:hAnsi="仿宋_GB2312" w:cs="仿宋_GB2312" w:eastAsia="仿宋_GB2312"/>
                      <w:sz w:val="18"/>
                      <w:b/>
                    </w:rPr>
                    <w:t>产品名称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灭菌防护类医用耗材</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一次性使用医用棉签（中）大包、一次性使用治疗巾（小号）</w:t>
                  </w:r>
                </w:p>
              </w:tc>
            </w:tr>
          </w:tbl>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三</w:t>
            </w:r>
            <w:r>
              <w:rPr>
                <w:rFonts w:ascii="仿宋_GB2312" w:hAnsi="仿宋_GB2312" w:cs="仿宋_GB2312" w:eastAsia="仿宋_GB2312"/>
                <w:sz w:val="18"/>
                <w:b/>
              </w:rPr>
              <w:t>）</w:t>
            </w:r>
            <w:r>
              <w:rPr>
                <w:rFonts w:ascii="仿宋_GB2312" w:hAnsi="仿宋_GB2312" w:cs="仿宋_GB2312" w:eastAsia="仿宋_GB2312"/>
                <w:sz w:val="18"/>
                <w:b/>
              </w:rPr>
              <w:t>采购清单及技术标准、配置要求：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18"/>
                <w:b/>
              </w:rPr>
              <w:t>1.</w:t>
            </w:r>
            <w:r>
              <w:rPr>
                <w:rFonts w:ascii="仿宋_GB2312" w:hAnsi="仿宋_GB2312" w:cs="仿宋_GB2312" w:eastAsia="仿宋_GB2312"/>
                <w:sz w:val="18"/>
                <w:b/>
              </w:rPr>
              <w:t>采购清单及技术标准、配置要求</w:t>
            </w:r>
          </w:p>
          <w:p>
            <w:pPr>
              <w:pStyle w:val="null3"/>
              <w:jc w:val="left"/>
              <w:outlineLvl w:val="2"/>
            </w:pPr>
            <w:r>
              <w:rPr>
                <w:rFonts w:ascii="仿宋_GB2312" w:hAnsi="仿宋_GB2312" w:cs="仿宋_GB2312" w:eastAsia="仿宋_GB2312"/>
                <w:sz w:val="18"/>
                <w:b/>
              </w:rPr>
              <w:t>（</w:t>
            </w:r>
            <w:r>
              <w:rPr>
                <w:rFonts w:ascii="仿宋_GB2312" w:hAnsi="仿宋_GB2312" w:cs="仿宋_GB2312" w:eastAsia="仿宋_GB2312"/>
                <w:sz w:val="18"/>
                <w:b/>
              </w:rPr>
              <w:t>1）项目概况（总采购预算合计49.5827万元）</w:t>
            </w:r>
          </w:p>
          <w:tbl>
            <w:tblPr>
              <w:tblBorders>
                <w:top w:val="none" w:color="000000" w:sz="4"/>
                <w:left w:val="none" w:color="000000" w:sz="4"/>
                <w:bottom w:val="none" w:color="000000" w:sz="4"/>
                <w:right w:val="none" w:color="000000" w:sz="4"/>
                <w:insideH w:val="none"/>
                <w:insideV w:val="none"/>
              </w:tblBorders>
            </w:tblPr>
            <w:tblGrid>
              <w:gridCol w:w="250"/>
              <w:gridCol w:w="1056"/>
              <w:gridCol w:w="422"/>
              <w:gridCol w:w="501"/>
              <w:gridCol w:w="308"/>
            </w:tblGrid>
            <w:tr>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10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名称</w:t>
                  </w:r>
                </w:p>
              </w:tc>
              <w:tc>
                <w:tcPr>
                  <w:tcW w:type="dxa" w:w="4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品种</w:t>
                  </w:r>
                  <w:r>
                    <w:rPr>
                      <w:rFonts w:ascii="仿宋_GB2312" w:hAnsi="仿宋_GB2312" w:cs="仿宋_GB2312" w:eastAsia="仿宋_GB2312"/>
                      <w:sz w:val="18"/>
                    </w:rPr>
                    <w:t>数（种）</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预算（</w:t>
                  </w:r>
                  <w:r>
                    <w:rPr>
                      <w:rFonts w:ascii="仿宋_GB2312" w:hAnsi="仿宋_GB2312" w:cs="仿宋_GB2312" w:eastAsia="仿宋_GB2312"/>
                      <w:sz w:val="18"/>
                    </w:rPr>
                    <w:t>万</w:t>
                  </w:r>
                  <w:r>
                    <w:rPr>
                      <w:rFonts w:ascii="仿宋_GB2312" w:hAnsi="仿宋_GB2312" w:cs="仿宋_GB2312" w:eastAsia="仿宋_GB2312"/>
                      <w:sz w:val="18"/>
                    </w:rPr>
                    <w:t>元</w:t>
                  </w:r>
                  <w:r>
                    <w:rPr>
                      <w:rFonts w:ascii="仿宋_GB2312" w:hAnsi="仿宋_GB2312" w:cs="仿宋_GB2312" w:eastAsia="仿宋_GB2312"/>
                      <w:sz w:val="18"/>
                    </w:rPr>
                    <w:t>/年</w:t>
                  </w:r>
                  <w:r>
                    <w:rPr>
                      <w:rFonts w:ascii="仿宋_GB2312" w:hAnsi="仿宋_GB2312" w:cs="仿宋_GB2312" w:eastAsia="仿宋_GB2312"/>
                      <w:sz w:val="18"/>
                    </w:rPr>
                    <w:t>）</w:t>
                  </w:r>
                </w:p>
              </w:tc>
              <w:tc>
                <w:tcPr>
                  <w:tcW w:type="dxa" w:w="3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2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10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灭菌防护类医用耗材</w:t>
                  </w:r>
                </w:p>
              </w:tc>
              <w:tc>
                <w:tcPr>
                  <w:tcW w:type="dxa" w:w="4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14</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49.5827</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合计</w:t>
                  </w:r>
                </w:p>
              </w:tc>
              <w:tc>
                <w:tcPr>
                  <w:tcW w:type="dxa" w:w="4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14</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49.5827</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outlineLvl w:val="2"/>
            </w:pPr>
            <w:r>
              <w:rPr>
                <w:rFonts w:ascii="仿宋_GB2312" w:hAnsi="仿宋_GB2312" w:cs="仿宋_GB2312" w:eastAsia="仿宋_GB2312"/>
                <w:sz w:val="18"/>
                <w:b/>
              </w:rPr>
              <w:t>（</w:t>
            </w:r>
            <w:r>
              <w:rPr>
                <w:rFonts w:ascii="仿宋_GB2312" w:hAnsi="仿宋_GB2312" w:cs="仿宋_GB2312" w:eastAsia="仿宋_GB2312"/>
                <w:sz w:val="18"/>
                <w:b/>
              </w:rPr>
              <w:t>2）详情</w:t>
            </w:r>
          </w:p>
          <w:tbl>
            <w:tblPr>
              <w:tblBorders>
                <w:top w:val="none" w:color="000000" w:sz="4"/>
                <w:left w:val="none" w:color="000000" w:sz="4"/>
                <w:bottom w:val="none" w:color="000000" w:sz="4"/>
                <w:right w:val="none" w:color="000000" w:sz="4"/>
                <w:insideH w:val="none"/>
                <w:insideV w:val="none"/>
              </w:tblBorders>
            </w:tblPr>
            <w:tblGrid>
              <w:gridCol w:w="159"/>
              <w:gridCol w:w="313"/>
              <w:gridCol w:w="889"/>
              <w:gridCol w:w="161"/>
              <w:gridCol w:w="228"/>
              <w:gridCol w:w="250"/>
              <w:gridCol w:w="253"/>
              <w:gridCol w:w="300"/>
            </w:tblGrid>
            <w:tr>
              <w:tc>
                <w:tcPr>
                  <w:tcW w:type="dxa" w:w="2553"/>
                  <w:gridSpan w:val="8"/>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灭菌防护类医用耗材</w:t>
                  </w:r>
                  <w:r>
                    <w:rPr>
                      <w:rFonts w:ascii="仿宋_GB2312" w:hAnsi="仿宋_GB2312" w:cs="仿宋_GB2312" w:eastAsia="仿宋_GB2312"/>
                      <w:sz w:val="18"/>
                      <w:b/>
                      <w:color w:val="000000"/>
                    </w:rPr>
                    <w:t>合计：</w:t>
                  </w:r>
                  <w:r>
                    <w:rPr>
                      <w:rFonts w:ascii="仿宋_GB2312" w:hAnsi="仿宋_GB2312" w:cs="仿宋_GB2312" w:eastAsia="仿宋_GB2312"/>
                      <w:sz w:val="18"/>
                      <w:b/>
                      <w:color w:val="000000"/>
                    </w:rPr>
                    <w:t>49.5827万元</w:t>
                  </w:r>
                </w:p>
              </w:tc>
            </w:tr>
            <w:tr>
              <w:tc>
                <w:tcPr>
                  <w:tcW w:type="dxa" w:w="15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序号</w:t>
                  </w:r>
                </w:p>
              </w:tc>
              <w:tc>
                <w:tcPr>
                  <w:tcW w:type="dxa" w:w="31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通用名称</w:t>
                  </w:r>
                </w:p>
              </w:tc>
              <w:tc>
                <w:tcPr>
                  <w:tcW w:type="dxa" w:w="88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技术参数</w:t>
                  </w:r>
                </w:p>
              </w:tc>
              <w:tc>
                <w:tcPr>
                  <w:tcW w:type="dxa" w:w="16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计量</w:t>
                  </w:r>
                </w:p>
                <w:p>
                  <w:pPr>
                    <w:pStyle w:val="null3"/>
                    <w:jc w:val="center"/>
                  </w:pPr>
                  <w:r>
                    <w:rPr>
                      <w:rFonts w:ascii="仿宋_GB2312" w:hAnsi="仿宋_GB2312" w:cs="仿宋_GB2312" w:eastAsia="仿宋_GB2312"/>
                      <w:sz w:val="18"/>
                      <w:b/>
                      <w:color w:val="000000"/>
                    </w:rPr>
                    <w:t>单位</w:t>
                  </w:r>
                </w:p>
              </w:tc>
              <w:tc>
                <w:tcPr>
                  <w:tcW w:type="dxa" w:w="22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最高限价（元）</w:t>
                  </w:r>
                </w:p>
              </w:tc>
              <w:tc>
                <w:tcPr>
                  <w:tcW w:type="dxa" w:w="25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年预估使用量</w:t>
                  </w:r>
                </w:p>
              </w:tc>
              <w:tc>
                <w:tcPr>
                  <w:tcW w:type="dxa" w:w="25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年采购预算（元）</w:t>
                  </w:r>
                </w:p>
              </w:tc>
              <w:tc>
                <w:tcPr>
                  <w:tcW w:type="dxa" w:w="30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备注</w:t>
                  </w: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一次性使用手术洞巾（小号）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功能：非织造布具有无菌、防水、强韧，尺寸合适等性能。</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40cm×60cm±10%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条</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0.345</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48000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16560.00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一次性使用手术洞巾（大号）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功能：非织造布具有无菌、防水、强韧，尺寸合适等性能。</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100cm×130cm±10%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条</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2.700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2400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6480.00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一次性使用脱脂棉</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功能：甲</w:t>
                  </w:r>
                  <w:r>
                    <w:rPr>
                      <w:rFonts w:ascii="仿宋_GB2312" w:hAnsi="仿宋_GB2312" w:cs="仿宋_GB2312" w:eastAsia="仿宋_GB2312"/>
                      <w:sz w:val="18"/>
                      <w:color w:val="000000"/>
                    </w:rPr>
                    <w:t>1级棉吸水性强，中性无刺激，包装密封防潮等。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/包装：500g±10%/包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包</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23.500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36</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846.00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一次性使用医用棉签（长）中包</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功能：脱脂棉和竹棒棉头洁白柔软不易掉絮，吸液性强，杆身牢固无毛刺等。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规格：长度</w:t>
                  </w:r>
                  <w:r>
                    <w:rPr>
                      <w:rFonts w:ascii="仿宋_GB2312" w:hAnsi="仿宋_GB2312" w:cs="仿宋_GB2312" w:eastAsia="仿宋_GB2312"/>
                      <w:sz w:val="18"/>
                      <w:color w:val="000000"/>
                    </w:rPr>
                    <w:t>≥20cm</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10～15）支/包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支</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0.110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910000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100100.00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一次性使用医用棉签（中）大包</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功能：脱脂棉和竹棒棉头洁白柔软不易掉絮，吸液性强，杆身牢固无毛刺等。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12cm≤长度＜19cm</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30～40）支/包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支</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0.015</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9050000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135750.00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一次性使用医用棉签（中）小包</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功能：脱脂棉和竹棒棉头洁白柔软不易掉絮，吸液性强，杆身牢固无毛刺等。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12cm≤长度＜19cm</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5～10）支/包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支</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0.018</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513000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9234.00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一次性使用医用棉球（大号）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功能：脱脂棉无菌包装，洁白柔软不掉絮，中性无刺激等。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1～3）g/粒</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10～20）粒/包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包</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0.995</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26600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26467.00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一次性使用医用棉球（中号）</w:t>
                  </w:r>
                  <w:r>
                    <w:rPr>
                      <w:rFonts w:ascii="仿宋_GB2312" w:hAnsi="仿宋_GB2312" w:cs="仿宋_GB2312" w:eastAsia="仿宋_GB2312"/>
                      <w:sz w:val="18"/>
                      <w:color w:val="000000"/>
                    </w:rPr>
                    <w:t>1</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功能：脱脂棉无菌包装，洁白柔软不掉絮，中性无刺激等。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0.5～0.9）g/粒</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50～70）粒/包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包</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2.850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1710.00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一次性使用医用棉球（中号）</w:t>
                  </w:r>
                  <w:r>
                    <w:rPr>
                      <w:rFonts w:ascii="仿宋_GB2312" w:hAnsi="仿宋_GB2312" w:cs="仿宋_GB2312" w:eastAsia="仿宋_GB2312"/>
                      <w:sz w:val="18"/>
                      <w:color w:val="000000"/>
                    </w:rPr>
                    <w:t>2</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功能：脱脂棉无菌包装，洁白柔软不掉絮，中性无刺激等。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0.5～0.9）g/粒</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5～15）粒/包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包</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0.430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134200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57706.00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10</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一次性使用医用棉球（小号）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功能：脱脂棉无菌包装，洁白柔软不掉絮，中性无刺激等。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0.2～0.4）g/粒</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20～40）粒/包</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包</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0.360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34400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12384.00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11</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一次性使用治疗巾（小号）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功能：非织造布无菌包装，柔软透气吸水，能有效隔离液体和污染物，强度高不易撕裂，铺设服帖不易滑落。</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45cm×45cm±10%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条</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0.400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221100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88440.00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一次性使用治疗巾（大号）</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功能：用于临床护理时铺垫使用，用于卫生隔离，防止交叉污染。</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60cm×90cm±10%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条</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0.950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4750.00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一次性使用显影纱条（灭菌）</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功能：微创手术止血用。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4层以上，（1.5cm~2cm）*(20cm±10%)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片</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1.480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7400.00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9"/>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14</w:t>
                  </w:r>
                </w:p>
              </w:tc>
              <w:tc>
                <w:tcPr>
                  <w:tcW w:type="dxa" w:w="3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一次性使用电刀清洁片（灭菌）</w:t>
                  </w:r>
                </w:p>
              </w:tc>
              <w:tc>
                <w:tcPr>
                  <w:tcW w:type="dxa" w:w="88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功能：电外科设备术中清洁用。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2.5cm*5cm±10%</w:t>
                  </w:r>
                </w:p>
              </w:tc>
              <w:tc>
                <w:tcPr>
                  <w:tcW w:type="dxa" w:w="1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片</w:t>
                  </w:r>
                </w:p>
              </w:tc>
              <w:tc>
                <w:tcPr>
                  <w:tcW w:type="dxa" w:w="22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5.600</w:t>
                  </w:r>
                </w:p>
              </w:tc>
              <w:tc>
                <w:tcPr>
                  <w:tcW w:type="dxa" w:w="2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5000</w:t>
                  </w:r>
                </w:p>
              </w:tc>
              <w:tc>
                <w:tcPr>
                  <w:tcW w:type="dxa" w:w="25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28000.00</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2553"/>
                  <w:gridSpan w:val="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b/>
                      <w:color w:val="000000"/>
                    </w:rPr>
                    <w:t>合计（元）：</w:t>
                  </w:r>
                  <w:r>
                    <w:rPr>
                      <w:rFonts w:ascii="仿宋_GB2312" w:hAnsi="仿宋_GB2312" w:cs="仿宋_GB2312" w:eastAsia="仿宋_GB2312"/>
                      <w:sz w:val="18"/>
                      <w:b/>
                      <w:color w:val="000000"/>
                    </w:rPr>
                    <w:t>495827.00</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rPr>
              <w:t>商务要求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1）承诺保证</w:t>
            </w:r>
          </w:p>
          <w:p>
            <w:pPr>
              <w:pStyle w:val="null3"/>
              <w:jc w:val="left"/>
            </w:pPr>
            <w:r>
              <w:rPr>
                <w:rFonts w:ascii="仿宋_GB2312" w:hAnsi="仿宋_GB2312" w:cs="仿宋_GB2312" w:eastAsia="仿宋_GB2312"/>
                <w:sz w:val="18"/>
                <w:color w:val="000000"/>
              </w:rPr>
              <w:t>投标人承诺并签订《医用耗材全省最低价承诺书》《医用耗材</w:t>
            </w:r>
            <w:r>
              <w:rPr>
                <w:rFonts w:ascii="仿宋_GB2312" w:hAnsi="仿宋_GB2312" w:cs="仿宋_GB2312" w:eastAsia="仿宋_GB2312"/>
                <w:sz w:val="18"/>
                <w:color w:val="000000"/>
              </w:rPr>
              <w:t>“两票制”执行承诺书》《陕西药品和医用耗材招采管理系统集中采购管理执行承诺书》《医用耗材供应质量承诺书》《医用耗材供应廉洁承诺书》《医用耗材资质真实性承诺书》等相关文件。（格式见附件）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2）购销方式</w:t>
            </w:r>
          </w:p>
          <w:p>
            <w:pPr>
              <w:pStyle w:val="null3"/>
              <w:jc w:val="left"/>
            </w:pPr>
            <w:r>
              <w:rPr>
                <w:rFonts w:ascii="仿宋_GB2312" w:hAnsi="仿宋_GB2312" w:cs="仿宋_GB2312" w:eastAsia="仿宋_GB2312"/>
                <w:sz w:val="18"/>
                <w:color w:val="000000"/>
              </w:rPr>
              <w:t>合同签订产品单价，据实结算。购销业务范围涵盖一院两区，友谊院区和西咸院区统一进行，同质化管理。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3）产品效期</w:t>
            </w:r>
          </w:p>
          <w:p>
            <w:pPr>
              <w:pStyle w:val="null3"/>
              <w:jc w:val="left"/>
            </w:pPr>
            <w:r>
              <w:rPr>
                <w:rFonts w:ascii="仿宋_GB2312" w:hAnsi="仿宋_GB2312" w:cs="仿宋_GB2312" w:eastAsia="仿宋_GB2312"/>
                <w:sz w:val="18"/>
                <w:color w:val="000000"/>
              </w:rPr>
              <w:t>采购单位收到产品的时间距离产品效期截止日原则上不得少于</w:t>
            </w:r>
            <w:r>
              <w:rPr>
                <w:rFonts w:ascii="仿宋_GB2312" w:hAnsi="仿宋_GB2312" w:cs="仿宋_GB2312" w:eastAsia="仿宋_GB2312"/>
                <w:sz w:val="18"/>
                <w:color w:val="000000"/>
              </w:rPr>
              <w:t>3个月。投标人配送的产品在有效期内若出现质量问题，应当于接到采购单位通知后的1个工作日内完成产品退换，因退还产品产生的一切人工、交通、产品费用均由乙方全部承担，包括但不限于延误治疗造成的损失、另行采购的差价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4）履行期限</w:t>
            </w:r>
          </w:p>
          <w:p>
            <w:pPr>
              <w:pStyle w:val="null3"/>
              <w:jc w:val="left"/>
            </w:pPr>
            <w:r>
              <w:rPr>
                <w:rFonts w:ascii="仿宋_GB2312" w:hAnsi="仿宋_GB2312" w:cs="仿宋_GB2312" w:eastAsia="仿宋_GB2312"/>
                <w:sz w:val="18"/>
                <w:color w:val="000000"/>
              </w:rPr>
              <w:t>合同履行期限为自合同签订起一年。</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5）产品配送</w:t>
            </w:r>
          </w:p>
          <w:p>
            <w:pPr>
              <w:pStyle w:val="null3"/>
              <w:jc w:val="left"/>
            </w:pPr>
            <w:r>
              <w:rPr>
                <w:rFonts w:ascii="仿宋_GB2312" w:hAnsi="仿宋_GB2312" w:cs="仿宋_GB2312" w:eastAsia="仿宋_GB2312"/>
                <w:sz w:val="18"/>
                <w:color w:val="000000"/>
              </w:rPr>
              <w:t>采购人发送需求计划和补充需求（含技术服务）时，投标人应当在</w:t>
            </w:r>
            <w:r>
              <w:rPr>
                <w:rFonts w:ascii="仿宋_GB2312" w:hAnsi="仿宋_GB2312" w:cs="仿宋_GB2312" w:eastAsia="仿宋_GB2312"/>
                <w:sz w:val="18"/>
                <w:color w:val="000000"/>
              </w:rPr>
              <w:t>72小时内完成配送；紧急补充需求应在24小时内完成配送；特急补充需求应在4小时内完成配送。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6）产品验收</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产品的验收和交付相关要求均由采购人指定。</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7）采购结算</w:t>
            </w:r>
          </w:p>
          <w:p>
            <w:pPr>
              <w:pStyle w:val="null3"/>
              <w:jc w:val="left"/>
            </w:pPr>
            <w:r>
              <w:rPr>
                <w:rFonts w:ascii="仿宋_GB2312" w:hAnsi="仿宋_GB2312" w:cs="仿宋_GB2312" w:eastAsia="仿宋_GB2312"/>
                <w:sz w:val="18"/>
                <w:color w:val="000000"/>
              </w:rPr>
              <w:t>严格按照国家和采购单位相关制度进行采购结算，产品验收合格完成入库手续并签字确认，采购发票纳入采购人财务管理之日起</w:t>
            </w:r>
            <w:r>
              <w:rPr>
                <w:rFonts w:ascii="仿宋_GB2312" w:hAnsi="仿宋_GB2312" w:cs="仿宋_GB2312" w:eastAsia="仿宋_GB2312"/>
                <w:sz w:val="18"/>
                <w:color w:val="000000"/>
              </w:rPr>
              <w:t>6个月内据实结算（特殊情况除外）。</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8）退换召回</w:t>
            </w:r>
          </w:p>
          <w:p>
            <w:pPr>
              <w:pStyle w:val="null3"/>
              <w:jc w:val="left"/>
            </w:pPr>
            <w:r>
              <w:rPr>
                <w:rFonts w:ascii="仿宋_GB2312" w:hAnsi="仿宋_GB2312" w:cs="仿宋_GB2312" w:eastAsia="仿宋_GB2312"/>
                <w:sz w:val="18"/>
                <w:color w:val="000000"/>
              </w:rPr>
              <w:t>若产品出现质量问题，投标人应当无条件退换并承担所有的费用、纠纷、赔偿及其他责任。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 质量检验</w:t>
            </w:r>
          </w:p>
          <w:p>
            <w:pPr>
              <w:pStyle w:val="null3"/>
              <w:jc w:val="left"/>
            </w:pPr>
            <w:r>
              <w:rPr>
                <w:rFonts w:ascii="仿宋_GB2312" w:hAnsi="仿宋_GB2312" w:cs="仿宋_GB2312" w:eastAsia="仿宋_GB2312"/>
                <w:sz w:val="18"/>
                <w:color w:val="000000"/>
              </w:rPr>
              <w:t>投标人交付的产品质量应当符合国家归口监督管理部门规定标准。产品及包装、标识、标签、说明书等应当符合国家相关规定，并具备国家、地方、行业管理部门的相关批件。</w:t>
            </w:r>
          </w:p>
          <w:p>
            <w:pPr>
              <w:pStyle w:val="null3"/>
              <w:jc w:val="left"/>
            </w:pPr>
            <w:r>
              <w:rPr>
                <w:rFonts w:ascii="仿宋_GB2312" w:hAnsi="仿宋_GB2312" w:cs="仿宋_GB2312" w:eastAsia="仿宋_GB2312"/>
                <w:sz w:val="18"/>
                <w:color w:val="000000"/>
              </w:rPr>
              <w:t>5.合同条款</w:t>
            </w:r>
          </w:p>
          <w:p>
            <w:pPr>
              <w:pStyle w:val="null3"/>
              <w:jc w:val="left"/>
            </w:pPr>
            <w:r>
              <w:rPr>
                <w:rFonts w:ascii="仿宋_GB2312" w:hAnsi="仿宋_GB2312" w:cs="仿宋_GB2312" w:eastAsia="仿宋_GB2312"/>
                <w:sz w:val="18"/>
                <w:color w:val="000000"/>
              </w:rPr>
              <w:t>合同条款详见合同，最终以实际签订为准。</w:t>
            </w:r>
          </w:p>
          <w:p>
            <w:pPr>
              <w:pStyle w:val="null3"/>
              <w:jc w:val="left"/>
            </w:pPr>
            <w:r>
              <w:rPr>
                <w:rFonts w:ascii="仿宋_GB2312" w:hAnsi="仿宋_GB2312" w:cs="仿宋_GB2312" w:eastAsia="仿宋_GB2312"/>
                <w:sz w:val="18"/>
                <w:color w:val="000000"/>
              </w:rPr>
              <w:t>6.若所投产品获得药品监督管理部门注册批准且属于国家医保医用耗材分类范围的医用耗材，应当在陕西药品和医用耗材招采管理系统进行购销，产品价格不高于省药耗招采平台挂网价格，投标人出具所投产品均符合挂网采购管理要求的承诺书（见附件</w:t>
            </w:r>
            <w:r>
              <w:rPr>
                <w:rFonts w:ascii="仿宋_GB2312" w:hAnsi="仿宋_GB2312" w:cs="仿宋_GB2312" w:eastAsia="仿宋_GB2312"/>
                <w:sz w:val="18"/>
                <w:color w:val="000000"/>
              </w:rPr>
              <w:t>4）；若所投产品未挂网或撤网，出具情况说明（格式自拟）。</w:t>
            </w:r>
          </w:p>
          <w:p>
            <w:pPr>
              <w:pStyle w:val="null3"/>
            </w:pPr>
            <w:r>
              <w:rPr>
                <w:rFonts w:ascii="仿宋_GB2312" w:hAnsi="仿宋_GB2312" w:cs="仿宋_GB2312" w:eastAsia="仿宋_GB2312"/>
                <w:sz w:val="18"/>
                <w:color w:val="000000"/>
              </w:rPr>
              <w:t>7.若所投产品为国产产品，须提供产品来源合规的承诺说明。（格式自拟）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合同履行期限为自合同签订起一年。采购人发送需求计划和补充需求（含技术服务）时，投标人应当在72小时内完成配送；紧急补充需求应在24小时内完成配送；特急补充需求应在4小时内完成配送。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产品单价，据实结算。购销业务范围涵盖一院两区，友谊院区和西咸院区统一进行，同质化管理。产品的验收和交付相关要求均由采购人指定。严格按照国家和采购单位相关制度进行采购结算，产品验收合格完成入库手续并签字确认，采购发票纳入采购人财务管理之日起6个月内据实结算（特殊情况除外）。若产品出现质量问题，投标人应当无条件退换并承担所有的费用、纠纷、赔偿及其他责任</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单位负责接收由供应企业送货上门的医用耗材，供应企业送货须同时出示规定格式的“医用耗材送货清单”。采购单位查验供货销售人员身份证明应与供货方授权委托书一致，核对货物与购置通知清单相符，查验供货单位、医用耗材品牌、规格型号及价格等与目录库信息的一致性，并保证供货单位与医用耗材资质的合格性，查验到达时货物温度与要求的贮存条件是否一致，如超出规定温度应拒绝收货。 （二）查验产品有效期，拒绝接受收近效期产品。查验进口产品必须有中文名称。未在目录库的货物，不得接收和入库。采购单位如发现信息不符或质量问题，应及时向采购员进行通报并拒绝接收入库，同时作好“不合格品专册登记”记录，货物放入不合格品区，做退货处理。建立进货查验记录，记录包括耗材名称、规格、数量、生产批号、有效期、购入日期、生产企业名称、供货企业名称等。记录应当真实，入库验收记录保存至有效期满或停止使用后2年，但不得少于5年，植入类和介入类产品记录永久保存。 （三）暂存方式的医用耗材：供应企业送至各二级库的，经采购员在“医用耗材送货清单”上签字确认，各二级库房负责人确认采购员签字后接收。其余要求参照“计划购置的医用耗材”要求执行，办存入手续。</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采购单位收到产品的时间距离产品效期截止日原则上不得少于3个月。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详见销购合同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投标供应商应当保证采购单位在使用该物资或其任何一部分时，不受第三方侵权指控。同时，投标供应商不得向第三方泄露采购机构提供的技术文件等材料。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资格证明文件-谈判.docx 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资格证明文件-谈判.docx 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w:t>
            </w:r>
          </w:p>
        </w:tc>
        <w:tc>
          <w:tcPr>
            <w:tcW w:type="dxa" w:w="3322"/>
          </w:tcPr>
          <w:p>
            <w:pPr>
              <w:pStyle w:val="null3"/>
            </w:pPr>
            <w:r>
              <w:rPr>
                <w:rFonts w:ascii="仿宋_GB2312" w:hAnsi="仿宋_GB2312" w:cs="仿宋_GB2312" w:eastAsia="仿宋_GB2312"/>
              </w:rPr>
              <w:t>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供应商在递交谈判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谈判</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供应商资质，满足以下两条其一即可： （1）供应商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供应商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tc>
        <w:tc>
          <w:tcPr>
            <w:tcW w:type="dxa" w:w="3322"/>
          </w:tcPr>
          <w:p>
            <w:pPr>
              <w:pStyle w:val="null3"/>
            </w:pPr>
            <w:r>
              <w:rPr>
                <w:rFonts w:ascii="仿宋_GB2312" w:hAnsi="仿宋_GB2312" w:cs="仿宋_GB2312" w:eastAsia="仿宋_GB2312"/>
              </w:rPr>
              <w:t>供应商资质，满足以下两条其一即可： （1）供应商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供应商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若所投产品为第一类医疗器械，须提供该产品《第一类医疗器械备案凭证》；若为第二类、第三类医疗器械，须提供该产品《医疗器械注册证》；若不属于医疗器械管理的，须由生产企业提供不作为医疗器械管理的声明</w:t>
            </w:r>
          </w:p>
        </w:tc>
        <w:tc>
          <w:tcPr>
            <w:tcW w:type="dxa" w:w="3322"/>
          </w:tcPr>
          <w:p>
            <w:pPr>
              <w:pStyle w:val="null3"/>
            </w:pPr>
            <w:r>
              <w:rPr>
                <w:rFonts w:ascii="仿宋_GB2312" w:hAnsi="仿宋_GB2312" w:cs="仿宋_GB2312" w:eastAsia="仿宋_GB2312"/>
              </w:rPr>
              <w:t>若所投产品为第一类医疗器械，须提供该产品《第一类医疗器械备案凭证》；若为第二类、第三类医疗器械，须提供该产品《医疗器械注册证》；若不属于医疗器械管理的，须由生产企业提供不作为医疗器械管理的声明</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资格证明文件-谈判.docx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谈判公告要求的方式获取谈判文件并登记备案，未按谈判公告要求的方式获取谈判文件并登记备案的供应商均无资格参加谈判：需按照谈判公告要求的方式获取谈判文件并登记备案，未按谈判公告要求的方式获取谈判文件并登记备案的供应商均无资格参加谈判</w:t>
            </w:r>
          </w:p>
        </w:tc>
        <w:tc>
          <w:tcPr>
            <w:tcW w:type="dxa" w:w="3322"/>
          </w:tcPr>
          <w:p>
            <w:pPr>
              <w:pStyle w:val="null3"/>
            </w:pPr>
            <w:r>
              <w:rPr>
                <w:rFonts w:ascii="仿宋_GB2312" w:hAnsi="仿宋_GB2312" w:cs="仿宋_GB2312" w:eastAsia="仿宋_GB2312"/>
              </w:rPr>
              <w:t>需按照谈判公告要求的方式获取谈判文件并登记备案，未按谈判公告要求的方式获取谈判文件并登记备案的供应商均无资格参加谈判：需按照谈判公告要求的方式获取谈判文件并登记备案，未按谈判公告要求的方式获取谈判文件并登记备案的供应商均无资格参加谈判</w:t>
            </w:r>
          </w:p>
        </w:tc>
        <w:tc>
          <w:tcPr>
            <w:tcW w:type="dxa" w:w="1661"/>
          </w:tcPr>
          <w:p>
            <w:pPr>
              <w:pStyle w:val="null3"/>
            </w:pPr>
            <w:r>
              <w:rPr>
                <w:rFonts w:ascii="仿宋_GB2312" w:hAnsi="仿宋_GB2312" w:cs="仿宋_GB2312" w:eastAsia="仿宋_GB2312"/>
              </w:rPr>
              <w:t>资格证明文件-谈判.docx 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响应文件按竞争性谈判文件要求签署、盖章</w:t>
            </w:r>
          </w:p>
        </w:tc>
        <w:tc>
          <w:tcPr>
            <w:tcW w:type="dxa" w:w="1661"/>
          </w:tcPr>
          <w:p>
            <w:pPr>
              <w:pStyle w:val="null3"/>
            </w:pPr>
            <w:r>
              <w:rPr>
                <w:rFonts w:ascii="仿宋_GB2312" w:hAnsi="仿宋_GB2312" w:cs="仿宋_GB2312" w:eastAsia="仿宋_GB2312"/>
              </w:rPr>
              <w:t>响应文件封面 产品技术参数表 资格证明文件-谈判.docx 中小企业声明函 残疾人福利性单位声明函 商务应答表 标的清单 承诺书.docx 报价表 响应函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标的清单 报价表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产品技术参数表 资格证明文件-谈判.docx 中小企业声明函 残疾人福利性单位声明函 商务应答表 标的清单 承诺书.docx 报价表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供应商提供货物无实质性偏离或缺项漏项</w:t>
            </w:r>
          </w:p>
        </w:tc>
        <w:tc>
          <w:tcPr>
            <w:tcW w:type="dxa" w:w="1661"/>
          </w:tcPr>
          <w:p>
            <w:pPr>
              <w:pStyle w:val="null3"/>
            </w:pPr>
            <w:r>
              <w:rPr>
                <w:rFonts w:ascii="仿宋_GB2312" w:hAnsi="仿宋_GB2312" w:cs="仿宋_GB2312" w:eastAsia="仿宋_GB2312"/>
              </w:rPr>
              <w:t>响应文件封面 产品技术参数表 资格证明文件-谈判.docx 中小企业声明函 残疾人福利性单位声明函 商务应答表 标的清单 承诺书.docx 报价表 响应函 报价表.docx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供应商满足所有的商务要求</w:t>
            </w:r>
          </w:p>
        </w:tc>
        <w:tc>
          <w:tcPr>
            <w:tcW w:type="dxa" w:w="1661"/>
          </w:tcPr>
          <w:p>
            <w:pPr>
              <w:pStyle w:val="null3"/>
            </w:pPr>
            <w:r>
              <w:rPr>
                <w:rFonts w:ascii="仿宋_GB2312" w:hAnsi="仿宋_GB2312" w:cs="仿宋_GB2312" w:eastAsia="仿宋_GB2312"/>
              </w:rPr>
              <w:t>产品技术参数表 资格证明文件-谈判.docx 商务应答表 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无法律、法规和谈判文件规定的其他无效情形</w:t>
            </w:r>
          </w:p>
        </w:tc>
        <w:tc>
          <w:tcPr>
            <w:tcW w:type="dxa" w:w="1661"/>
          </w:tcPr>
          <w:p>
            <w:pPr>
              <w:pStyle w:val="null3"/>
            </w:pPr>
            <w:r>
              <w:rPr>
                <w:rFonts w:ascii="仿宋_GB2312" w:hAnsi="仿宋_GB2312" w:cs="仿宋_GB2312" w:eastAsia="仿宋_GB2312"/>
              </w:rPr>
              <w:t>响应文件封面 产品技术参数表 资格证明文件-谈判.docx 中小企业声明函 残疾人福利性单位声明函 商务应答表 标的清单 承诺书.docx 报价表 响应函 报价表.docx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详见附件：资格证明文件-谈判.docx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