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DED4D4">
      <w:pPr>
        <w:spacing w:line="360" w:lineRule="exact"/>
        <w:rPr>
          <w:rFonts w:hint="eastAsia" w:ascii="仿宋" w:hAnsi="仿宋" w:eastAsia="仿宋" w:cs="仿宋"/>
          <w:bCs/>
          <w:sz w:val="30"/>
          <w:szCs w:val="30"/>
          <w:highlight w:val="none"/>
        </w:rPr>
      </w:pPr>
      <w:r>
        <w:rPr>
          <w:rFonts w:hint="eastAsia" w:ascii="仿宋" w:hAnsi="仿宋" w:eastAsia="仿宋" w:cs="仿宋"/>
          <w:bCs/>
          <w:sz w:val="30"/>
          <w:szCs w:val="30"/>
          <w:highlight w:val="none"/>
        </w:rPr>
        <w:t>合同编号：</w:t>
      </w:r>
      <w:r>
        <w:rPr>
          <w:rFonts w:hint="eastAsia" w:ascii="仿宋" w:hAnsi="仿宋" w:eastAsia="仿宋" w:cs="仿宋"/>
          <w:bCs/>
          <w:sz w:val="30"/>
          <w:szCs w:val="30"/>
          <w:highlight w:val="none"/>
          <w:u w:val="single"/>
          <w:lang w:val="en-US" w:eastAsia="zh-CN"/>
        </w:rPr>
        <w:t xml:space="preserve">                </w:t>
      </w:r>
    </w:p>
    <w:p w14:paraId="7A010EEE">
      <w:pPr>
        <w:spacing w:line="360" w:lineRule="exact"/>
        <w:rPr>
          <w:rFonts w:hint="eastAsia" w:ascii="仿宋" w:hAnsi="仿宋" w:eastAsia="仿宋" w:cs="仿宋"/>
          <w:bCs/>
          <w:sz w:val="24"/>
          <w:highlight w:val="none"/>
        </w:rPr>
      </w:pPr>
    </w:p>
    <w:p w14:paraId="0E80D91C">
      <w:pPr>
        <w:spacing w:line="360" w:lineRule="exact"/>
        <w:rPr>
          <w:rFonts w:hint="eastAsia" w:ascii="仿宋" w:hAnsi="仿宋" w:eastAsia="仿宋" w:cs="仿宋"/>
          <w:bCs/>
          <w:sz w:val="24"/>
          <w:highlight w:val="none"/>
        </w:rPr>
      </w:pPr>
    </w:p>
    <w:p w14:paraId="49A85675">
      <w:pPr>
        <w:spacing w:line="360" w:lineRule="exact"/>
        <w:rPr>
          <w:rFonts w:hint="eastAsia" w:ascii="仿宋" w:hAnsi="仿宋" w:eastAsia="仿宋" w:cs="仿宋"/>
          <w:bCs/>
          <w:sz w:val="24"/>
          <w:highlight w:val="none"/>
        </w:rPr>
      </w:pPr>
    </w:p>
    <w:p w14:paraId="17324004">
      <w:pPr>
        <w:spacing w:line="360" w:lineRule="exact"/>
        <w:rPr>
          <w:rFonts w:hint="eastAsia" w:ascii="仿宋" w:hAnsi="仿宋" w:eastAsia="仿宋" w:cs="仿宋"/>
          <w:bCs/>
          <w:sz w:val="24"/>
          <w:highlight w:val="none"/>
        </w:rPr>
      </w:pPr>
    </w:p>
    <w:p w14:paraId="5E5A93AE">
      <w:pPr>
        <w:spacing w:line="360" w:lineRule="exact"/>
        <w:rPr>
          <w:rFonts w:hint="eastAsia" w:ascii="仿宋" w:hAnsi="仿宋" w:eastAsia="仿宋" w:cs="仿宋"/>
          <w:bCs/>
          <w:sz w:val="24"/>
          <w:highlight w:val="none"/>
        </w:rPr>
      </w:pPr>
    </w:p>
    <w:p w14:paraId="62749D62">
      <w:pPr>
        <w:spacing w:line="360" w:lineRule="auto"/>
        <w:jc w:val="center"/>
        <w:rPr>
          <w:rFonts w:hint="eastAsia" w:ascii="仿宋" w:hAnsi="仿宋" w:eastAsia="仿宋" w:cs="仿宋"/>
          <w:bCs/>
          <w:sz w:val="52"/>
          <w:szCs w:val="52"/>
          <w:highlight w:val="none"/>
        </w:rPr>
      </w:pPr>
      <w:r>
        <w:rPr>
          <w:rFonts w:hint="eastAsia" w:ascii="仿宋" w:hAnsi="仿宋" w:eastAsia="仿宋" w:cs="仿宋"/>
          <w:bCs/>
          <w:sz w:val="52"/>
          <w:szCs w:val="52"/>
          <w:highlight w:val="none"/>
        </w:rPr>
        <w:t>陕西省人民医院</w:t>
      </w:r>
    </w:p>
    <w:p w14:paraId="0D89DC31">
      <w:pPr>
        <w:spacing w:line="360" w:lineRule="auto"/>
        <w:jc w:val="center"/>
        <w:rPr>
          <w:rFonts w:hint="eastAsia" w:ascii="仿宋" w:hAnsi="仿宋" w:eastAsia="仿宋" w:cs="仿宋"/>
          <w:b/>
          <w:bCs w:val="0"/>
          <w:sz w:val="36"/>
          <w:szCs w:val="36"/>
          <w:highlight w:val="none"/>
          <w:lang w:eastAsia="zh-CN"/>
        </w:rPr>
      </w:pPr>
      <w:r>
        <w:rPr>
          <w:rFonts w:hint="eastAsia" w:ascii="仿宋" w:hAnsi="仿宋" w:eastAsia="仿宋" w:cs="仿宋"/>
          <w:bCs/>
          <w:sz w:val="52"/>
          <w:szCs w:val="52"/>
          <w:highlight w:val="none"/>
          <w:lang w:val="en-US" w:eastAsia="zh-CN"/>
        </w:rPr>
        <w:t>医用耗材招标采购准入品种购销合同</w:t>
      </w:r>
    </w:p>
    <w:p w14:paraId="6F5D1B0D">
      <w:pPr>
        <w:spacing w:line="360" w:lineRule="exact"/>
        <w:rPr>
          <w:rFonts w:hint="eastAsia" w:ascii="仿宋" w:hAnsi="仿宋" w:eastAsia="仿宋" w:cs="仿宋"/>
          <w:bCs/>
          <w:sz w:val="24"/>
          <w:highlight w:val="none"/>
        </w:rPr>
      </w:pPr>
    </w:p>
    <w:p w14:paraId="4619627A">
      <w:pPr>
        <w:spacing w:line="360" w:lineRule="exact"/>
        <w:rPr>
          <w:rFonts w:hint="eastAsia" w:ascii="仿宋" w:hAnsi="仿宋" w:eastAsia="仿宋" w:cs="仿宋"/>
          <w:bCs/>
          <w:sz w:val="24"/>
          <w:highlight w:val="none"/>
        </w:rPr>
      </w:pPr>
    </w:p>
    <w:p w14:paraId="10553EC2">
      <w:pPr>
        <w:spacing w:line="360" w:lineRule="exact"/>
        <w:rPr>
          <w:rFonts w:hint="eastAsia" w:ascii="仿宋" w:hAnsi="仿宋" w:eastAsia="仿宋" w:cs="仿宋"/>
          <w:bCs/>
          <w:sz w:val="24"/>
          <w:highlight w:val="none"/>
        </w:rPr>
      </w:pPr>
    </w:p>
    <w:p w14:paraId="579ADD22">
      <w:pPr>
        <w:spacing w:line="360" w:lineRule="exact"/>
        <w:rPr>
          <w:rFonts w:hint="eastAsia" w:ascii="仿宋" w:hAnsi="仿宋" w:eastAsia="仿宋" w:cs="仿宋"/>
          <w:bCs/>
          <w:sz w:val="24"/>
          <w:highlight w:val="none"/>
        </w:rPr>
      </w:pPr>
    </w:p>
    <w:p w14:paraId="29024881">
      <w:pPr>
        <w:spacing w:line="360" w:lineRule="exact"/>
        <w:rPr>
          <w:rFonts w:hint="eastAsia" w:ascii="仿宋" w:hAnsi="仿宋" w:eastAsia="仿宋" w:cs="仿宋"/>
          <w:bCs/>
          <w:sz w:val="24"/>
          <w:highlight w:val="none"/>
        </w:rPr>
      </w:pPr>
    </w:p>
    <w:p w14:paraId="7E6F0781">
      <w:pPr>
        <w:spacing w:line="360" w:lineRule="exact"/>
        <w:rPr>
          <w:rFonts w:hint="eastAsia" w:ascii="仿宋" w:hAnsi="仿宋" w:eastAsia="仿宋" w:cs="仿宋"/>
          <w:bCs/>
          <w:sz w:val="24"/>
          <w:highlight w:val="none"/>
        </w:rPr>
      </w:pPr>
    </w:p>
    <w:p w14:paraId="3C319B41">
      <w:pPr>
        <w:spacing w:line="360" w:lineRule="exact"/>
        <w:rPr>
          <w:rFonts w:hint="eastAsia" w:ascii="仿宋" w:hAnsi="仿宋" w:eastAsia="仿宋" w:cs="仿宋"/>
          <w:bCs/>
          <w:sz w:val="24"/>
          <w:highlight w:val="none"/>
        </w:rPr>
      </w:pPr>
    </w:p>
    <w:p w14:paraId="4F82F134">
      <w:pPr>
        <w:spacing w:line="360" w:lineRule="exact"/>
        <w:rPr>
          <w:rFonts w:hint="eastAsia" w:ascii="仿宋" w:hAnsi="仿宋" w:eastAsia="仿宋" w:cs="仿宋"/>
          <w:bCs/>
          <w:sz w:val="24"/>
          <w:highlight w:val="none"/>
        </w:rPr>
      </w:pPr>
    </w:p>
    <w:p w14:paraId="2ADC7CC5">
      <w:pPr>
        <w:spacing w:line="360" w:lineRule="exact"/>
        <w:rPr>
          <w:rFonts w:hint="eastAsia" w:ascii="仿宋" w:hAnsi="仿宋" w:eastAsia="仿宋" w:cs="仿宋"/>
          <w:bCs/>
          <w:sz w:val="24"/>
          <w:highlight w:val="none"/>
        </w:rPr>
      </w:pPr>
    </w:p>
    <w:p w14:paraId="1C2434D8">
      <w:pPr>
        <w:spacing w:line="360" w:lineRule="exact"/>
        <w:rPr>
          <w:rFonts w:hint="eastAsia" w:ascii="仿宋" w:hAnsi="仿宋" w:eastAsia="仿宋" w:cs="仿宋"/>
          <w:bCs/>
          <w:sz w:val="24"/>
          <w:highlight w:val="none"/>
        </w:rPr>
      </w:pPr>
    </w:p>
    <w:p w14:paraId="79BC59A2">
      <w:pPr>
        <w:spacing w:line="360" w:lineRule="exact"/>
        <w:rPr>
          <w:rFonts w:hint="eastAsia" w:ascii="仿宋" w:hAnsi="仿宋" w:eastAsia="仿宋" w:cs="仿宋"/>
          <w:bCs/>
          <w:sz w:val="24"/>
          <w:highlight w:val="none"/>
        </w:rPr>
      </w:pPr>
    </w:p>
    <w:p w14:paraId="499CDBD4">
      <w:pPr>
        <w:spacing w:line="360" w:lineRule="exact"/>
        <w:rPr>
          <w:rFonts w:hint="eastAsia" w:ascii="仿宋" w:hAnsi="仿宋" w:eastAsia="仿宋" w:cs="仿宋"/>
          <w:bCs/>
          <w:sz w:val="24"/>
          <w:highlight w:val="none"/>
        </w:rPr>
      </w:pPr>
    </w:p>
    <w:p w14:paraId="4FAC5A34">
      <w:pPr>
        <w:spacing w:line="360" w:lineRule="exact"/>
        <w:rPr>
          <w:rFonts w:hint="eastAsia" w:ascii="仿宋" w:hAnsi="仿宋" w:eastAsia="仿宋" w:cs="仿宋"/>
          <w:bCs/>
          <w:sz w:val="24"/>
          <w:highlight w:val="none"/>
        </w:rPr>
      </w:pPr>
    </w:p>
    <w:p w14:paraId="1CC1DBD6">
      <w:pPr>
        <w:spacing w:line="360" w:lineRule="exact"/>
        <w:rPr>
          <w:rFonts w:hint="eastAsia" w:ascii="仿宋" w:hAnsi="仿宋" w:eastAsia="仿宋" w:cs="仿宋"/>
          <w:bCs/>
          <w:sz w:val="24"/>
          <w:highlight w:val="none"/>
        </w:rPr>
      </w:pPr>
    </w:p>
    <w:p w14:paraId="222B22E4">
      <w:pPr>
        <w:spacing w:line="360" w:lineRule="exact"/>
        <w:rPr>
          <w:rFonts w:hint="eastAsia" w:ascii="仿宋" w:hAnsi="仿宋" w:eastAsia="仿宋" w:cs="仿宋"/>
          <w:bCs/>
          <w:sz w:val="24"/>
          <w:highlight w:val="none"/>
        </w:rPr>
      </w:pPr>
    </w:p>
    <w:p w14:paraId="2B4DE0BE">
      <w:pPr>
        <w:tabs>
          <w:tab w:val="left" w:pos="1020"/>
        </w:tabs>
        <w:spacing w:line="480" w:lineRule="auto"/>
        <w:ind w:firstLine="1687" w:firstLineChars="600"/>
        <w:rPr>
          <w:rFonts w:hint="eastAsia" w:ascii="仿宋" w:hAnsi="仿宋" w:eastAsia="仿宋" w:cs="仿宋"/>
          <w:b/>
          <w:sz w:val="28"/>
          <w:szCs w:val="28"/>
          <w:highlight w:val="none"/>
          <w:lang w:val="en-US" w:eastAsia="zh-CN"/>
        </w:rPr>
      </w:pPr>
      <w:r>
        <w:rPr>
          <w:rFonts w:hint="eastAsia" w:ascii="仿宋" w:hAnsi="仿宋" w:eastAsia="仿宋" w:cs="仿宋"/>
          <w:b/>
          <w:sz w:val="28"/>
          <w:szCs w:val="28"/>
          <w:highlight w:val="none"/>
          <w:lang w:val="en-US" w:eastAsia="zh-CN"/>
        </w:rPr>
        <w:t>采购</w:t>
      </w:r>
      <w:r>
        <w:rPr>
          <w:rFonts w:hint="eastAsia" w:ascii="仿宋" w:hAnsi="仿宋" w:eastAsia="仿宋" w:cs="仿宋"/>
          <w:b/>
          <w:sz w:val="28"/>
          <w:szCs w:val="28"/>
          <w:highlight w:val="none"/>
        </w:rPr>
        <w:t>项目：</w:t>
      </w:r>
      <w:r>
        <w:rPr>
          <w:rFonts w:hint="eastAsia" w:ascii="仿宋" w:hAnsi="仿宋" w:eastAsia="仿宋" w:cs="仿宋"/>
          <w:b/>
          <w:sz w:val="28"/>
          <w:szCs w:val="28"/>
          <w:highlight w:val="none"/>
          <w:u w:val="single"/>
          <w:lang w:eastAsia="zh-CN"/>
        </w:rPr>
        <w:t xml:space="preserve"> </w:t>
      </w:r>
      <w:r>
        <w:rPr>
          <w:rFonts w:hint="eastAsia" w:ascii="仿宋" w:hAnsi="仿宋" w:eastAsia="仿宋" w:cs="仿宋"/>
          <w:b/>
          <w:sz w:val="28"/>
          <w:szCs w:val="28"/>
          <w:highlight w:val="none"/>
          <w:u w:val="single"/>
          <w:lang w:val="en-US" w:eastAsia="zh-CN"/>
        </w:rPr>
        <w:t xml:space="preserve">                             </w:t>
      </w:r>
    </w:p>
    <w:p w14:paraId="0AE71DA6">
      <w:pPr>
        <w:tabs>
          <w:tab w:val="left" w:pos="1020"/>
        </w:tabs>
        <w:spacing w:line="480" w:lineRule="auto"/>
        <w:rPr>
          <w:rFonts w:hint="eastAsia" w:ascii="仿宋" w:hAnsi="仿宋" w:eastAsia="仿宋" w:cs="仿宋"/>
          <w:b/>
          <w:sz w:val="28"/>
          <w:szCs w:val="28"/>
          <w:highlight w:val="none"/>
          <w:lang w:val="en-US" w:eastAsia="zh-CN"/>
        </w:rPr>
      </w:pPr>
      <w:r>
        <w:rPr>
          <w:rFonts w:hint="eastAsia" w:ascii="仿宋" w:hAnsi="仿宋" w:eastAsia="仿宋" w:cs="仿宋"/>
          <w:b/>
          <w:sz w:val="28"/>
          <w:szCs w:val="28"/>
          <w:highlight w:val="none"/>
          <w:lang w:val="en-US" w:eastAsia="zh-CN"/>
        </w:rPr>
        <w:tab/>
      </w:r>
      <w:r>
        <w:rPr>
          <w:rFonts w:hint="eastAsia" w:ascii="仿宋" w:hAnsi="仿宋" w:eastAsia="仿宋" w:cs="仿宋"/>
          <w:b/>
          <w:sz w:val="28"/>
          <w:szCs w:val="28"/>
          <w:highlight w:val="none"/>
          <w:lang w:val="en-US" w:eastAsia="zh-CN"/>
        </w:rPr>
        <w:tab/>
      </w:r>
      <w:r>
        <w:rPr>
          <w:rFonts w:hint="eastAsia" w:ascii="仿宋" w:hAnsi="仿宋" w:eastAsia="仿宋" w:cs="仿宋"/>
          <w:b/>
          <w:sz w:val="28"/>
          <w:szCs w:val="28"/>
          <w:highlight w:val="none"/>
          <w:lang w:val="en-US" w:eastAsia="zh-CN"/>
        </w:rPr>
        <w:tab/>
      </w:r>
      <w:r>
        <w:rPr>
          <w:rFonts w:hint="eastAsia" w:ascii="仿宋" w:hAnsi="仿宋" w:eastAsia="仿宋" w:cs="仿宋"/>
          <w:b/>
          <w:sz w:val="28"/>
          <w:szCs w:val="28"/>
          <w:highlight w:val="none"/>
          <w:lang w:val="en-US" w:eastAsia="zh-CN"/>
        </w:rPr>
        <w:t>项目</w:t>
      </w:r>
      <w:r>
        <w:rPr>
          <w:rFonts w:hint="eastAsia" w:ascii="仿宋" w:hAnsi="仿宋" w:eastAsia="仿宋" w:cs="仿宋"/>
          <w:b/>
          <w:sz w:val="28"/>
          <w:szCs w:val="28"/>
          <w:highlight w:val="none"/>
        </w:rPr>
        <w:t>编号：</w:t>
      </w:r>
      <w:r>
        <w:rPr>
          <w:rFonts w:hint="eastAsia" w:ascii="仿宋" w:hAnsi="仿宋" w:eastAsia="仿宋" w:cs="仿宋"/>
          <w:b/>
          <w:sz w:val="28"/>
          <w:szCs w:val="28"/>
          <w:highlight w:val="none"/>
          <w:u w:val="single"/>
          <w:lang w:val="en-US" w:eastAsia="zh-CN"/>
        </w:rPr>
        <w:t xml:space="preserve">                              </w:t>
      </w:r>
    </w:p>
    <w:p w14:paraId="240458F6">
      <w:pPr>
        <w:spacing w:line="480" w:lineRule="auto"/>
        <w:ind w:firstLine="1687" w:firstLineChars="600"/>
        <w:rPr>
          <w:rFonts w:hint="eastAsia" w:ascii="仿宋" w:hAnsi="仿宋" w:eastAsia="仿宋" w:cs="仿宋"/>
          <w:b/>
          <w:sz w:val="28"/>
          <w:szCs w:val="28"/>
          <w:highlight w:val="none"/>
          <w:lang w:val="en-US"/>
        </w:rPr>
      </w:pPr>
      <w:r>
        <w:rPr>
          <w:rFonts w:hint="eastAsia" w:ascii="仿宋" w:hAnsi="仿宋" w:eastAsia="仿宋" w:cs="仿宋"/>
          <w:b/>
          <w:sz w:val="28"/>
          <w:szCs w:val="28"/>
          <w:highlight w:val="none"/>
        </w:rPr>
        <w:t>采购单位：</w:t>
      </w:r>
      <w:r>
        <w:rPr>
          <w:rFonts w:hint="eastAsia" w:ascii="仿宋" w:hAnsi="仿宋" w:eastAsia="仿宋" w:cs="仿宋"/>
          <w:b/>
          <w:sz w:val="28"/>
          <w:szCs w:val="28"/>
          <w:highlight w:val="none"/>
          <w:u w:val="single"/>
          <w:lang w:val="en-US" w:eastAsia="zh-CN"/>
        </w:rPr>
        <w:t xml:space="preserve">        </w:t>
      </w:r>
      <w:r>
        <w:rPr>
          <w:rFonts w:hint="eastAsia" w:ascii="仿宋" w:hAnsi="仿宋" w:eastAsia="仿宋" w:cs="仿宋"/>
          <w:b/>
          <w:sz w:val="28"/>
          <w:szCs w:val="28"/>
          <w:highlight w:val="none"/>
          <w:u w:val="single"/>
          <w:lang w:eastAsia="zh-CN"/>
        </w:rPr>
        <w:t>陕西省人民医院</w:t>
      </w:r>
      <w:r>
        <w:rPr>
          <w:rFonts w:hint="eastAsia" w:ascii="仿宋" w:hAnsi="仿宋" w:eastAsia="仿宋" w:cs="仿宋"/>
          <w:b/>
          <w:sz w:val="28"/>
          <w:szCs w:val="28"/>
          <w:highlight w:val="none"/>
          <w:u w:val="single"/>
          <w:lang w:val="en-US" w:eastAsia="zh-CN"/>
        </w:rPr>
        <w:t xml:space="preserve">        </w:t>
      </w:r>
    </w:p>
    <w:p w14:paraId="3FE363BD">
      <w:pPr>
        <w:spacing w:line="480" w:lineRule="auto"/>
        <w:ind w:firstLine="1687" w:firstLineChars="600"/>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供 应 商</w:t>
      </w:r>
      <w:r>
        <w:rPr>
          <w:rFonts w:hint="eastAsia" w:ascii="仿宋" w:hAnsi="仿宋" w:eastAsia="仿宋" w:cs="仿宋"/>
          <w:b/>
          <w:sz w:val="28"/>
          <w:szCs w:val="28"/>
          <w:highlight w:val="none"/>
        </w:rPr>
        <w:t>：</w:t>
      </w:r>
      <w:r>
        <w:rPr>
          <w:rFonts w:hint="eastAsia" w:ascii="仿宋" w:hAnsi="仿宋" w:eastAsia="仿宋" w:cs="仿宋"/>
          <w:b/>
          <w:sz w:val="28"/>
          <w:szCs w:val="28"/>
          <w:highlight w:val="none"/>
          <w:u w:val="single"/>
          <w:lang w:val="en-US" w:eastAsia="zh-CN"/>
        </w:rPr>
        <w:t xml:space="preserve">                              </w:t>
      </w:r>
    </w:p>
    <w:p w14:paraId="43F90FAB">
      <w:pPr>
        <w:rPr>
          <w:rFonts w:hint="eastAsia" w:ascii="仿宋" w:hAnsi="仿宋" w:eastAsia="仿宋" w:cs="仿宋"/>
          <w:highlight w:val="none"/>
        </w:rPr>
      </w:pPr>
    </w:p>
    <w:p w14:paraId="310AFC76">
      <w:pPr>
        <w:keepNext w:val="0"/>
        <w:keepLines w:val="0"/>
        <w:pageBreakBefore w:val="0"/>
        <w:widowControl w:val="0"/>
        <w:kinsoku/>
        <w:wordWrap/>
        <w:overflowPunct/>
        <w:topLinePunct w:val="0"/>
        <w:autoSpaceDE/>
        <w:autoSpaceDN/>
        <w:bidi w:val="0"/>
        <w:adjustRightInd/>
        <w:snapToGrid/>
        <w:spacing w:after="157" w:afterLines="50" w:line="360" w:lineRule="auto"/>
        <w:jc w:val="center"/>
        <w:textAlignment w:val="auto"/>
        <w:rPr>
          <w:rFonts w:hint="eastAsia" w:ascii="仿宋" w:hAnsi="仿宋" w:eastAsia="仿宋" w:cs="仿宋"/>
          <w:bCs/>
          <w:sz w:val="32"/>
          <w:szCs w:val="32"/>
          <w:highlight w:val="none"/>
        </w:rPr>
      </w:pPr>
      <w:r>
        <w:rPr>
          <w:rFonts w:hint="eastAsia" w:ascii="仿宋" w:hAnsi="仿宋" w:eastAsia="仿宋" w:cs="仿宋"/>
          <w:bCs/>
          <w:sz w:val="44"/>
          <w:szCs w:val="44"/>
          <w:highlight w:val="none"/>
          <w:lang w:val="en-US" w:eastAsia="zh-CN"/>
        </w:rPr>
        <w:br w:type="page"/>
      </w:r>
      <w:r>
        <w:rPr>
          <w:rFonts w:hint="eastAsia" w:ascii="仿宋" w:hAnsi="仿宋" w:eastAsia="仿宋" w:cs="仿宋"/>
          <w:b/>
          <w:bCs w:val="0"/>
          <w:sz w:val="32"/>
          <w:szCs w:val="32"/>
          <w:highlight w:val="none"/>
        </w:rPr>
        <w:t>陕西省人民医院</w:t>
      </w:r>
      <w:r>
        <w:rPr>
          <w:rFonts w:hint="eastAsia" w:ascii="仿宋" w:hAnsi="仿宋" w:eastAsia="仿宋" w:cs="仿宋"/>
          <w:b/>
          <w:bCs w:val="0"/>
          <w:sz w:val="32"/>
          <w:szCs w:val="32"/>
          <w:highlight w:val="none"/>
          <w:lang w:val="en-US" w:eastAsia="zh-CN"/>
        </w:rPr>
        <w:t>医用耗材招标采购准入品种购销合同</w:t>
      </w:r>
    </w:p>
    <w:p w14:paraId="29CB82A2">
      <w:pPr>
        <w:keepNext w:val="0"/>
        <w:keepLines w:val="0"/>
        <w:pageBreakBefore w:val="0"/>
        <w:widowControl w:val="0"/>
        <w:kinsoku/>
        <w:wordWrap/>
        <w:overflowPunct/>
        <w:topLinePunct w:val="0"/>
        <w:autoSpaceDE w:val="0"/>
        <w:autoSpaceDN w:val="0"/>
        <w:bidi w:val="0"/>
        <w:adjustRightInd w:val="0"/>
        <w:spacing w:line="240" w:lineRule="auto"/>
        <w:ind w:firstLine="482" w:firstLineChars="200"/>
        <w:jc w:val="both"/>
        <w:textAlignment w:val="auto"/>
        <w:rPr>
          <w:rFonts w:hint="eastAsia" w:ascii="仿宋" w:hAnsi="仿宋" w:eastAsia="仿宋" w:cs="仿宋"/>
          <w:b/>
          <w:bCs/>
          <w:sz w:val="24"/>
          <w:szCs w:val="24"/>
          <w:highlight w:val="none"/>
        </w:rPr>
      </w:pPr>
    </w:p>
    <w:p w14:paraId="1ADD0790">
      <w:pPr>
        <w:keepNext w:val="0"/>
        <w:keepLines w:val="0"/>
        <w:pageBreakBefore w:val="0"/>
        <w:widowControl w:val="0"/>
        <w:kinsoku/>
        <w:wordWrap/>
        <w:overflowPunct/>
        <w:topLinePunct w:val="0"/>
        <w:autoSpaceDE w:val="0"/>
        <w:autoSpaceDN w:val="0"/>
        <w:bidi w:val="0"/>
        <w:adjustRightInd w:val="0"/>
        <w:spacing w:line="240" w:lineRule="auto"/>
        <w:ind w:firstLine="482" w:firstLineChars="200"/>
        <w:jc w:val="both"/>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rPr>
        <w:t>甲方：</w:t>
      </w:r>
      <w:r>
        <w:rPr>
          <w:rFonts w:hint="eastAsia" w:ascii="仿宋" w:hAnsi="仿宋" w:eastAsia="仿宋" w:cs="仿宋"/>
          <w:b/>
          <w:bCs/>
          <w:sz w:val="24"/>
          <w:szCs w:val="24"/>
          <w:highlight w:val="none"/>
          <w:u w:val="single"/>
          <w:lang w:val="en-US" w:eastAsia="zh-CN"/>
        </w:rPr>
        <w:t xml:space="preserve">陕西省人民医院         </w:t>
      </w:r>
    </w:p>
    <w:p w14:paraId="21F188A8">
      <w:pPr>
        <w:keepNext w:val="0"/>
        <w:keepLines w:val="0"/>
        <w:pageBreakBefore w:val="0"/>
        <w:widowControl w:val="0"/>
        <w:kinsoku/>
        <w:wordWrap/>
        <w:overflowPunct/>
        <w:topLinePunct w:val="0"/>
        <w:autoSpaceDE w:val="0"/>
        <w:autoSpaceDN w:val="0"/>
        <w:bidi w:val="0"/>
        <w:adjustRightInd w:val="0"/>
        <w:spacing w:line="240" w:lineRule="auto"/>
        <w:ind w:firstLine="482" w:firstLineChars="200"/>
        <w:jc w:val="both"/>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rPr>
        <w:t>乙方：</w:t>
      </w:r>
      <w:r>
        <w:rPr>
          <w:rFonts w:hint="eastAsia" w:ascii="仿宋" w:hAnsi="仿宋" w:eastAsia="仿宋" w:cs="仿宋"/>
          <w:b/>
          <w:bCs/>
          <w:sz w:val="24"/>
          <w:szCs w:val="24"/>
          <w:highlight w:val="none"/>
          <w:u w:val="single"/>
          <w:lang w:val="en-US" w:eastAsia="zh-CN"/>
        </w:rPr>
        <w:t xml:space="preserve">                       </w:t>
      </w:r>
    </w:p>
    <w:p w14:paraId="4C0182AA">
      <w:pPr>
        <w:keepNext w:val="0"/>
        <w:keepLines w:val="0"/>
        <w:pageBreakBefore w:val="0"/>
        <w:widowControl w:val="0"/>
        <w:numPr>
          <w:ilvl w:val="0"/>
          <w:numId w:val="0"/>
        </w:numPr>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甲、乙双方依据相关法律法规，在平等、自愿、诚信的基础上，经协商达成以下合同条款，以资双方共同遵守：</w:t>
      </w:r>
    </w:p>
    <w:p w14:paraId="2AF4A2F8">
      <w:pPr>
        <w:keepNext w:val="0"/>
        <w:keepLines w:val="0"/>
        <w:pageBreakBefore w:val="0"/>
        <w:widowControl w:val="0"/>
        <w:kinsoku/>
        <w:wordWrap/>
        <w:overflowPunct/>
        <w:topLinePunct w:val="0"/>
        <w:bidi w:val="0"/>
        <w:spacing w:line="340" w:lineRule="exact"/>
        <w:ind w:firstLine="482" w:firstLineChars="200"/>
        <w:textAlignment w:val="auto"/>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第一条 购销产品</w:t>
      </w:r>
    </w:p>
    <w:p w14:paraId="0799ED4A">
      <w:pPr>
        <w:keepNext w:val="0"/>
        <w:keepLines w:val="0"/>
        <w:pageBreakBefore w:val="0"/>
        <w:widowControl w:val="0"/>
        <w:numPr>
          <w:ilvl w:val="0"/>
          <w:numId w:val="0"/>
        </w:numPr>
        <w:kinsoku/>
        <w:wordWrap/>
        <w:overflowPunct/>
        <w:topLinePunct w:val="0"/>
        <w:bidi w:val="0"/>
        <w:spacing w:line="340" w:lineRule="exact"/>
        <w:ind w:firstLine="480" w:firstLineChars="200"/>
        <w:jc w:val="both"/>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本合同确定的准入品种为甲、乙双方购销产品（包含医用耗材和诊断试剂，以下统称医用耗材），具体产品信息详见附件一。</w:t>
      </w:r>
    </w:p>
    <w:p w14:paraId="7E9F9953">
      <w:pPr>
        <w:keepNext w:val="0"/>
        <w:keepLines w:val="0"/>
        <w:pageBreakBefore w:val="0"/>
        <w:widowControl w:val="0"/>
        <w:kinsoku/>
        <w:wordWrap/>
        <w:overflowPunct/>
        <w:topLinePunct w:val="0"/>
        <w:bidi w:val="0"/>
        <w:spacing w:line="340" w:lineRule="exact"/>
        <w:ind w:firstLine="482" w:firstLineChars="200"/>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第二条 承诺保证</w:t>
      </w:r>
    </w:p>
    <w:p w14:paraId="6407CFFA">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（一）未经甲方书面同意，乙方不得部分转让或全部转让其应履行的合同。</w:t>
      </w:r>
      <w:r>
        <w:rPr>
          <w:rFonts w:hint="eastAsia" w:ascii="仿宋" w:hAnsi="仿宋" w:eastAsia="仿宋" w:cs="仿宋"/>
          <w:sz w:val="24"/>
          <w:highlight w:val="none"/>
        </w:rPr>
        <w:t>否则，甲方有权解除合同，并要求乙方承担相应的违约责任</w:t>
      </w:r>
      <w:r>
        <w:rPr>
          <w:rFonts w:hint="eastAsia" w:ascii="仿宋" w:hAnsi="仿宋" w:eastAsia="仿宋" w:cs="仿宋"/>
          <w:sz w:val="24"/>
          <w:highlight w:val="none"/>
          <w:lang w:eastAsia="zh-CN"/>
        </w:rPr>
        <w:t>。</w:t>
      </w:r>
    </w:p>
    <w:p w14:paraId="2602FAB3">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sz w:val="24"/>
          <w:szCs w:val="24"/>
          <w:highlight w:val="none"/>
          <w:lang w:val="en-US" w:eastAsia="zh-CN"/>
        </w:rPr>
        <w:t>（二）乙方承诺并签订</w:t>
      </w:r>
      <w:r>
        <w:rPr>
          <w:rFonts w:hint="eastAsia" w:ascii="仿宋" w:hAnsi="仿宋" w:eastAsia="仿宋" w:cs="仿宋"/>
          <w:bCs/>
          <w:sz w:val="24"/>
          <w:szCs w:val="24"/>
          <w:highlight w:val="none"/>
          <w:lang w:val="en-US" w:eastAsia="zh-CN"/>
        </w:rPr>
        <w:t>《医用耗材全省最低价承诺书》《医用耗材“两票制”执行承诺书》《陕西药品和医用耗材招采管理系统集中采购管理执行承诺书》《医用耗材供应质量承诺书》《医用耗材供应廉洁承诺书》《医用耗材资质真实性承诺书》等相关文件。</w:t>
      </w:r>
    </w:p>
    <w:p w14:paraId="3C9C977E">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（三）乙方承诺在未征得甲方书面同意前不得擅自终止产品配送，应当提前3个月以书面形式告知并征得甲方书面同意后可终止产品配送。</w:t>
      </w:r>
      <w:r>
        <w:rPr>
          <w:rFonts w:hint="eastAsia" w:ascii="仿宋" w:hAnsi="仿宋" w:eastAsia="仿宋" w:cs="仿宋"/>
          <w:bCs/>
          <w:sz w:val="24"/>
          <w:highlight w:val="none"/>
        </w:rPr>
        <w:t>若乙方擅自终止，应承担甲方因此遭受的全部损失，包括但不限于另行采购的差价、延误治疗造成的损失等</w:t>
      </w:r>
      <w:r>
        <w:rPr>
          <w:rFonts w:hint="eastAsia" w:ascii="仿宋" w:hAnsi="仿宋" w:eastAsia="仿宋" w:cs="仿宋"/>
          <w:bCs/>
          <w:sz w:val="24"/>
          <w:highlight w:val="none"/>
          <w:lang w:eastAsia="zh-CN"/>
        </w:rPr>
        <w:t>。</w:t>
      </w:r>
    </w:p>
    <w:p w14:paraId="323486A1">
      <w:pPr>
        <w:keepNext w:val="0"/>
        <w:keepLines w:val="0"/>
        <w:pageBreakBefore w:val="0"/>
        <w:widowControl w:val="0"/>
        <w:kinsoku/>
        <w:wordWrap/>
        <w:overflowPunct/>
        <w:topLinePunct w:val="0"/>
        <w:bidi w:val="0"/>
        <w:spacing w:line="340" w:lineRule="exact"/>
        <w:ind w:firstLine="482" w:firstLineChars="200"/>
        <w:textAlignment w:val="auto"/>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第三条 购销方式</w:t>
      </w:r>
    </w:p>
    <w:p w14:paraId="1BEB7220">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（一）合同确定的准入品种</w:t>
      </w:r>
      <w:r>
        <w:rPr>
          <w:rFonts w:hint="eastAsia" w:ascii="仿宋" w:hAnsi="仿宋" w:eastAsia="仿宋" w:cs="仿宋"/>
          <w:sz w:val="24"/>
          <w:szCs w:val="24"/>
          <w:highlight w:val="none"/>
        </w:rPr>
        <w:t>形成</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供应目录</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合同签订产品单价，据实结算。</w:t>
      </w:r>
    </w:p>
    <w:p w14:paraId="2A352127">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sz w:val="24"/>
          <w:highlight w:val="none"/>
          <w:lang w:val="en-US" w:eastAsia="zh-CN"/>
        </w:rPr>
      </w:pPr>
      <w:r>
        <w:rPr>
          <w:rFonts w:hint="eastAsia" w:ascii="仿宋" w:hAnsi="仿宋" w:eastAsia="仿宋" w:cs="仿宋"/>
          <w:sz w:val="24"/>
          <w:szCs w:val="24"/>
          <w:highlight w:val="none"/>
          <w:lang w:val="en-US" w:eastAsia="zh-CN"/>
        </w:rPr>
        <w:t>（二）乙方应当严格按照甲方指定管理部门的需求计划和管理要求进行配送</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据实结算。未经甲方指定管理部门核准擅自供应，甲方有权不予结算，乙方除自行承担损失外，</w:t>
      </w:r>
      <w:r>
        <w:rPr>
          <w:rFonts w:hint="eastAsia" w:ascii="仿宋" w:hAnsi="仿宋" w:eastAsia="仿宋" w:cs="仿宋"/>
          <w:sz w:val="24"/>
          <w:highlight w:val="none"/>
        </w:rPr>
        <w:t>还应</w:t>
      </w:r>
      <w:r>
        <w:rPr>
          <w:rFonts w:hint="eastAsia" w:ascii="仿宋" w:hAnsi="仿宋" w:eastAsia="仿宋" w:cs="仿宋"/>
          <w:sz w:val="24"/>
          <w:highlight w:val="none"/>
          <w:lang w:val="en-US" w:eastAsia="zh-CN"/>
        </w:rPr>
        <w:t>承担由此造成的医疗纠纷或经济赔偿责任。</w:t>
      </w:r>
    </w:p>
    <w:p w14:paraId="21D02F3B">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szCs w:val="24"/>
          <w:highlight w:val="none"/>
          <w:lang w:val="en-US" w:eastAsia="zh-CN"/>
        </w:rPr>
        <w:t>（三）乙方应当按照合同产品的品牌、规格、型号进行配送，配送完成及时结算。乙方不得以任何形式进行产品串换，否则甲方有权不予结算，乙方自行承担因此造成的一切责任和损失。</w:t>
      </w:r>
    </w:p>
    <w:p w14:paraId="3AD8ED6B">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highlight w:val="none"/>
          <w:lang w:eastAsia="zh-CN"/>
        </w:rPr>
        <w:t>（</w:t>
      </w:r>
      <w:r>
        <w:rPr>
          <w:rFonts w:hint="eastAsia" w:ascii="仿宋" w:hAnsi="仿宋" w:eastAsia="仿宋" w:cs="仿宋"/>
          <w:sz w:val="24"/>
          <w:highlight w:val="none"/>
          <w:lang w:val="en-US" w:eastAsia="zh-CN"/>
        </w:rPr>
        <w:t>四</w:t>
      </w:r>
      <w:r>
        <w:rPr>
          <w:rFonts w:hint="eastAsia" w:ascii="仿宋" w:hAnsi="仿宋" w:eastAsia="仿宋" w:cs="仿宋"/>
          <w:sz w:val="24"/>
          <w:highlight w:val="none"/>
          <w:lang w:eastAsia="zh-CN"/>
        </w:rPr>
        <w:t>）</w:t>
      </w:r>
      <w:r>
        <w:rPr>
          <w:rFonts w:hint="eastAsia" w:ascii="仿宋" w:hAnsi="仿宋" w:eastAsia="仿宋" w:cs="仿宋"/>
          <w:sz w:val="24"/>
          <w:highlight w:val="none"/>
          <w:lang w:val="en-US" w:eastAsia="zh-CN"/>
        </w:rPr>
        <w:t>购销业务范围涵盖一院两区，友谊院区和西咸院区统一进行，同质化管理。</w:t>
      </w:r>
    </w:p>
    <w:p w14:paraId="427CCA45">
      <w:pPr>
        <w:keepNext w:val="0"/>
        <w:keepLines w:val="0"/>
        <w:pageBreakBefore w:val="0"/>
        <w:widowControl w:val="0"/>
        <w:kinsoku/>
        <w:wordWrap/>
        <w:overflowPunct/>
        <w:topLinePunct w:val="0"/>
        <w:bidi w:val="0"/>
        <w:spacing w:line="340" w:lineRule="exact"/>
        <w:ind w:firstLine="482" w:firstLineChars="200"/>
        <w:textAlignment w:val="auto"/>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第四条 两票采购</w:t>
      </w:r>
    </w:p>
    <w:p w14:paraId="0E038448">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
          <w:bCs w:val="0"/>
          <w:sz w:val="24"/>
          <w:szCs w:val="24"/>
          <w:highlight w:val="none"/>
          <w:lang w:val="en-US" w:eastAsia="zh-CN"/>
        </w:rPr>
      </w:pPr>
      <w:r>
        <w:rPr>
          <w:rFonts w:hint="eastAsia" w:ascii="仿宋" w:hAnsi="仿宋" w:eastAsia="仿宋" w:cs="仿宋"/>
          <w:bCs/>
          <w:sz w:val="24"/>
          <w:szCs w:val="24"/>
          <w:highlight w:val="none"/>
          <w:lang w:val="en-US" w:eastAsia="zh-CN"/>
        </w:rPr>
        <w:t>甲、乙双方按照</w:t>
      </w:r>
      <w:r>
        <w:rPr>
          <w:rFonts w:hint="eastAsia" w:ascii="仿宋" w:hAnsi="仿宋" w:eastAsia="仿宋" w:cs="仿宋"/>
          <w:bCs/>
          <w:sz w:val="24"/>
          <w:szCs w:val="24"/>
          <w:highlight w:val="none"/>
        </w:rPr>
        <w:t>陕西省医改领导小组办公室等八部门制定的《关于进一步推进药品和医用耗材“两票制”的通知》（陕医改办发〔2018〕5号）</w:t>
      </w:r>
      <w:r>
        <w:rPr>
          <w:rFonts w:hint="eastAsia" w:ascii="仿宋" w:hAnsi="仿宋" w:eastAsia="仿宋" w:cs="仿宋"/>
          <w:bCs/>
          <w:sz w:val="24"/>
          <w:szCs w:val="24"/>
          <w:highlight w:val="none"/>
          <w:lang w:val="en-US" w:eastAsia="zh-CN"/>
        </w:rPr>
        <w:t>执行。</w:t>
      </w:r>
      <w:r>
        <w:rPr>
          <w:rFonts w:hint="eastAsia" w:ascii="仿宋" w:hAnsi="仿宋" w:eastAsia="仿宋" w:cs="仿宋"/>
          <w:bCs/>
          <w:sz w:val="24"/>
          <w:szCs w:val="24"/>
          <w:highlight w:val="none"/>
        </w:rPr>
        <w:t>如乙方</w:t>
      </w:r>
      <w:r>
        <w:rPr>
          <w:rFonts w:hint="eastAsia" w:ascii="仿宋" w:hAnsi="仿宋" w:eastAsia="仿宋" w:cs="仿宋"/>
          <w:bCs/>
          <w:sz w:val="24"/>
          <w:szCs w:val="24"/>
          <w:highlight w:val="none"/>
          <w:lang w:val="en-US" w:eastAsia="zh-CN"/>
        </w:rPr>
        <w:t>配送产品的</w:t>
      </w:r>
      <w:r>
        <w:rPr>
          <w:rFonts w:hint="eastAsia" w:ascii="仿宋" w:hAnsi="仿宋" w:eastAsia="仿宋" w:cs="仿宋"/>
          <w:bCs/>
          <w:sz w:val="24"/>
          <w:szCs w:val="24"/>
          <w:highlight w:val="none"/>
        </w:rPr>
        <w:t>种类、型号、批次等不符合“两票制”政策要求，乙方承担</w:t>
      </w:r>
      <w:r>
        <w:rPr>
          <w:rFonts w:hint="eastAsia" w:ascii="仿宋" w:hAnsi="仿宋" w:eastAsia="仿宋" w:cs="仿宋"/>
          <w:bCs/>
          <w:sz w:val="24"/>
          <w:szCs w:val="24"/>
          <w:highlight w:val="none"/>
          <w:lang w:val="en-US" w:eastAsia="zh-CN"/>
        </w:rPr>
        <w:t>相应</w:t>
      </w:r>
      <w:r>
        <w:rPr>
          <w:rFonts w:hint="eastAsia" w:ascii="仿宋" w:hAnsi="仿宋" w:eastAsia="仿宋" w:cs="仿宋"/>
          <w:bCs/>
          <w:sz w:val="24"/>
          <w:szCs w:val="24"/>
          <w:highlight w:val="none"/>
        </w:rPr>
        <w:t>责任，甲方有权就此提出包括但不限于</w:t>
      </w:r>
      <w:r>
        <w:rPr>
          <w:rFonts w:hint="eastAsia" w:ascii="仿宋" w:hAnsi="仿宋" w:eastAsia="仿宋" w:cs="仿宋"/>
          <w:bCs/>
          <w:sz w:val="24"/>
          <w:szCs w:val="24"/>
          <w:highlight w:val="none"/>
          <w:lang w:val="en-US" w:eastAsia="zh-CN"/>
        </w:rPr>
        <w:t>部分或全部</w:t>
      </w:r>
      <w:r>
        <w:rPr>
          <w:rFonts w:hint="eastAsia" w:ascii="仿宋" w:hAnsi="仿宋" w:eastAsia="仿宋" w:cs="仿宋"/>
          <w:bCs/>
          <w:sz w:val="24"/>
          <w:szCs w:val="24"/>
          <w:highlight w:val="none"/>
        </w:rPr>
        <w:t>合同</w:t>
      </w:r>
      <w:r>
        <w:rPr>
          <w:rFonts w:hint="eastAsia" w:ascii="仿宋" w:hAnsi="仿宋" w:eastAsia="仿宋" w:cs="仿宋"/>
          <w:bCs/>
          <w:sz w:val="24"/>
          <w:szCs w:val="24"/>
          <w:highlight w:val="none"/>
          <w:lang w:val="en-US" w:eastAsia="zh-CN"/>
        </w:rPr>
        <w:t>终止，同时甲方有权不予结算或要求乙方</w:t>
      </w:r>
      <w:r>
        <w:rPr>
          <w:rFonts w:hint="eastAsia" w:ascii="仿宋" w:hAnsi="仿宋" w:eastAsia="仿宋" w:cs="仿宋"/>
          <w:bCs/>
          <w:sz w:val="24"/>
          <w:szCs w:val="24"/>
          <w:highlight w:val="none"/>
        </w:rPr>
        <w:t>退还已支付</w:t>
      </w:r>
      <w:r>
        <w:rPr>
          <w:rFonts w:hint="eastAsia" w:ascii="仿宋" w:hAnsi="仿宋" w:eastAsia="仿宋" w:cs="仿宋"/>
          <w:bCs/>
          <w:sz w:val="24"/>
          <w:szCs w:val="24"/>
          <w:highlight w:val="none"/>
          <w:lang w:val="en-US" w:eastAsia="zh-CN"/>
        </w:rPr>
        <w:t>结算款项等，</w:t>
      </w:r>
      <w:r>
        <w:rPr>
          <w:rFonts w:hint="eastAsia" w:ascii="仿宋" w:hAnsi="仿宋" w:eastAsia="仿宋" w:cs="仿宋"/>
          <w:bCs/>
          <w:sz w:val="24"/>
          <w:highlight w:val="none"/>
        </w:rPr>
        <w:t>并保留追究乙方其他法律责任的权利。</w:t>
      </w:r>
    </w:p>
    <w:p w14:paraId="1787DD80">
      <w:pPr>
        <w:keepNext w:val="0"/>
        <w:keepLines w:val="0"/>
        <w:pageBreakBefore w:val="0"/>
        <w:widowControl w:val="0"/>
        <w:kinsoku/>
        <w:wordWrap/>
        <w:overflowPunct/>
        <w:topLinePunct w:val="0"/>
        <w:bidi w:val="0"/>
        <w:spacing w:line="340" w:lineRule="exact"/>
        <w:ind w:firstLine="482" w:firstLineChars="200"/>
        <w:textAlignment w:val="auto"/>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第五条 平台采购</w:t>
      </w:r>
    </w:p>
    <w:p w14:paraId="12C285D6">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bCs/>
          <w:sz w:val="24"/>
          <w:szCs w:val="24"/>
          <w:highlight w:val="none"/>
          <w:lang w:val="en-US" w:eastAsia="zh-CN"/>
        </w:rPr>
        <w:t>（一）甲、乙双方</w:t>
      </w:r>
      <w:r>
        <w:rPr>
          <w:rFonts w:hint="eastAsia" w:ascii="仿宋" w:hAnsi="仿宋" w:eastAsia="仿宋" w:cs="仿宋"/>
          <w:sz w:val="24"/>
          <w:szCs w:val="24"/>
          <w:highlight w:val="none"/>
        </w:rPr>
        <w:t>按照《陕西省医疗保障局关于进一步做好医用耗材集中采购工作的通知》（陕医保函〔2024〕150号）</w:t>
      </w:r>
      <w:r>
        <w:rPr>
          <w:rFonts w:hint="eastAsia" w:ascii="仿宋" w:hAnsi="仿宋" w:eastAsia="仿宋" w:cs="仿宋"/>
          <w:sz w:val="24"/>
          <w:szCs w:val="24"/>
          <w:highlight w:val="none"/>
          <w:lang w:val="en-US" w:eastAsia="zh-CN"/>
        </w:rPr>
        <w:t>执行</w:t>
      </w:r>
      <w:r>
        <w:rPr>
          <w:rFonts w:hint="eastAsia" w:ascii="仿宋" w:hAnsi="仿宋" w:eastAsia="仿宋" w:cs="仿宋"/>
          <w:sz w:val="24"/>
          <w:szCs w:val="24"/>
          <w:highlight w:val="none"/>
          <w:lang w:eastAsia="zh-CN"/>
        </w:rPr>
        <w:t>。</w:t>
      </w:r>
      <w:r>
        <w:rPr>
          <w:rFonts w:hint="eastAsia" w:ascii="仿宋" w:hAnsi="仿宋" w:eastAsia="仿宋" w:cs="仿宋"/>
          <w:bCs/>
          <w:sz w:val="24"/>
          <w:szCs w:val="24"/>
          <w:highlight w:val="none"/>
        </w:rPr>
        <w:t>文件中的医用耗材指获得药品监督管理部门注册批准，属于国家医保医用耗材分类范围的医用耗材</w:t>
      </w: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rPr>
        <w:t>包括体外诊断试剂</w:t>
      </w:r>
      <w:r>
        <w:rPr>
          <w:rFonts w:hint="eastAsia" w:ascii="仿宋" w:hAnsi="仿宋" w:eastAsia="仿宋" w:cs="仿宋"/>
          <w:bCs/>
          <w:sz w:val="24"/>
          <w:szCs w:val="24"/>
          <w:highlight w:val="none"/>
          <w:lang w:eastAsia="zh-CN"/>
        </w:rPr>
        <w:t>，</w:t>
      </w:r>
      <w:r>
        <w:rPr>
          <w:rFonts w:hint="eastAsia" w:ascii="仿宋" w:hAnsi="仿宋" w:eastAsia="仿宋" w:cs="仿宋"/>
          <w:sz w:val="24"/>
          <w:szCs w:val="24"/>
          <w:highlight w:val="none"/>
        </w:rPr>
        <w:t>均应当</w:t>
      </w:r>
      <w:r>
        <w:rPr>
          <w:rFonts w:hint="eastAsia" w:ascii="仿宋" w:hAnsi="仿宋" w:eastAsia="仿宋" w:cs="仿宋"/>
          <w:sz w:val="24"/>
          <w:szCs w:val="24"/>
          <w:highlight w:val="none"/>
          <w:lang w:val="en-US" w:eastAsia="zh-CN"/>
        </w:rPr>
        <w:t>在</w:t>
      </w:r>
      <w:r>
        <w:rPr>
          <w:rFonts w:hint="eastAsia" w:ascii="仿宋" w:hAnsi="仿宋" w:eastAsia="仿宋" w:cs="仿宋"/>
          <w:sz w:val="24"/>
          <w:szCs w:val="24"/>
          <w:highlight w:val="none"/>
        </w:rPr>
        <w:t>陕西药品和医用耗材招采管理系统（以下简称省药耗招采平台）申请挂网并通过省药耗招采平台</w:t>
      </w:r>
      <w:r>
        <w:rPr>
          <w:rFonts w:hint="eastAsia" w:ascii="仿宋" w:hAnsi="仿宋" w:eastAsia="仿宋" w:cs="仿宋"/>
          <w:sz w:val="24"/>
          <w:szCs w:val="24"/>
          <w:highlight w:val="none"/>
          <w:lang w:val="en-US" w:eastAsia="zh-CN"/>
        </w:rPr>
        <w:t>进行</w:t>
      </w:r>
      <w:r>
        <w:rPr>
          <w:rFonts w:hint="eastAsia" w:ascii="仿宋" w:hAnsi="仿宋" w:eastAsia="仿宋" w:cs="仿宋"/>
          <w:sz w:val="24"/>
          <w:szCs w:val="24"/>
          <w:highlight w:val="none"/>
        </w:rPr>
        <w:t>购销。</w:t>
      </w:r>
    </w:p>
    <w:p w14:paraId="38244947">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二</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产品未挂网或撤网，乙方应当及时向甲方出具情况说明。</w:t>
      </w:r>
    </w:p>
    <w:p w14:paraId="613DE2EA">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
          <w:bCs w:val="0"/>
          <w:sz w:val="24"/>
          <w:szCs w:val="24"/>
          <w:highlight w:val="none"/>
          <w:lang w:val="en-US"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三</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乙方应</w:t>
      </w:r>
      <w:r>
        <w:rPr>
          <w:rFonts w:hint="eastAsia" w:ascii="仿宋" w:hAnsi="仿宋" w:eastAsia="仿宋" w:cs="仿宋"/>
          <w:sz w:val="24"/>
          <w:szCs w:val="24"/>
          <w:highlight w:val="none"/>
          <w:lang w:val="en-US" w:eastAsia="zh-CN"/>
        </w:rPr>
        <w:t>当</w:t>
      </w:r>
      <w:r>
        <w:rPr>
          <w:rFonts w:hint="eastAsia" w:ascii="仿宋" w:hAnsi="仿宋" w:eastAsia="仿宋" w:cs="仿宋"/>
          <w:sz w:val="24"/>
          <w:szCs w:val="24"/>
          <w:highlight w:val="none"/>
        </w:rPr>
        <w:t>配合甲方做好</w:t>
      </w:r>
      <w:r>
        <w:rPr>
          <w:rFonts w:hint="eastAsia" w:ascii="仿宋" w:hAnsi="仿宋" w:eastAsia="仿宋" w:cs="仿宋"/>
          <w:sz w:val="24"/>
          <w:szCs w:val="24"/>
          <w:highlight w:val="none"/>
          <w:lang w:val="en-US" w:eastAsia="zh-CN"/>
        </w:rPr>
        <w:t>平台采购</w:t>
      </w:r>
      <w:r>
        <w:rPr>
          <w:rFonts w:hint="eastAsia" w:ascii="仿宋" w:hAnsi="仿宋" w:eastAsia="仿宋" w:cs="仿宋"/>
          <w:sz w:val="24"/>
          <w:szCs w:val="24"/>
          <w:highlight w:val="none"/>
        </w:rPr>
        <w:t>相关工作</w:t>
      </w:r>
      <w:r>
        <w:rPr>
          <w:rFonts w:hint="eastAsia" w:ascii="仿宋" w:hAnsi="仿宋" w:eastAsia="仿宋" w:cs="仿宋"/>
          <w:sz w:val="24"/>
          <w:szCs w:val="24"/>
          <w:highlight w:val="none"/>
          <w:lang w:eastAsia="zh-CN"/>
        </w:rPr>
        <w:t>，</w:t>
      </w:r>
      <w:r>
        <w:rPr>
          <w:rFonts w:hint="eastAsia" w:ascii="仿宋" w:hAnsi="仿宋" w:eastAsia="仿宋" w:cs="仿宋"/>
          <w:bCs/>
          <w:sz w:val="24"/>
          <w:szCs w:val="24"/>
          <w:highlight w:val="none"/>
        </w:rPr>
        <w:t>如乙方</w:t>
      </w:r>
      <w:r>
        <w:rPr>
          <w:rFonts w:hint="eastAsia" w:ascii="仿宋" w:hAnsi="仿宋" w:eastAsia="仿宋" w:cs="仿宋"/>
          <w:bCs/>
          <w:sz w:val="24"/>
          <w:szCs w:val="24"/>
          <w:highlight w:val="none"/>
          <w:lang w:val="en-US" w:eastAsia="zh-CN"/>
        </w:rPr>
        <w:t>配送产品的</w:t>
      </w:r>
      <w:r>
        <w:rPr>
          <w:rFonts w:hint="eastAsia" w:ascii="仿宋" w:hAnsi="仿宋" w:eastAsia="仿宋" w:cs="仿宋"/>
          <w:bCs/>
          <w:sz w:val="24"/>
          <w:szCs w:val="24"/>
          <w:highlight w:val="none"/>
        </w:rPr>
        <w:t>种类、型号等不符合政策要求，乙方承担</w:t>
      </w:r>
      <w:r>
        <w:rPr>
          <w:rFonts w:hint="eastAsia" w:ascii="仿宋" w:hAnsi="仿宋" w:eastAsia="仿宋" w:cs="仿宋"/>
          <w:bCs/>
          <w:sz w:val="24"/>
          <w:szCs w:val="24"/>
          <w:highlight w:val="none"/>
          <w:lang w:val="en-US" w:eastAsia="zh-CN"/>
        </w:rPr>
        <w:t>相应</w:t>
      </w:r>
      <w:r>
        <w:rPr>
          <w:rFonts w:hint="eastAsia" w:ascii="仿宋" w:hAnsi="仿宋" w:eastAsia="仿宋" w:cs="仿宋"/>
          <w:bCs/>
          <w:sz w:val="24"/>
          <w:szCs w:val="24"/>
          <w:highlight w:val="none"/>
        </w:rPr>
        <w:t>责任，甲方有权就此提出包括但不限于</w:t>
      </w:r>
      <w:r>
        <w:rPr>
          <w:rFonts w:hint="eastAsia" w:ascii="仿宋" w:hAnsi="仿宋" w:eastAsia="仿宋" w:cs="仿宋"/>
          <w:bCs/>
          <w:sz w:val="24"/>
          <w:szCs w:val="24"/>
          <w:highlight w:val="none"/>
          <w:lang w:val="en-US" w:eastAsia="zh-CN"/>
        </w:rPr>
        <w:t>部分或全部</w:t>
      </w:r>
      <w:r>
        <w:rPr>
          <w:rFonts w:hint="eastAsia" w:ascii="仿宋" w:hAnsi="仿宋" w:eastAsia="仿宋" w:cs="仿宋"/>
          <w:bCs/>
          <w:sz w:val="24"/>
          <w:szCs w:val="24"/>
          <w:highlight w:val="none"/>
        </w:rPr>
        <w:t>合同</w:t>
      </w:r>
      <w:r>
        <w:rPr>
          <w:rFonts w:hint="eastAsia" w:ascii="仿宋" w:hAnsi="仿宋" w:eastAsia="仿宋" w:cs="仿宋"/>
          <w:bCs/>
          <w:sz w:val="24"/>
          <w:szCs w:val="24"/>
          <w:highlight w:val="none"/>
          <w:lang w:val="en-US" w:eastAsia="zh-CN"/>
        </w:rPr>
        <w:t>终止，同时甲方有权不予结算或要求乙方</w:t>
      </w:r>
      <w:r>
        <w:rPr>
          <w:rFonts w:hint="eastAsia" w:ascii="仿宋" w:hAnsi="仿宋" w:eastAsia="仿宋" w:cs="仿宋"/>
          <w:bCs/>
          <w:sz w:val="24"/>
          <w:szCs w:val="24"/>
          <w:highlight w:val="none"/>
        </w:rPr>
        <w:t>退还已支付</w:t>
      </w:r>
      <w:r>
        <w:rPr>
          <w:rFonts w:hint="eastAsia" w:ascii="仿宋" w:hAnsi="仿宋" w:eastAsia="仿宋" w:cs="仿宋"/>
          <w:bCs/>
          <w:sz w:val="24"/>
          <w:szCs w:val="24"/>
          <w:highlight w:val="none"/>
          <w:lang w:val="en-US" w:eastAsia="zh-CN"/>
        </w:rPr>
        <w:t>结算款项等，</w:t>
      </w:r>
      <w:r>
        <w:rPr>
          <w:rFonts w:hint="eastAsia" w:ascii="仿宋" w:hAnsi="仿宋" w:eastAsia="仿宋" w:cs="仿宋"/>
          <w:bCs/>
          <w:sz w:val="24"/>
          <w:highlight w:val="none"/>
        </w:rPr>
        <w:t>并保留追究乙方其他法律责任的权利。</w:t>
      </w:r>
    </w:p>
    <w:p w14:paraId="0074EBE4">
      <w:pPr>
        <w:keepNext w:val="0"/>
        <w:keepLines w:val="0"/>
        <w:pageBreakBefore w:val="0"/>
        <w:widowControl w:val="0"/>
        <w:numPr>
          <w:ilvl w:val="0"/>
          <w:numId w:val="0"/>
        </w:numPr>
        <w:kinsoku/>
        <w:wordWrap/>
        <w:overflowPunct/>
        <w:topLinePunct w:val="0"/>
        <w:bidi w:val="0"/>
        <w:spacing w:line="340" w:lineRule="exact"/>
        <w:ind w:firstLine="482" w:firstLineChars="200"/>
        <w:textAlignment w:val="auto"/>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第六条 规格包装</w:t>
      </w:r>
    </w:p>
    <w:p w14:paraId="6CAC5B10">
      <w:pPr>
        <w:keepNext w:val="0"/>
        <w:keepLines w:val="0"/>
        <w:pageBreakBefore w:val="0"/>
        <w:widowControl w:val="0"/>
        <w:numPr>
          <w:ilvl w:val="0"/>
          <w:numId w:val="0"/>
        </w:numPr>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乙方交付产品的规格包装应当符合国家、地方、行业及甲方对采购产品的包装要求。</w:t>
      </w:r>
    </w:p>
    <w:p w14:paraId="50ACFDF4">
      <w:pPr>
        <w:keepNext w:val="0"/>
        <w:keepLines w:val="0"/>
        <w:pageBreakBefore w:val="0"/>
        <w:widowControl w:val="0"/>
        <w:kinsoku/>
        <w:wordWrap/>
        <w:overflowPunct/>
        <w:topLinePunct w:val="0"/>
        <w:bidi w:val="0"/>
        <w:spacing w:line="340" w:lineRule="exact"/>
        <w:ind w:firstLine="482" w:firstLineChars="200"/>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第七条 产品价格</w:t>
      </w:r>
    </w:p>
    <w:p w14:paraId="7B90220E">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（一）乙方承诺保证产品价格不高于省药耗招采平台挂网价格；向甲方以陕西省全省最低价格配送产品。否则，乙方应当向甲方按照货款的累计差额进行补偿。</w:t>
      </w:r>
      <w:r>
        <w:rPr>
          <w:rFonts w:hint="eastAsia" w:ascii="仿宋" w:hAnsi="仿宋" w:eastAsia="仿宋" w:cs="仿宋"/>
          <w:sz w:val="24"/>
          <w:highlight w:val="none"/>
        </w:rPr>
        <w:t>同时，甲方有权调整</w:t>
      </w:r>
      <w:r>
        <w:rPr>
          <w:rFonts w:hint="eastAsia" w:ascii="仿宋" w:hAnsi="仿宋" w:eastAsia="仿宋" w:cs="仿宋"/>
          <w:sz w:val="24"/>
          <w:highlight w:val="none"/>
          <w:lang w:val="en-US" w:eastAsia="zh-CN"/>
        </w:rPr>
        <w:t>产品</w:t>
      </w:r>
      <w:r>
        <w:rPr>
          <w:rFonts w:hint="eastAsia" w:ascii="仿宋" w:hAnsi="仿宋" w:eastAsia="仿宋" w:cs="仿宋"/>
          <w:sz w:val="24"/>
          <w:highlight w:val="none"/>
        </w:rPr>
        <w:t>价格</w:t>
      </w:r>
      <w:r>
        <w:rPr>
          <w:rFonts w:hint="eastAsia" w:ascii="仿宋" w:hAnsi="仿宋" w:eastAsia="仿宋" w:cs="仿宋"/>
          <w:sz w:val="24"/>
          <w:highlight w:val="none"/>
          <w:lang w:eastAsia="zh-CN"/>
        </w:rPr>
        <w:t>，</w:t>
      </w:r>
      <w:r>
        <w:rPr>
          <w:rFonts w:hint="eastAsia" w:ascii="仿宋" w:hAnsi="仿宋" w:eastAsia="仿宋" w:cs="仿宋"/>
          <w:sz w:val="24"/>
          <w:highlight w:val="none"/>
          <w:lang w:val="en-US" w:eastAsia="zh-CN"/>
        </w:rPr>
        <w:t>终止</w:t>
      </w:r>
      <w:r>
        <w:rPr>
          <w:rFonts w:hint="eastAsia" w:ascii="仿宋" w:hAnsi="仿宋" w:eastAsia="仿宋" w:cs="仿宋"/>
          <w:bCs/>
          <w:sz w:val="24"/>
          <w:szCs w:val="24"/>
          <w:highlight w:val="none"/>
          <w:lang w:val="en-US" w:eastAsia="zh-CN"/>
        </w:rPr>
        <w:t>部分或全部</w:t>
      </w:r>
      <w:r>
        <w:rPr>
          <w:rFonts w:hint="eastAsia" w:ascii="仿宋" w:hAnsi="仿宋" w:eastAsia="仿宋" w:cs="仿宋"/>
          <w:bCs/>
          <w:sz w:val="24"/>
          <w:szCs w:val="24"/>
          <w:highlight w:val="none"/>
        </w:rPr>
        <w:t>合同</w:t>
      </w:r>
      <w:r>
        <w:rPr>
          <w:rFonts w:hint="eastAsia" w:ascii="仿宋" w:hAnsi="仿宋" w:eastAsia="仿宋" w:cs="仿宋"/>
          <w:sz w:val="24"/>
          <w:highlight w:val="none"/>
        </w:rPr>
        <w:t>。</w:t>
      </w:r>
    </w:p>
    <w:p w14:paraId="4347DEFC">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（二）乙方应当接受甲方的邀请议价，协商产品价格调整，</w:t>
      </w:r>
      <w:r>
        <w:rPr>
          <w:rFonts w:hint="eastAsia" w:ascii="仿宋" w:hAnsi="仿宋" w:eastAsia="仿宋" w:cs="仿宋"/>
          <w:sz w:val="24"/>
          <w:highlight w:val="none"/>
        </w:rPr>
        <w:t>若乙方拒绝议价或不积极协商，甲方有权</w:t>
      </w:r>
      <w:r>
        <w:rPr>
          <w:rFonts w:hint="eastAsia" w:ascii="仿宋" w:hAnsi="仿宋" w:eastAsia="仿宋" w:cs="仿宋"/>
          <w:sz w:val="24"/>
          <w:highlight w:val="none"/>
          <w:lang w:val="en-US" w:eastAsia="zh-CN"/>
        </w:rPr>
        <w:t>终止</w:t>
      </w:r>
      <w:r>
        <w:rPr>
          <w:rFonts w:hint="eastAsia" w:ascii="仿宋" w:hAnsi="仿宋" w:eastAsia="仿宋" w:cs="仿宋"/>
          <w:bCs/>
          <w:sz w:val="24"/>
          <w:szCs w:val="24"/>
          <w:highlight w:val="none"/>
          <w:lang w:val="en-US" w:eastAsia="zh-CN"/>
        </w:rPr>
        <w:t>部分或全部</w:t>
      </w:r>
      <w:r>
        <w:rPr>
          <w:rFonts w:hint="eastAsia" w:ascii="仿宋" w:hAnsi="仿宋" w:eastAsia="仿宋" w:cs="仿宋"/>
          <w:bCs/>
          <w:sz w:val="24"/>
          <w:szCs w:val="24"/>
          <w:highlight w:val="none"/>
        </w:rPr>
        <w:t>合同</w:t>
      </w:r>
      <w:r>
        <w:rPr>
          <w:rFonts w:hint="eastAsia" w:ascii="仿宋" w:hAnsi="仿宋" w:eastAsia="仿宋" w:cs="仿宋"/>
          <w:sz w:val="24"/>
          <w:highlight w:val="none"/>
        </w:rPr>
        <w:t>。</w:t>
      </w:r>
    </w:p>
    <w:p w14:paraId="51C92923">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（三）乙方应随时关注省药耗招采平台挂网价格动态调整，每次配送必须确认价格不高于挂网价格；已暂存入库产品应当及时按照省药耗招采平台挂网价格调整，否则甲方有权拒绝办理发票入账，不予结算。</w:t>
      </w:r>
    </w:p>
    <w:p w14:paraId="3250F1C7">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（四）产品未挂网或撤网，乙方应当及时向甲方出具情况说明。</w:t>
      </w:r>
    </w:p>
    <w:p w14:paraId="2714775C">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（五）最终采购价格包含相关税费等一切费用。</w:t>
      </w:r>
    </w:p>
    <w:p w14:paraId="07B66C47">
      <w:pPr>
        <w:keepNext w:val="0"/>
        <w:keepLines w:val="0"/>
        <w:pageBreakBefore w:val="0"/>
        <w:widowControl w:val="0"/>
        <w:kinsoku/>
        <w:wordWrap/>
        <w:overflowPunct/>
        <w:topLinePunct w:val="0"/>
        <w:bidi w:val="0"/>
        <w:spacing w:line="340" w:lineRule="exact"/>
        <w:ind w:firstLine="482" w:firstLineChars="200"/>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第八条 产品效期</w:t>
      </w:r>
    </w:p>
    <w:p w14:paraId="43D70AEE">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除特殊情况外，甲方收到产品的时间距离产品效期截止日原则上</w:t>
      </w:r>
      <w:r>
        <w:rPr>
          <w:rFonts w:hint="eastAsia" w:ascii="仿宋" w:hAnsi="仿宋" w:eastAsia="仿宋" w:cs="仿宋"/>
          <w:sz w:val="24"/>
          <w:highlight w:val="none"/>
          <w:lang w:val="en-US" w:eastAsia="zh-CN"/>
        </w:rPr>
        <w:t>不得少于</w:t>
      </w:r>
      <w:r>
        <w:rPr>
          <w:rFonts w:hint="eastAsia" w:ascii="仿宋" w:hAnsi="仿宋" w:eastAsia="仿宋" w:cs="仿宋"/>
          <w:sz w:val="24"/>
          <w:szCs w:val="24"/>
          <w:highlight w:val="none"/>
          <w:lang w:val="en-US" w:eastAsia="zh-CN"/>
        </w:rPr>
        <w:t>3</w:t>
      </w:r>
      <w:bookmarkStart w:id="0" w:name="_GoBack"/>
      <w:r>
        <w:rPr>
          <w:rFonts w:hint="eastAsia" w:ascii="仿宋" w:hAnsi="仿宋" w:eastAsia="仿宋" w:cs="仿宋"/>
          <w:sz w:val="24"/>
          <w:szCs w:val="24"/>
          <w:highlight w:val="none"/>
          <w:lang w:val="en-US" w:eastAsia="zh-CN"/>
        </w:rPr>
        <w:t>个月。乙方配送的产品在有效期内若出现质量问题，乙方应当于接到甲方通知后</w:t>
      </w:r>
      <w:bookmarkEnd w:id="0"/>
      <w:r>
        <w:rPr>
          <w:rFonts w:hint="eastAsia" w:ascii="仿宋" w:hAnsi="仿宋" w:eastAsia="仿宋" w:cs="仿宋"/>
          <w:sz w:val="24"/>
          <w:szCs w:val="24"/>
          <w:highlight w:val="none"/>
          <w:lang w:val="en-US" w:eastAsia="zh-CN"/>
        </w:rPr>
        <w:t>的1个工作日内完成产品退换，因退还产品产生的一切人工、交通、产品费用均由乙方全部承担，</w:t>
      </w:r>
      <w:r>
        <w:rPr>
          <w:rFonts w:hint="eastAsia" w:ascii="仿宋" w:hAnsi="仿宋" w:eastAsia="仿宋" w:cs="仿宋"/>
          <w:sz w:val="24"/>
          <w:highlight w:val="none"/>
        </w:rPr>
        <w:t>包括但不限于延误治疗造成的损失、另行采购的差价等。若因产品质量问题导致医疗事故，乙方应的承担全部法律责任</w:t>
      </w:r>
      <w:r>
        <w:rPr>
          <w:rFonts w:hint="eastAsia" w:ascii="仿宋" w:hAnsi="仿宋" w:eastAsia="仿宋" w:cs="仿宋"/>
          <w:sz w:val="24"/>
          <w:szCs w:val="24"/>
          <w:highlight w:val="none"/>
          <w:lang w:val="en-US" w:eastAsia="zh-CN"/>
        </w:rPr>
        <w:t>。</w:t>
      </w:r>
    </w:p>
    <w:p w14:paraId="140B75FA">
      <w:pPr>
        <w:keepNext w:val="0"/>
        <w:keepLines w:val="0"/>
        <w:pageBreakBefore w:val="0"/>
        <w:widowControl w:val="0"/>
        <w:kinsoku/>
        <w:wordWrap/>
        <w:overflowPunct/>
        <w:topLinePunct w:val="0"/>
        <w:bidi w:val="0"/>
        <w:spacing w:line="340" w:lineRule="exact"/>
        <w:ind w:firstLine="482" w:firstLineChars="200"/>
        <w:textAlignment w:val="auto"/>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第九条 履行期限</w:t>
      </w:r>
    </w:p>
    <w:p w14:paraId="37374E44">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sz w:val="24"/>
          <w:szCs w:val="24"/>
          <w:highlight w:val="none"/>
          <w:lang w:val="en-US" w:eastAsia="zh-CN"/>
        </w:rPr>
        <w:t>合同履行期限为自合同签订起一年</w:t>
      </w:r>
      <w:r>
        <w:rPr>
          <w:rFonts w:hint="eastAsia" w:ascii="仿宋" w:hAnsi="仿宋" w:eastAsia="仿宋" w:cs="仿宋"/>
          <w:sz w:val="24"/>
          <w:highlight w:val="none"/>
          <w:lang w:val="en-US" w:eastAsia="zh-CN"/>
        </w:rPr>
        <w:t>。</w:t>
      </w:r>
    </w:p>
    <w:p w14:paraId="6A818568">
      <w:pPr>
        <w:keepNext w:val="0"/>
        <w:keepLines w:val="0"/>
        <w:pageBreakBefore w:val="0"/>
        <w:widowControl w:val="0"/>
        <w:kinsoku/>
        <w:wordWrap/>
        <w:overflowPunct/>
        <w:topLinePunct w:val="0"/>
        <w:bidi w:val="0"/>
        <w:spacing w:line="340" w:lineRule="exact"/>
        <w:ind w:firstLine="482" w:firstLineChars="200"/>
        <w:textAlignment w:val="auto"/>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第十条 产品配送</w:t>
      </w:r>
    </w:p>
    <w:p w14:paraId="762BAFE1">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（一）乙方保证产品及包装符合国家归口监督管理部门颁布的法规规章及产品运输要求。 </w:t>
      </w:r>
    </w:p>
    <w:p w14:paraId="689136E7">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二）乙方保证以符合相关规范及产品特性的物流配送方式进行运输，保证就运输过程中发生的产品灭失及因包装或运输不善等原因导致产品损坏或变质等承担全部责任，保证对甲方造成损失时应当承担赔偿责任。 </w:t>
      </w:r>
    </w:p>
    <w:p w14:paraId="1B910D58">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（三）甲方发送需求计划和补充需求（含技术服务）时，乙方应当在72小时内完成配送；紧急补充需求应在24小时内完成配送；特急补充需求应在4小时内完成配送。</w:t>
      </w:r>
      <w:r>
        <w:rPr>
          <w:rFonts w:hint="eastAsia" w:ascii="仿宋" w:hAnsi="仿宋" w:eastAsia="仿宋" w:cs="仿宋"/>
          <w:sz w:val="24"/>
          <w:highlight w:val="none"/>
        </w:rPr>
        <w:t>若乙方未能按时完成配送，甲方有权</w:t>
      </w:r>
      <w:r>
        <w:rPr>
          <w:rFonts w:hint="eastAsia" w:ascii="仿宋" w:hAnsi="仿宋" w:eastAsia="仿宋" w:cs="仿宋"/>
          <w:sz w:val="24"/>
          <w:highlight w:val="none"/>
          <w:lang w:val="en-US" w:eastAsia="zh-CN"/>
        </w:rPr>
        <w:t>终止</w:t>
      </w:r>
      <w:r>
        <w:rPr>
          <w:rFonts w:hint="eastAsia" w:ascii="仿宋" w:hAnsi="仿宋" w:eastAsia="仿宋" w:cs="仿宋"/>
          <w:sz w:val="24"/>
          <w:highlight w:val="none"/>
        </w:rPr>
        <w:t>合同，并要求乙方承担甲方因此遭受的全部损失</w:t>
      </w:r>
      <w:r>
        <w:rPr>
          <w:rFonts w:hint="eastAsia" w:ascii="仿宋" w:hAnsi="仿宋" w:eastAsia="仿宋" w:cs="仿宋"/>
          <w:sz w:val="24"/>
          <w:highlight w:val="none"/>
          <w:lang w:eastAsia="zh-CN"/>
        </w:rPr>
        <w:t>。</w:t>
      </w:r>
    </w:p>
    <w:p w14:paraId="27B4A19C">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（四）</w:t>
      </w:r>
      <w:r>
        <w:rPr>
          <w:rFonts w:hint="eastAsia" w:ascii="仿宋" w:hAnsi="仿宋" w:eastAsia="仿宋" w:cs="仿宋"/>
          <w:bCs/>
          <w:sz w:val="24"/>
          <w:szCs w:val="24"/>
          <w:highlight w:val="none"/>
          <w:lang w:val="en-US" w:eastAsia="zh-CN"/>
        </w:rPr>
        <w:t>产品配送</w:t>
      </w:r>
      <w:r>
        <w:rPr>
          <w:rFonts w:hint="eastAsia" w:ascii="仿宋" w:hAnsi="仿宋" w:eastAsia="仿宋" w:cs="仿宋"/>
          <w:sz w:val="24"/>
          <w:szCs w:val="24"/>
          <w:highlight w:val="none"/>
          <w:lang w:val="en-US" w:eastAsia="zh-CN"/>
        </w:rPr>
        <w:t xml:space="preserve">交付地点由甲方指定管理部门指定。 </w:t>
      </w:r>
    </w:p>
    <w:p w14:paraId="5E061AAB">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（五）产品交付时，甲方有权要求乙方提供相关法律法规规定的证件、材料、票据等材料。</w:t>
      </w:r>
    </w:p>
    <w:p w14:paraId="031BC763">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（六）乙方配送的产品应当符合国家有关技术要求、质量性能可靠、进货渠道正规、符合遴选要求，且货物不存在任何瑕疵，否则，乙方应当承担配送产品价值双倍的经济赔偿</w:t>
      </w:r>
      <w:r>
        <w:rPr>
          <w:rFonts w:hint="eastAsia" w:ascii="仿宋" w:hAnsi="仿宋" w:eastAsia="仿宋" w:cs="仿宋"/>
          <w:sz w:val="24"/>
          <w:highlight w:val="none"/>
        </w:rPr>
        <w:t>，并承担甲方因此遭受的全部损失，包括但不限于医疗纠纷赔偿、行政处罚等</w:t>
      </w:r>
      <w:r>
        <w:rPr>
          <w:rFonts w:hint="eastAsia" w:ascii="仿宋" w:hAnsi="仿宋" w:eastAsia="仿宋" w:cs="仿宋"/>
          <w:sz w:val="24"/>
          <w:highlight w:val="none"/>
          <w:lang w:eastAsia="zh-CN"/>
        </w:rPr>
        <w:t>，</w:t>
      </w:r>
      <w:r>
        <w:rPr>
          <w:rFonts w:hint="eastAsia" w:ascii="仿宋" w:hAnsi="仿宋" w:eastAsia="仿宋" w:cs="仿宋"/>
          <w:sz w:val="24"/>
          <w:szCs w:val="24"/>
          <w:highlight w:val="none"/>
          <w:lang w:val="en-US" w:eastAsia="zh-CN"/>
        </w:rPr>
        <w:t>若第三方提起侵权控告，由乙方承担全部法律责任和费用。</w:t>
      </w:r>
      <w:r>
        <w:rPr>
          <w:rFonts w:hint="eastAsia" w:ascii="仿宋" w:hAnsi="仿宋" w:eastAsia="仿宋" w:cs="仿宋"/>
          <w:sz w:val="24"/>
          <w:highlight w:val="none"/>
        </w:rPr>
        <w:t>若乙方未及时处理，甲方有权自行处理</w:t>
      </w:r>
      <w:r>
        <w:rPr>
          <w:rFonts w:hint="eastAsia" w:ascii="仿宋" w:hAnsi="仿宋" w:eastAsia="仿宋" w:cs="仿宋"/>
          <w:sz w:val="24"/>
          <w:highlight w:val="none"/>
          <w:lang w:val="en-US" w:eastAsia="zh-CN"/>
        </w:rPr>
        <w:t>并在结算款项中扣减相应金额。</w:t>
      </w:r>
      <w:r>
        <w:rPr>
          <w:rFonts w:hint="eastAsia" w:ascii="仿宋" w:hAnsi="仿宋" w:eastAsia="仿宋" w:cs="仿宋"/>
          <w:sz w:val="24"/>
          <w:szCs w:val="24"/>
          <w:highlight w:val="none"/>
          <w:lang w:val="en-US" w:eastAsia="zh-CN"/>
        </w:rPr>
        <w:t>同时，甲方保留依据现行法律法规追究其他责任的权利。</w:t>
      </w:r>
    </w:p>
    <w:p w14:paraId="0FBFD2E2">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七）产品交付时应当资料齐全，并严格按照法定的运输管理要求及产品储存、包装标准等按时配送。甲方收到乙方配送的产品时，应当验收，发现短少、破损、污染、异常、近效期等情形，或有其他不符合法律法规规定的情形，拒绝接收，乙方应按照甲方要求及时更换并承担由此对甲方造成的一切损失。 </w:t>
      </w:r>
    </w:p>
    <w:p w14:paraId="006AE3B1">
      <w:pPr>
        <w:keepNext w:val="0"/>
        <w:keepLines w:val="0"/>
        <w:pageBreakBefore w:val="0"/>
        <w:widowControl w:val="0"/>
        <w:numPr>
          <w:ilvl w:val="0"/>
          <w:numId w:val="0"/>
        </w:numPr>
        <w:kinsoku/>
        <w:wordWrap/>
        <w:overflowPunct/>
        <w:topLinePunct w:val="0"/>
        <w:bidi w:val="0"/>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八）除非甲方对包装另有规定，乙方配送的产品均应按相关法律法规规定的及根据产品特性所需的标准保护措施进行包装，以防止产品在转运过程中损坏或变质，并应确保产品安全无损运抵甲方指定地点。否则，造成甲方损失全部由乙方承担包括赔偿责任在内的一切法律责任。 </w:t>
      </w:r>
    </w:p>
    <w:p w14:paraId="5A56F653">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九）交付产品应附产品清单、质量检验报告书、合格证、使用说明等材料，由乙方收集交予甲方核验。包装、标记和包装箱内外的单据应符合相关法律法规规定的要求、本合同约定条款，以及甲方提出的其他要求等。</w:t>
      </w:r>
    </w:p>
    <w:p w14:paraId="7842A36B">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（十）乙方承担配送过程中运输费、装卸费、仓储费、保险费等所有费用。</w:t>
      </w:r>
    </w:p>
    <w:p w14:paraId="36F03CD7">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（十一）乙方保证配送安全，承担在交付甲方验收合格前所有风险和责任。</w:t>
      </w:r>
    </w:p>
    <w:p w14:paraId="7E083414">
      <w:pPr>
        <w:keepNext w:val="0"/>
        <w:keepLines w:val="0"/>
        <w:pageBreakBefore w:val="0"/>
        <w:widowControl w:val="0"/>
        <w:kinsoku/>
        <w:wordWrap/>
        <w:overflowPunct/>
        <w:topLinePunct w:val="0"/>
        <w:bidi w:val="0"/>
        <w:spacing w:line="340" w:lineRule="exact"/>
        <w:ind w:firstLine="482" w:firstLineChars="200"/>
        <w:textAlignment w:val="auto"/>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第十一条 产品验收</w:t>
      </w:r>
    </w:p>
    <w:p w14:paraId="163F5EE0">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（一）甲方应当在产品到达指定地点，</w:t>
      </w:r>
      <w:r>
        <w:rPr>
          <w:rFonts w:hint="eastAsia" w:ascii="仿宋" w:hAnsi="仿宋" w:eastAsia="仿宋" w:cs="仿宋"/>
          <w:sz w:val="24"/>
          <w:highlight w:val="none"/>
          <w:lang w:val="en-US" w:eastAsia="zh-CN"/>
        </w:rPr>
        <w:t>及时</w:t>
      </w:r>
      <w:r>
        <w:rPr>
          <w:rFonts w:hint="eastAsia" w:ascii="仿宋" w:hAnsi="仿宋" w:eastAsia="仿宋" w:cs="仿宋"/>
          <w:sz w:val="24"/>
          <w:szCs w:val="24"/>
          <w:highlight w:val="none"/>
          <w:lang w:val="en-US" w:eastAsia="zh-CN"/>
        </w:rPr>
        <w:t>根据送货验收清单对</w:t>
      </w:r>
      <w:r>
        <w:rPr>
          <w:rFonts w:hint="eastAsia" w:ascii="仿宋" w:hAnsi="仿宋" w:eastAsia="仿宋" w:cs="仿宋"/>
          <w:sz w:val="24"/>
          <w:highlight w:val="none"/>
        </w:rPr>
        <w:t>产品的</w:t>
      </w:r>
      <w:r>
        <w:rPr>
          <w:rFonts w:hint="eastAsia" w:ascii="仿宋" w:hAnsi="仿宋" w:eastAsia="仿宋" w:cs="仿宋"/>
          <w:sz w:val="24"/>
          <w:highlight w:val="none"/>
          <w:lang w:val="en-US" w:eastAsia="zh-CN"/>
        </w:rPr>
        <w:t>名称、注册证、规格</w:t>
      </w:r>
      <w:r>
        <w:rPr>
          <w:rFonts w:hint="eastAsia" w:ascii="仿宋" w:hAnsi="仿宋" w:eastAsia="仿宋" w:cs="仿宋"/>
          <w:sz w:val="24"/>
          <w:highlight w:val="none"/>
        </w:rPr>
        <w:t>型号、数量、外观</w:t>
      </w:r>
      <w:r>
        <w:rPr>
          <w:rFonts w:hint="eastAsia" w:ascii="仿宋" w:hAnsi="仿宋" w:eastAsia="仿宋" w:cs="仿宋"/>
          <w:sz w:val="24"/>
          <w:highlight w:val="none"/>
          <w:lang w:val="en-US" w:eastAsia="zh-CN"/>
        </w:rPr>
        <w:t>等</w:t>
      </w:r>
      <w:r>
        <w:rPr>
          <w:rFonts w:hint="eastAsia" w:ascii="仿宋" w:hAnsi="仿宋" w:eastAsia="仿宋" w:cs="仿宋"/>
          <w:sz w:val="24"/>
          <w:highlight w:val="none"/>
        </w:rPr>
        <w:t>进行验收。</w:t>
      </w:r>
      <w:r>
        <w:rPr>
          <w:rFonts w:hint="eastAsia" w:ascii="仿宋" w:hAnsi="仿宋" w:eastAsia="仿宋" w:cs="仿宋"/>
          <w:sz w:val="24"/>
          <w:szCs w:val="24"/>
          <w:highlight w:val="none"/>
          <w:lang w:val="en-US" w:eastAsia="zh-CN"/>
        </w:rPr>
        <w:t>甲方指定管理部门、甲方使用科室和乙方验收并签字确认。</w:t>
      </w:r>
    </w:p>
    <w:p w14:paraId="0BC2D9AE">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（二）乙方在接到甲方书面异议之日起，应在当日内予以书面回复，否则，即视为默认甲方提出的异议和处理意见。</w:t>
      </w:r>
    </w:p>
    <w:p w14:paraId="7771E282">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（三）验收不合格的，乙方负责更换为合格产品，因此产生的费用和给甲方造成的损失均由乙方负责。</w:t>
      </w:r>
    </w:p>
    <w:p w14:paraId="21E501F1">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（四）在甲方验收合格并接收前，乙方出售提供的产品的毁损灭失风险由乙方全权承担。</w:t>
      </w:r>
    </w:p>
    <w:p w14:paraId="7ADC3204">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（五）乙方应当及时向甲方提交产品的所有资料。</w:t>
      </w:r>
    </w:p>
    <w:p w14:paraId="2652A905">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（六）验收依据包括但不限于：遴选相关文件、澄清材料、合同及合同组成材料、国家相应的标准规范等。</w:t>
      </w:r>
    </w:p>
    <w:p w14:paraId="7CE02282">
      <w:pPr>
        <w:keepNext w:val="0"/>
        <w:keepLines w:val="0"/>
        <w:pageBreakBefore w:val="0"/>
        <w:widowControl w:val="0"/>
        <w:kinsoku/>
        <w:wordWrap/>
        <w:overflowPunct/>
        <w:topLinePunct w:val="0"/>
        <w:bidi w:val="0"/>
        <w:spacing w:line="340" w:lineRule="exact"/>
        <w:ind w:firstLine="482" w:firstLineChars="200"/>
        <w:textAlignment w:val="auto"/>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第十二条 伴随服务</w:t>
      </w:r>
    </w:p>
    <w:p w14:paraId="41FB1F4A">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一）乙方应当无偿提供与配送、储存和使用相关的辅助服务、工具及设施，包括但不限于拆箱搬运、技术培训、跟台服务、产品信息核对与维护、资质更新与维护、不良事件管理、质量安全事件管理、质保服务、退换召回等，协助甲方安全、高效使用产品。</w:t>
      </w:r>
    </w:p>
    <w:p w14:paraId="74EF0AEA">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（二）在接到甲方的服务或咨询请求后，乙方技术相关人员应当及时响应。乙方接到甲方通知后，未及时响应或者进行处理的，甲方可自行组织解决，因此产生的全部费用由乙方承担。</w:t>
      </w:r>
    </w:p>
    <w:p w14:paraId="5DF91E90">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（三）乙方在伴随服务的过程中造成甲方、乙方或第三方人员等人身损害、财产损失、不良事件或安全事故的，</w:t>
      </w:r>
      <w:r>
        <w:rPr>
          <w:rFonts w:hint="eastAsia" w:ascii="仿宋" w:hAnsi="仿宋" w:eastAsia="仿宋" w:cs="仿宋"/>
          <w:bCs/>
          <w:sz w:val="24"/>
          <w:highlight w:val="none"/>
        </w:rPr>
        <w:t>乙方应在</w:t>
      </w:r>
      <w:r>
        <w:rPr>
          <w:rFonts w:hint="eastAsia" w:ascii="仿宋" w:hAnsi="仿宋" w:eastAsia="仿宋" w:cs="仿宋"/>
          <w:bCs/>
          <w:sz w:val="24"/>
          <w:highlight w:val="none"/>
          <w:lang w:val="en-US" w:eastAsia="zh-CN"/>
        </w:rPr>
        <w:t>前述情形</w:t>
      </w:r>
      <w:r>
        <w:rPr>
          <w:rFonts w:hint="eastAsia" w:ascii="仿宋" w:hAnsi="仿宋" w:eastAsia="仿宋" w:cs="仿宋"/>
          <w:bCs/>
          <w:sz w:val="24"/>
          <w:highlight w:val="none"/>
        </w:rPr>
        <w:t>发生后</w:t>
      </w:r>
      <w:r>
        <w:rPr>
          <w:rFonts w:hint="eastAsia" w:ascii="仿宋" w:hAnsi="仿宋" w:eastAsia="仿宋" w:cs="仿宋"/>
          <w:bCs/>
          <w:sz w:val="24"/>
          <w:highlight w:val="none"/>
          <w:lang w:val="en-US" w:eastAsia="zh-CN"/>
        </w:rPr>
        <w:t>及时</w:t>
      </w:r>
      <w:r>
        <w:rPr>
          <w:rFonts w:hint="eastAsia" w:ascii="仿宋" w:hAnsi="仿宋" w:eastAsia="仿宋" w:cs="仿宋"/>
          <w:bCs/>
          <w:sz w:val="24"/>
          <w:highlight w:val="none"/>
        </w:rPr>
        <w:t>通知甲方，并立即采取措施进行处理。</w:t>
      </w:r>
      <w:r>
        <w:rPr>
          <w:rFonts w:hint="eastAsia" w:ascii="仿宋" w:hAnsi="仿宋" w:eastAsia="仿宋" w:cs="仿宋"/>
          <w:bCs/>
          <w:sz w:val="24"/>
          <w:szCs w:val="24"/>
          <w:highlight w:val="none"/>
          <w:lang w:val="en-US" w:eastAsia="zh-CN"/>
        </w:rPr>
        <w:t>乙方应当自行承担一切赔偿责任与行政处罚，与甲方无关。甲方因此受到任何处罚或被任何第三方索赔的，有权向乙方追偿</w:t>
      </w:r>
      <w:r>
        <w:rPr>
          <w:rFonts w:hint="eastAsia" w:ascii="仿宋" w:hAnsi="仿宋" w:eastAsia="仿宋" w:cs="仿宋"/>
          <w:bCs/>
          <w:sz w:val="24"/>
          <w:highlight w:val="none"/>
        </w:rPr>
        <w:t>。</w:t>
      </w:r>
    </w:p>
    <w:p w14:paraId="0FE89B68">
      <w:pPr>
        <w:keepNext w:val="0"/>
        <w:keepLines w:val="0"/>
        <w:pageBreakBefore w:val="0"/>
        <w:widowControl w:val="0"/>
        <w:kinsoku/>
        <w:wordWrap/>
        <w:overflowPunct/>
        <w:topLinePunct w:val="0"/>
        <w:bidi w:val="0"/>
        <w:spacing w:line="340" w:lineRule="exact"/>
        <w:ind w:firstLine="482" w:firstLineChars="200"/>
        <w:textAlignment w:val="auto"/>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第十三条 采购结算</w:t>
      </w:r>
    </w:p>
    <w:p w14:paraId="13DEC6D1">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（一）在乙方无违规违约行为和产品验收合格的前提下，甲、乙双方在</w:t>
      </w:r>
      <w:r>
        <w:rPr>
          <w:rFonts w:hint="eastAsia" w:ascii="仿宋" w:hAnsi="仿宋" w:eastAsia="仿宋" w:cs="仿宋"/>
          <w:sz w:val="24"/>
          <w:szCs w:val="24"/>
          <w:highlight w:val="none"/>
        </w:rPr>
        <w:t>省药耗招采平台</w:t>
      </w:r>
      <w:r>
        <w:rPr>
          <w:rFonts w:hint="eastAsia" w:ascii="仿宋" w:hAnsi="仿宋" w:eastAsia="仿宋" w:cs="仿宋"/>
          <w:bCs/>
          <w:sz w:val="24"/>
          <w:szCs w:val="24"/>
          <w:highlight w:val="none"/>
          <w:lang w:val="en-US" w:eastAsia="zh-CN"/>
        </w:rPr>
        <w:t>中完成购销确认，</w:t>
      </w:r>
      <w:r>
        <w:rPr>
          <w:rFonts w:hint="eastAsia" w:ascii="仿宋" w:hAnsi="仿宋" w:eastAsia="仿宋" w:cs="仿宋"/>
          <w:sz w:val="24"/>
          <w:szCs w:val="24"/>
          <w:highlight w:val="none"/>
          <w:lang w:val="en-US" w:eastAsia="zh-CN"/>
        </w:rPr>
        <w:t>产品未挂网或撤网，乙方应当及时向甲方出具情况说明</w:t>
      </w:r>
      <w:r>
        <w:rPr>
          <w:rFonts w:hint="eastAsia" w:ascii="仿宋" w:hAnsi="仿宋" w:eastAsia="仿宋" w:cs="仿宋"/>
          <w:bCs/>
          <w:sz w:val="24"/>
          <w:szCs w:val="24"/>
          <w:highlight w:val="none"/>
          <w:lang w:val="en-US" w:eastAsia="zh-CN"/>
        </w:rPr>
        <w:t>。</w:t>
      </w:r>
    </w:p>
    <w:p w14:paraId="3A4B98F5">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二）乙方应当按实际成交价格和采购数量如实开具发票，及时向甲方提供产品采购发票，发票上注明产品名称、规格型号、数量、单价、金额等项目。乙方应当向甲方开具全额发票，因未提供发票或提供的发票不符合法律规定及甲方要求的，甲方有权拒绝结算，无需承担任何责任，且乙方不得以此为由拒绝履行合同。</w:t>
      </w:r>
    </w:p>
    <w:p w14:paraId="538694BA">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（三）甲方验收合格完成入库手续并签字确认，采购发票纳入甲方财务管理之日起6个月内据实结算（特殊情况除外）。</w:t>
      </w:r>
    </w:p>
    <w:p w14:paraId="3C88FC4A">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（四）因乙方原因造成甲方经济损失或赔偿的，乙方应当承担相关责任，甲方有权在结算款项中直接扣减，超出费用由乙方补足。</w:t>
      </w:r>
    </w:p>
    <w:p w14:paraId="282796E8">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（五）若发生涉及产品质量的医患纠纷，甲方有权暂停支付结算款项，乙方应当及时配合</w:t>
      </w:r>
      <w:r>
        <w:rPr>
          <w:rFonts w:hint="eastAsia" w:ascii="仿宋" w:hAnsi="仿宋" w:eastAsia="仿宋" w:cs="仿宋"/>
          <w:bCs/>
          <w:sz w:val="24"/>
          <w:highlight w:val="none"/>
        </w:rPr>
        <w:t>甲方</w:t>
      </w:r>
      <w:r>
        <w:rPr>
          <w:rFonts w:hint="eastAsia" w:ascii="仿宋" w:hAnsi="仿宋" w:eastAsia="仿宋" w:cs="仿宋"/>
          <w:bCs/>
          <w:sz w:val="24"/>
          <w:szCs w:val="24"/>
          <w:highlight w:val="none"/>
          <w:lang w:val="en-US" w:eastAsia="zh-CN"/>
        </w:rPr>
        <w:t>解决因产品质量引起的纠纷事件；在纠纷未解决且不能排除产品质量因素前，甲方有权直接从结算款项中支出患者的医疗费用等，超出部分由乙方补足。乙方与甲方终止合同后，未付的6个月结算款项在满12个月后结清。</w:t>
      </w:r>
    </w:p>
    <w:p w14:paraId="03A0538B">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（六）若乙方有合同条款履行不充分或未履行，甲方不予结算。</w:t>
      </w:r>
    </w:p>
    <w:p w14:paraId="00BBCDA3">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（七）甲、乙双方应按照实际经营情况和税务机关要求，履行纳税义务并开具发票，并符合行业管理相关规定。</w:t>
      </w:r>
    </w:p>
    <w:p w14:paraId="2E6E45C7">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（八）无特殊情况，采购结算应当按照合同中提供账户进行结算。</w:t>
      </w:r>
    </w:p>
    <w:p w14:paraId="737C7BB5">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乙方账户名称：</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lang w:val="en-US" w:eastAsia="zh-CN"/>
        </w:rPr>
        <w:t xml:space="preserve">            </w:t>
      </w:r>
    </w:p>
    <w:p w14:paraId="5BF7D18B">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乙方银行名称：</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lang w:val="en-US" w:eastAsia="zh-CN"/>
        </w:rPr>
        <w:t xml:space="preserve">                 </w:t>
      </w:r>
    </w:p>
    <w:p w14:paraId="0832B2D3">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乙方银行账号：</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lang w:val="en-US" w:eastAsia="zh-CN"/>
        </w:rPr>
        <w:t xml:space="preserve">                   </w:t>
      </w:r>
    </w:p>
    <w:p w14:paraId="431B45C5">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乙方对前述账户的真实性、有效性负责，若前述账户信息发生变更，乙方应当及时向甲方书面告知变更后的账户。否则，因此造成的一切后果均由乙方自行承担，与甲方无关。</w:t>
      </w:r>
    </w:p>
    <w:p w14:paraId="788FC211">
      <w:pPr>
        <w:keepNext w:val="0"/>
        <w:keepLines w:val="0"/>
        <w:pageBreakBefore w:val="0"/>
        <w:widowControl w:val="0"/>
        <w:kinsoku/>
        <w:wordWrap/>
        <w:overflowPunct/>
        <w:topLinePunct w:val="0"/>
        <w:bidi w:val="0"/>
        <w:spacing w:line="340" w:lineRule="exact"/>
        <w:ind w:firstLine="482" w:firstLineChars="200"/>
        <w:textAlignment w:val="auto"/>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第十四条 退换召回</w:t>
      </w:r>
    </w:p>
    <w:p w14:paraId="0264F4BE">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一）若产品出现质量问题，乙方应当按照甲方要求无条件退换，退换后依然无法达到质量要求，甲方有权停止采购并部分或全部终止合同，乙方承担由此产生的一切费用和违约责任。由此导致的所有纠纷、赔偿及其他责任等均由乙方全部自行承担。若甲方由此被索赔或被追究任何法律责任，均应由乙方承担最终责任。</w:t>
      </w:r>
    </w:p>
    <w:p w14:paraId="1D1DD3D0">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（二）在合同履行过程中，若乙方自行或者根据国家政府相关部门的要求召回产品时，乙方应当及时书面通知甲方，提供相应说明和必要协助。因召回而产生的所有费用均由乙方承担。</w:t>
      </w:r>
    </w:p>
    <w:p w14:paraId="5B88F4F7">
      <w:pPr>
        <w:keepNext w:val="0"/>
        <w:keepLines w:val="0"/>
        <w:pageBreakBefore w:val="0"/>
        <w:widowControl w:val="0"/>
        <w:kinsoku/>
        <w:wordWrap/>
        <w:overflowPunct/>
        <w:topLinePunct w:val="0"/>
        <w:bidi w:val="0"/>
        <w:spacing w:line="340" w:lineRule="exact"/>
        <w:ind w:firstLine="482" w:firstLineChars="200"/>
        <w:textAlignment w:val="auto"/>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第十五条 质量检验</w:t>
      </w:r>
    </w:p>
    <w:p w14:paraId="4E493DAA">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（一）按合同交付的产品质量应当符合国家归口监督管理部门规定标准。产品及包装、标识、标签、说明书等应当符合国家相关规定，并具备国家、地方、行业管理部门的相关批件。</w:t>
      </w:r>
    </w:p>
    <w:p w14:paraId="6BA98B5B">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（二）如果甲方确认需要进行产品质量检验，应当及时以书面形式把质量检验的具体要求通知乙方，乙方应当配合甲方进行产品质量检验。质量检验费用由乙方承担。产品质量检验按照有关规定进行。</w:t>
      </w:r>
    </w:p>
    <w:p w14:paraId="4BB7FBAB">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三）甲方在接收产品时，应当对产品进行验收确认，对不符合合同要求或质量要求的，甲方有权拒绝接收。乙方应当及时更换产品，不得影响甲方正常使用。甲方对产品验收并予以确认的行为不影响甲方依据前款约定通知乙方对产品质量进行检验的权利。</w:t>
      </w:r>
    </w:p>
    <w:p w14:paraId="5C6A74D2">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（四）若遇到国家归口监督管理部门对产品进行质量抽样检查，按相关要求执行。</w:t>
      </w:r>
    </w:p>
    <w:p w14:paraId="3788C86F">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（五）甲方如果发现产品存在质量问题，甲方有权停止采购和使用，并及时向上级行政部门报告备案。</w:t>
      </w:r>
    </w:p>
    <w:p w14:paraId="74C8BFFB">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（六）若产品经检验确实为质量问题，乙方除应当向甲方赔付问题产品双倍货款外，</w:t>
      </w:r>
      <w:r>
        <w:rPr>
          <w:rFonts w:hint="eastAsia" w:ascii="仿宋" w:hAnsi="仿宋" w:eastAsia="仿宋" w:cs="仿宋"/>
          <w:bCs/>
          <w:sz w:val="24"/>
          <w:highlight w:val="none"/>
        </w:rPr>
        <w:t>还应承担甲方因该质量问题所遭受的其他直接和间接损失</w:t>
      </w:r>
      <w:r>
        <w:rPr>
          <w:rFonts w:hint="eastAsia" w:ascii="仿宋" w:hAnsi="仿宋" w:eastAsia="仿宋" w:cs="仿宋"/>
          <w:bCs/>
          <w:sz w:val="24"/>
          <w:highlight w:val="none"/>
          <w:lang w:eastAsia="zh-CN"/>
        </w:rPr>
        <w:t>，</w:t>
      </w:r>
      <w:r>
        <w:rPr>
          <w:rFonts w:hint="eastAsia" w:ascii="仿宋" w:hAnsi="仿宋" w:eastAsia="仿宋" w:cs="仿宋"/>
          <w:bCs/>
          <w:sz w:val="24"/>
          <w:szCs w:val="24"/>
          <w:highlight w:val="none"/>
          <w:lang w:val="en-US" w:eastAsia="zh-CN"/>
        </w:rPr>
        <w:t>且乙方不得以产品已被验收合格作为抗辩理由。</w:t>
      </w:r>
    </w:p>
    <w:p w14:paraId="3296A196">
      <w:pPr>
        <w:keepNext w:val="0"/>
        <w:keepLines w:val="0"/>
        <w:pageBreakBefore w:val="0"/>
        <w:widowControl w:val="0"/>
        <w:kinsoku/>
        <w:wordWrap/>
        <w:overflowPunct/>
        <w:topLinePunct w:val="0"/>
        <w:bidi w:val="0"/>
        <w:spacing w:line="340" w:lineRule="exact"/>
        <w:ind w:firstLine="482" w:firstLineChars="200"/>
        <w:textAlignment w:val="auto"/>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第十六条 误期赔偿</w:t>
      </w:r>
    </w:p>
    <w:p w14:paraId="69612D28">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（一）乙方应当按照甲方要求按时完成产品配送并提供伴随服务。</w:t>
      </w:r>
    </w:p>
    <w:p w14:paraId="50C2A863">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（二）若乙方遇到妨碍按时配送产品和提供伴随服务的情况时，应当及时将延误事实和原因以书面形式通知甲方，甲方在收到通知后进行核实，确定是否同意延期交付或终止合同。</w:t>
      </w:r>
    </w:p>
    <w:p w14:paraId="502410C5">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（三）若乙方无正当理由延期交付，则甲方有权要求乙方承担误期赔偿费或终止合同等违约责任，误期赔偿费为误期配送产品的2倍货款，</w:t>
      </w:r>
      <w:r>
        <w:rPr>
          <w:rFonts w:hint="eastAsia" w:ascii="仿宋" w:hAnsi="仿宋" w:eastAsia="仿宋" w:cs="仿宋"/>
          <w:bCs/>
          <w:sz w:val="24"/>
          <w:highlight w:val="none"/>
        </w:rPr>
        <w:t>还应承担甲方所遭受的其他直接和间接损失</w:t>
      </w:r>
      <w:r>
        <w:rPr>
          <w:rFonts w:hint="eastAsia" w:ascii="仿宋" w:hAnsi="仿宋" w:eastAsia="仿宋" w:cs="仿宋"/>
          <w:bCs/>
          <w:sz w:val="24"/>
          <w:szCs w:val="24"/>
          <w:highlight w:val="none"/>
          <w:lang w:val="en-US" w:eastAsia="zh-CN"/>
        </w:rPr>
        <w:t>。乙方在支付误期赔偿费后，若合同未被终止，则乙方还应当继续履行合同。</w:t>
      </w:r>
    </w:p>
    <w:p w14:paraId="2BEEB76B">
      <w:pPr>
        <w:keepNext w:val="0"/>
        <w:keepLines w:val="0"/>
        <w:pageBreakBefore w:val="0"/>
        <w:widowControl w:val="0"/>
        <w:kinsoku/>
        <w:wordWrap/>
        <w:overflowPunct/>
        <w:topLinePunct w:val="0"/>
        <w:bidi w:val="0"/>
        <w:spacing w:line="340" w:lineRule="exact"/>
        <w:ind w:firstLine="482" w:firstLineChars="200"/>
        <w:textAlignment w:val="auto"/>
        <w:rPr>
          <w:rFonts w:hint="eastAsia" w:ascii="仿宋" w:hAnsi="仿宋" w:eastAsia="仿宋" w:cs="仿宋"/>
          <w:b/>
          <w:bCs w:val="0"/>
          <w:sz w:val="24"/>
          <w:szCs w:val="24"/>
          <w:highlight w:val="none"/>
        </w:rPr>
      </w:pPr>
      <w:r>
        <w:rPr>
          <w:rFonts w:hint="eastAsia" w:ascii="仿宋" w:hAnsi="仿宋" w:eastAsia="仿宋" w:cs="仿宋"/>
          <w:b/>
          <w:bCs w:val="0"/>
          <w:sz w:val="24"/>
          <w:szCs w:val="24"/>
          <w:highlight w:val="none"/>
          <w:lang w:val="en-US" w:eastAsia="zh-CN"/>
        </w:rPr>
        <w:t xml:space="preserve">第十七条 </w:t>
      </w:r>
      <w:r>
        <w:rPr>
          <w:rFonts w:hint="eastAsia" w:ascii="仿宋" w:hAnsi="仿宋" w:eastAsia="仿宋" w:cs="仿宋"/>
          <w:b/>
          <w:bCs w:val="0"/>
          <w:sz w:val="24"/>
          <w:szCs w:val="24"/>
          <w:highlight w:val="none"/>
        </w:rPr>
        <w:t>不可抗力</w:t>
      </w:r>
    </w:p>
    <w:p w14:paraId="75295DCD">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（一）不可抗力指地震、台风、火灾、战争、疫情、罢工以及其他甲、乙双方不能预见、不能避免并不能克服的客观情况。</w:t>
      </w:r>
    </w:p>
    <w:p w14:paraId="04156430">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（二）由于不可抗力致使合同无法正常履行的，受不可抗力影响一方应立即将不能履行本合同的事实书面通知对方，</w:t>
      </w:r>
      <w:r>
        <w:rPr>
          <w:rFonts w:hint="eastAsia" w:ascii="仿宋" w:hAnsi="仿宋" w:eastAsia="仿宋" w:cs="仿宋"/>
          <w:bCs/>
          <w:sz w:val="24"/>
          <w:highlight w:val="none"/>
        </w:rPr>
        <w:t>并在事件发生之日起7日内提供全部或部分不能履行或迟延履行的</w:t>
      </w:r>
      <w:r>
        <w:rPr>
          <w:rFonts w:hint="eastAsia" w:ascii="仿宋" w:hAnsi="仿宋" w:eastAsia="仿宋" w:cs="仿宋"/>
          <w:bCs/>
          <w:sz w:val="24"/>
          <w:highlight w:val="none"/>
          <w:lang w:val="en-US" w:eastAsia="zh-CN"/>
        </w:rPr>
        <w:t>书面说明</w:t>
      </w:r>
      <w:r>
        <w:rPr>
          <w:rFonts w:hint="eastAsia" w:ascii="仿宋" w:hAnsi="仿宋" w:eastAsia="仿宋" w:cs="仿宋"/>
          <w:bCs/>
          <w:sz w:val="24"/>
          <w:highlight w:val="none"/>
        </w:rPr>
        <w:t>。</w:t>
      </w:r>
      <w:r>
        <w:rPr>
          <w:rFonts w:hint="eastAsia" w:ascii="仿宋" w:hAnsi="仿宋" w:eastAsia="仿宋" w:cs="仿宋"/>
          <w:bCs/>
          <w:sz w:val="24"/>
          <w:szCs w:val="24"/>
          <w:highlight w:val="none"/>
          <w:lang w:val="en-US" w:eastAsia="zh-CN"/>
        </w:rPr>
        <w:t>乙方应当按照甲方要求应急解决。</w:t>
      </w:r>
    </w:p>
    <w:p w14:paraId="05A2BECD">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highlight w:val="none"/>
        </w:rPr>
      </w:pPr>
      <w:r>
        <w:rPr>
          <w:rFonts w:hint="eastAsia" w:ascii="仿宋" w:hAnsi="仿宋" w:eastAsia="仿宋" w:cs="仿宋"/>
          <w:bCs/>
          <w:sz w:val="24"/>
          <w:szCs w:val="24"/>
          <w:highlight w:val="none"/>
          <w:lang w:val="en-US" w:eastAsia="zh-CN"/>
        </w:rPr>
        <w:t>（三）本合同在不可抗力影响范围及其持续期间内中止履行，双方无需承担违约责任。</w:t>
      </w:r>
      <w:r>
        <w:rPr>
          <w:rFonts w:hint="eastAsia" w:ascii="仿宋" w:hAnsi="仿宋" w:eastAsia="仿宋" w:cs="仿宋"/>
          <w:bCs/>
          <w:sz w:val="24"/>
          <w:highlight w:val="none"/>
        </w:rPr>
        <w:t>甲、乙双方可根据情况协商变更或终止合同履行</w:t>
      </w:r>
      <w:r>
        <w:rPr>
          <w:rFonts w:hint="eastAsia" w:ascii="仿宋" w:hAnsi="仿宋" w:eastAsia="仿宋" w:cs="仿宋"/>
          <w:bCs/>
          <w:sz w:val="24"/>
          <w:highlight w:val="none"/>
          <w:lang w:eastAsia="zh-CN"/>
        </w:rPr>
        <w:t>，</w:t>
      </w:r>
      <w:r>
        <w:rPr>
          <w:rFonts w:hint="eastAsia" w:ascii="仿宋" w:hAnsi="仿宋" w:eastAsia="仿宋" w:cs="仿宋"/>
          <w:bCs/>
          <w:sz w:val="24"/>
          <w:highlight w:val="none"/>
        </w:rPr>
        <w:t>双方可根据不可抗力对合同的影响程度，书面协商确定是否继续履行合同。</w:t>
      </w:r>
    </w:p>
    <w:p w14:paraId="02BD8E72">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（四）一方迟延履行后发生不可抗力的，不能免除责任。</w:t>
      </w:r>
    </w:p>
    <w:p w14:paraId="6FAE9328">
      <w:pPr>
        <w:keepNext w:val="0"/>
        <w:keepLines w:val="0"/>
        <w:pageBreakBefore w:val="0"/>
        <w:widowControl w:val="0"/>
        <w:kinsoku/>
        <w:wordWrap/>
        <w:overflowPunct/>
        <w:topLinePunct w:val="0"/>
        <w:bidi w:val="0"/>
        <w:spacing w:line="340" w:lineRule="exact"/>
        <w:ind w:firstLine="482" w:firstLineChars="200"/>
        <w:textAlignment w:val="auto"/>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第十八条 合同终止</w:t>
      </w:r>
    </w:p>
    <w:p w14:paraId="0C5FEBA6">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（一）在下述情况下，甲方可在任何时候以通知的方式，提出并进行部分或全部合同终止而不承担任何违约责任。</w:t>
      </w:r>
      <w:r>
        <w:rPr>
          <w:rFonts w:hint="eastAsia" w:ascii="仿宋" w:hAnsi="仿宋" w:eastAsia="仿宋" w:cs="仿宋"/>
          <w:bCs/>
          <w:sz w:val="24"/>
          <w:highlight w:val="none"/>
        </w:rPr>
        <w:t>同时，甲方有权要求乙方承担甲方因此遭受的全部损失，包括但不限于另行采购的差价、延误治疗造成的损失等。</w:t>
      </w:r>
      <w:r>
        <w:rPr>
          <w:rFonts w:hint="eastAsia" w:ascii="仿宋" w:hAnsi="仿宋" w:eastAsia="仿宋" w:cs="仿宋"/>
          <w:bCs/>
          <w:sz w:val="24"/>
          <w:szCs w:val="24"/>
          <w:highlight w:val="none"/>
          <w:lang w:val="en-US" w:eastAsia="zh-CN"/>
        </w:rPr>
        <w:t>该部分或全部合同终止行为将不损害或影响甲方已经采取或将要采取的任何行动或补救措施的权利。</w:t>
      </w:r>
    </w:p>
    <w:p w14:paraId="6DAB928F">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1.合同产品价格高于</w:t>
      </w:r>
      <w:r>
        <w:rPr>
          <w:rFonts w:hint="eastAsia" w:ascii="仿宋" w:hAnsi="仿宋" w:eastAsia="仿宋" w:cs="仿宋"/>
          <w:sz w:val="24"/>
          <w:szCs w:val="24"/>
          <w:highlight w:val="none"/>
        </w:rPr>
        <w:t>省药耗招采平台</w:t>
      </w:r>
      <w:r>
        <w:rPr>
          <w:rFonts w:hint="eastAsia" w:ascii="仿宋" w:hAnsi="仿宋" w:eastAsia="仿宋" w:cs="仿宋"/>
          <w:bCs/>
          <w:sz w:val="24"/>
          <w:szCs w:val="24"/>
          <w:highlight w:val="none"/>
          <w:lang w:val="en-US" w:eastAsia="zh-CN"/>
        </w:rPr>
        <w:t>挂网价或并非陕西省全省最低价，经协商乙方不同意议价调整且不作累计差额补偿；乙方不接受甲方议价邀请拒绝价格调整。</w:t>
      </w:r>
    </w:p>
    <w:p w14:paraId="73B9744A">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2.乙方未能在合同规定的限期或甲方同意延长的限期内提供部分或全部产品。</w:t>
      </w:r>
    </w:p>
    <w:p w14:paraId="249B54DA">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3.乙方发生违约行为、未履行承诺或一般失信行为且甲方认为其采取的补救措施无效或不及时。</w:t>
      </w:r>
    </w:p>
    <w:p w14:paraId="78DF19DB">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4.乙方丧失必要的授权或资质，不能从事产品的配送或经营活动。</w:t>
      </w:r>
    </w:p>
    <w:p w14:paraId="619AF215">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5.乙方违反公序良俗或发生侵害第三方合法权益的行为。</w:t>
      </w:r>
    </w:p>
    <w:p w14:paraId="01B282F6">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6.乙方有违法违规行为、严重失信行为或反不正当竞争行为。</w:t>
      </w:r>
    </w:p>
    <w:p w14:paraId="739EEDBE">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7.乙方破产或丧失履行能力。</w:t>
      </w:r>
    </w:p>
    <w:p w14:paraId="112BBA77">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8.</w:t>
      </w:r>
      <w:r>
        <w:rPr>
          <w:rFonts w:hint="eastAsia" w:ascii="仿宋" w:hAnsi="仿宋" w:eastAsia="仿宋" w:cs="仿宋"/>
          <w:sz w:val="24"/>
          <w:szCs w:val="24"/>
          <w:highlight w:val="none"/>
          <w:lang w:val="en-US" w:eastAsia="zh-CN"/>
        </w:rPr>
        <w:t>甲方供应目录动态调整或</w:t>
      </w:r>
      <w:r>
        <w:rPr>
          <w:rFonts w:hint="eastAsia" w:ascii="仿宋" w:hAnsi="仿宋" w:eastAsia="仿宋" w:cs="仿宋"/>
          <w:sz w:val="24"/>
          <w:szCs w:val="24"/>
          <w:highlight w:val="none"/>
        </w:rPr>
        <w:t>遴选结果调整</w:t>
      </w:r>
      <w:r>
        <w:rPr>
          <w:rFonts w:hint="eastAsia" w:ascii="仿宋" w:hAnsi="仿宋" w:eastAsia="仿宋" w:cs="仿宋"/>
          <w:bCs/>
          <w:sz w:val="24"/>
          <w:szCs w:val="24"/>
          <w:highlight w:val="none"/>
          <w:lang w:val="en-US" w:eastAsia="zh-CN"/>
        </w:rPr>
        <w:t>。</w:t>
      </w:r>
    </w:p>
    <w:p w14:paraId="54F9B7E5">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9.甲方认为乙方未能履行合同或未完全履行合同。</w:t>
      </w:r>
    </w:p>
    <w:p w14:paraId="05FD9CD2">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10.其他被认为应当终止的情形。</w:t>
      </w:r>
    </w:p>
    <w:p w14:paraId="1BFFEAB2">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（二）发生不可抗力，甲、乙双方可根据情况协商变更或终止合同履行。</w:t>
      </w:r>
    </w:p>
    <w:p w14:paraId="0AAF2743">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（三）合同终止前约定履行但尚未履行的部分，包括配送、服务、承诺、赔偿等在内的相关责任和义务，除法律法规有明确规定不能继续履行的，甲、乙双方应继续履行至结束。</w:t>
      </w:r>
    </w:p>
    <w:p w14:paraId="57335FF2">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（四）甲方部分或全部合同终止的通知送达乙方即发生法律效力，无需乙方确认收到或签字同意。</w:t>
      </w:r>
    </w:p>
    <w:p w14:paraId="1A3317AA">
      <w:pPr>
        <w:keepNext w:val="0"/>
        <w:keepLines w:val="0"/>
        <w:pageBreakBefore w:val="0"/>
        <w:widowControl w:val="0"/>
        <w:kinsoku/>
        <w:wordWrap/>
        <w:overflowPunct/>
        <w:topLinePunct w:val="0"/>
        <w:bidi w:val="0"/>
        <w:spacing w:line="340" w:lineRule="exact"/>
        <w:ind w:firstLine="482" w:firstLineChars="200"/>
        <w:textAlignment w:val="auto"/>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第十九条 修改补充</w:t>
      </w:r>
    </w:p>
    <w:p w14:paraId="1B742224">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合同条款不得有任何变化或修改。甲、乙双方可根据需要就合同未尽事宜另行签订补充合同作为本合同的附件，补充合同与本合同具有同等法律效力，补充合同与本合同约定不一致的以补充合同为准，补充合同未约定事宜，以本合同为准。</w:t>
      </w:r>
    </w:p>
    <w:p w14:paraId="2BCEF92B">
      <w:pPr>
        <w:keepNext w:val="0"/>
        <w:keepLines w:val="0"/>
        <w:pageBreakBefore w:val="0"/>
        <w:widowControl w:val="0"/>
        <w:kinsoku/>
        <w:wordWrap/>
        <w:overflowPunct/>
        <w:topLinePunct w:val="0"/>
        <w:bidi w:val="0"/>
        <w:spacing w:line="340" w:lineRule="exact"/>
        <w:ind w:firstLine="482" w:firstLineChars="200"/>
        <w:textAlignment w:val="auto"/>
        <w:rPr>
          <w:rFonts w:hint="eastAsia" w:ascii="仿宋" w:hAnsi="仿宋" w:eastAsia="仿宋" w:cs="仿宋"/>
          <w:sz w:val="24"/>
          <w:highlight w:val="none"/>
        </w:rPr>
      </w:pPr>
      <w:r>
        <w:rPr>
          <w:rFonts w:hint="eastAsia" w:ascii="仿宋" w:hAnsi="仿宋" w:eastAsia="仿宋" w:cs="仿宋"/>
          <w:b/>
          <w:bCs w:val="0"/>
          <w:sz w:val="24"/>
          <w:szCs w:val="24"/>
          <w:highlight w:val="none"/>
          <w:lang w:val="en-US" w:eastAsia="zh-CN"/>
        </w:rPr>
        <w:t>第二十条 合同组成和法律效力</w:t>
      </w:r>
    </w:p>
    <w:p w14:paraId="1A85A6E2">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sz w:val="24"/>
          <w:highlight w:val="none"/>
          <w:lang w:val="en-US" w:eastAsia="zh-CN"/>
        </w:rPr>
      </w:pPr>
      <w:r>
        <w:rPr>
          <w:rFonts w:hint="eastAsia" w:ascii="仿宋" w:hAnsi="仿宋" w:eastAsia="仿宋" w:cs="仿宋"/>
          <w:bCs/>
          <w:sz w:val="24"/>
          <w:szCs w:val="24"/>
          <w:highlight w:val="none"/>
          <w:lang w:val="en-US" w:eastAsia="zh-CN"/>
        </w:rPr>
        <w:t>以下均作为合同组成部分，与本合同具有同等法律效力。</w:t>
      </w:r>
    </w:p>
    <w:p w14:paraId="0A3D6647">
      <w:pPr>
        <w:keepNext w:val="0"/>
        <w:keepLines w:val="0"/>
        <w:pageBreakBefore w:val="0"/>
        <w:widowControl w:val="0"/>
        <w:numPr>
          <w:ilvl w:val="0"/>
          <w:numId w:val="1"/>
        </w:numPr>
        <w:kinsoku/>
        <w:wordWrap/>
        <w:overflowPunct/>
        <w:topLinePunct w:val="0"/>
        <w:bidi w:val="0"/>
        <w:spacing w:line="340" w:lineRule="exact"/>
        <w:ind w:firstLine="420" w:firstLineChars="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合同正文。</w:t>
      </w:r>
    </w:p>
    <w:p w14:paraId="5733851F">
      <w:pPr>
        <w:keepNext w:val="0"/>
        <w:keepLines w:val="0"/>
        <w:pageBreakBefore w:val="0"/>
        <w:widowControl w:val="0"/>
        <w:numPr>
          <w:ilvl w:val="0"/>
          <w:numId w:val="1"/>
        </w:numPr>
        <w:kinsoku/>
        <w:wordWrap/>
        <w:overflowPunct/>
        <w:topLinePunct w:val="0"/>
        <w:bidi w:val="0"/>
        <w:spacing w:line="340" w:lineRule="exact"/>
        <w:ind w:firstLine="420" w:firstLineChars="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w:t>
      </w:r>
      <w:r>
        <w:rPr>
          <w:rFonts w:hint="eastAsia" w:ascii="仿宋" w:hAnsi="仿宋" w:eastAsia="仿宋" w:cs="仿宋"/>
          <w:bCs/>
          <w:sz w:val="24"/>
          <w:highlight w:val="none"/>
        </w:rPr>
        <w:t>购销产品信息表</w:t>
      </w:r>
      <w:r>
        <w:rPr>
          <w:rFonts w:hint="eastAsia" w:ascii="仿宋" w:hAnsi="仿宋" w:eastAsia="仿宋" w:cs="仿宋"/>
          <w:bCs/>
          <w:sz w:val="24"/>
          <w:szCs w:val="24"/>
          <w:highlight w:val="none"/>
          <w:lang w:val="en-US" w:eastAsia="zh-CN"/>
        </w:rPr>
        <w:t>》（附件一）。</w:t>
      </w:r>
    </w:p>
    <w:p w14:paraId="1D63A00D">
      <w:pPr>
        <w:keepNext w:val="0"/>
        <w:keepLines w:val="0"/>
        <w:pageBreakBefore w:val="0"/>
        <w:widowControl w:val="0"/>
        <w:numPr>
          <w:ilvl w:val="0"/>
          <w:numId w:val="1"/>
        </w:numPr>
        <w:kinsoku/>
        <w:wordWrap/>
        <w:overflowPunct/>
        <w:topLinePunct w:val="0"/>
        <w:bidi w:val="0"/>
        <w:spacing w:line="340" w:lineRule="exact"/>
        <w:ind w:firstLine="420" w:firstLineChars="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《医用耗材全省最低价承诺书》（附件二）。</w:t>
      </w:r>
    </w:p>
    <w:p w14:paraId="692F1542">
      <w:pPr>
        <w:keepNext w:val="0"/>
        <w:keepLines w:val="0"/>
        <w:pageBreakBefore w:val="0"/>
        <w:widowControl w:val="0"/>
        <w:numPr>
          <w:ilvl w:val="0"/>
          <w:numId w:val="1"/>
        </w:numPr>
        <w:kinsoku/>
        <w:wordWrap/>
        <w:overflowPunct/>
        <w:topLinePunct w:val="0"/>
        <w:bidi w:val="0"/>
        <w:spacing w:line="340" w:lineRule="exact"/>
        <w:ind w:firstLine="420" w:firstLineChars="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《医用耗材“两票制”执行承诺书》（附件三）。</w:t>
      </w:r>
    </w:p>
    <w:p w14:paraId="654CD322">
      <w:pPr>
        <w:keepNext w:val="0"/>
        <w:keepLines w:val="0"/>
        <w:pageBreakBefore w:val="0"/>
        <w:widowControl w:val="0"/>
        <w:numPr>
          <w:ilvl w:val="0"/>
          <w:numId w:val="1"/>
        </w:numPr>
        <w:kinsoku/>
        <w:wordWrap/>
        <w:overflowPunct/>
        <w:topLinePunct w:val="0"/>
        <w:bidi w:val="0"/>
        <w:spacing w:line="340" w:lineRule="exact"/>
        <w:ind w:firstLine="420" w:firstLineChars="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《陕西药品和医用耗材招采管理系统集中采购管理执行承诺书》（附件四）。</w:t>
      </w:r>
    </w:p>
    <w:p w14:paraId="71E70EFE">
      <w:pPr>
        <w:keepNext w:val="0"/>
        <w:keepLines w:val="0"/>
        <w:pageBreakBefore w:val="0"/>
        <w:widowControl w:val="0"/>
        <w:numPr>
          <w:ilvl w:val="0"/>
          <w:numId w:val="1"/>
        </w:numPr>
        <w:kinsoku/>
        <w:wordWrap/>
        <w:overflowPunct/>
        <w:topLinePunct w:val="0"/>
        <w:bidi w:val="0"/>
        <w:spacing w:line="340" w:lineRule="exact"/>
        <w:ind w:firstLine="420" w:firstLineChars="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《医用耗材供应质量承诺书》（附件五）。</w:t>
      </w:r>
    </w:p>
    <w:p w14:paraId="06CDD700">
      <w:pPr>
        <w:keepNext w:val="0"/>
        <w:keepLines w:val="0"/>
        <w:pageBreakBefore w:val="0"/>
        <w:widowControl w:val="0"/>
        <w:numPr>
          <w:ilvl w:val="0"/>
          <w:numId w:val="1"/>
        </w:numPr>
        <w:kinsoku/>
        <w:wordWrap/>
        <w:overflowPunct/>
        <w:topLinePunct w:val="0"/>
        <w:bidi w:val="0"/>
        <w:spacing w:line="340" w:lineRule="exact"/>
        <w:ind w:firstLine="420" w:firstLineChars="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《医用耗材供应廉洁承诺书》（附件六）。</w:t>
      </w:r>
    </w:p>
    <w:p w14:paraId="656CB5C0">
      <w:pPr>
        <w:keepNext w:val="0"/>
        <w:keepLines w:val="0"/>
        <w:pageBreakBefore w:val="0"/>
        <w:widowControl w:val="0"/>
        <w:numPr>
          <w:ilvl w:val="0"/>
          <w:numId w:val="1"/>
        </w:numPr>
        <w:kinsoku/>
        <w:wordWrap/>
        <w:overflowPunct/>
        <w:topLinePunct w:val="0"/>
        <w:bidi w:val="0"/>
        <w:spacing w:line="340" w:lineRule="exact"/>
        <w:ind w:firstLine="420" w:firstLineChars="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《医用耗材资质真实性承诺书》（附件七）。</w:t>
      </w:r>
    </w:p>
    <w:p w14:paraId="023BF619">
      <w:pPr>
        <w:keepNext w:val="0"/>
        <w:keepLines w:val="0"/>
        <w:pageBreakBefore w:val="0"/>
        <w:widowControl w:val="0"/>
        <w:numPr>
          <w:ilvl w:val="0"/>
          <w:numId w:val="1"/>
        </w:numPr>
        <w:kinsoku/>
        <w:wordWrap/>
        <w:overflowPunct/>
        <w:topLinePunct w:val="0"/>
        <w:bidi w:val="0"/>
        <w:spacing w:line="340" w:lineRule="exact"/>
        <w:ind w:firstLine="420" w:firstLineChars="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其他相关附件（如有）。</w:t>
      </w:r>
    </w:p>
    <w:p w14:paraId="12C793C0">
      <w:pPr>
        <w:keepNext w:val="0"/>
        <w:keepLines w:val="0"/>
        <w:pageBreakBefore w:val="0"/>
        <w:widowControl w:val="0"/>
        <w:numPr>
          <w:ilvl w:val="0"/>
          <w:numId w:val="1"/>
        </w:numPr>
        <w:kinsoku/>
        <w:wordWrap/>
        <w:overflowPunct/>
        <w:topLinePunct w:val="0"/>
        <w:bidi w:val="0"/>
        <w:spacing w:line="340" w:lineRule="exact"/>
        <w:ind w:firstLine="420" w:firstLineChars="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合同未尽事宜另行签订的补充合同（如有）。</w:t>
      </w:r>
    </w:p>
    <w:p w14:paraId="057CE5FF">
      <w:pPr>
        <w:keepNext w:val="0"/>
        <w:keepLines w:val="0"/>
        <w:pageBreakBefore w:val="0"/>
        <w:widowControl w:val="0"/>
        <w:numPr>
          <w:ilvl w:val="0"/>
          <w:numId w:val="1"/>
        </w:numPr>
        <w:kinsoku/>
        <w:wordWrap/>
        <w:overflowPunct/>
        <w:topLinePunct w:val="0"/>
        <w:bidi w:val="0"/>
        <w:spacing w:line="340" w:lineRule="exact"/>
        <w:ind w:firstLine="420" w:firstLineChars="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遴选相关文件、遴选过程中澄清以及承诺等材料。</w:t>
      </w:r>
    </w:p>
    <w:p w14:paraId="369ECE7A">
      <w:pPr>
        <w:keepNext w:val="0"/>
        <w:keepLines w:val="0"/>
        <w:pageBreakBefore w:val="0"/>
        <w:widowControl w:val="0"/>
        <w:kinsoku/>
        <w:wordWrap/>
        <w:overflowPunct/>
        <w:topLinePunct w:val="0"/>
        <w:bidi w:val="0"/>
        <w:spacing w:line="340" w:lineRule="exact"/>
        <w:ind w:firstLine="482" w:firstLineChars="200"/>
        <w:textAlignment w:val="auto"/>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第二十一条 争议解决</w:t>
      </w:r>
    </w:p>
    <w:p w14:paraId="718E0170">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与本合同有关的任何争议，由甲、乙双方协商解决；也可以向有关部门申请调解；协商或调解不成的，任何一方均可依照有关法律向甲方所在地的人民法院起诉。</w:t>
      </w:r>
    </w:p>
    <w:p w14:paraId="34DED0E7">
      <w:pPr>
        <w:keepNext w:val="0"/>
        <w:keepLines w:val="0"/>
        <w:pageBreakBefore w:val="0"/>
        <w:widowControl w:val="0"/>
        <w:kinsoku/>
        <w:wordWrap/>
        <w:overflowPunct/>
        <w:topLinePunct w:val="0"/>
        <w:bidi w:val="0"/>
        <w:spacing w:line="340" w:lineRule="exact"/>
        <w:ind w:firstLine="482" w:firstLineChars="200"/>
        <w:textAlignment w:val="auto"/>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第二十二条 其他</w:t>
      </w:r>
    </w:p>
    <w:p w14:paraId="17E6326C">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（一）在对甲方进行内外部审计或各类检查过程中，如有事项需乙方配合，乙方应无条件全力配合。如最终发现问题是因乙方原因进而导致甲方遭受损失的，甲方有权向乙方进行追偿。</w:t>
      </w:r>
    </w:p>
    <w:p w14:paraId="377BDF89">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（二）适用法律：本合同应按照中华人民共和国现行法律、法规和规章进行解释，违约责任按《中华人民共和国民法典》中的相关条款执行。</w:t>
      </w:r>
    </w:p>
    <w:p w14:paraId="0E91D485">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（三）合同生效：本合同自甲方法定代表人或授权</w:t>
      </w:r>
      <w:r>
        <w:rPr>
          <w:rFonts w:hint="eastAsia" w:ascii="仿宋" w:hAnsi="仿宋" w:eastAsia="仿宋" w:cs="仿宋"/>
          <w:color w:val="000000"/>
          <w:sz w:val="24"/>
          <w:szCs w:val="24"/>
          <w:highlight w:val="none"/>
        </w:rPr>
        <w:t>委托代理人</w:t>
      </w:r>
      <w:r>
        <w:rPr>
          <w:rFonts w:hint="eastAsia" w:ascii="仿宋" w:hAnsi="仿宋" w:eastAsia="仿宋" w:cs="仿宋"/>
          <w:bCs/>
          <w:sz w:val="24"/>
          <w:szCs w:val="24"/>
          <w:highlight w:val="none"/>
          <w:lang w:val="en-US" w:eastAsia="zh-CN"/>
        </w:rPr>
        <w:t>、乙方法定代表人签字并加盖公章或合同专用章之日起生效。</w:t>
      </w:r>
    </w:p>
    <w:p w14:paraId="26F01775">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（四）反不正当竞争条约：乙方不得以任何形式违反国家关于医药购销领域不正当竞争的有关规定，一经查证，</w:t>
      </w:r>
      <w:r>
        <w:rPr>
          <w:rFonts w:hint="eastAsia" w:ascii="仿宋" w:hAnsi="仿宋" w:eastAsia="仿宋" w:cs="仿宋"/>
          <w:bCs/>
          <w:sz w:val="24"/>
          <w:highlight w:val="none"/>
        </w:rPr>
        <w:t>甲方有权立即</w:t>
      </w:r>
      <w:r>
        <w:rPr>
          <w:rFonts w:hint="eastAsia" w:ascii="仿宋" w:hAnsi="仿宋" w:eastAsia="仿宋" w:cs="仿宋"/>
          <w:bCs/>
          <w:sz w:val="24"/>
          <w:highlight w:val="none"/>
          <w:lang w:val="en-US" w:eastAsia="zh-CN"/>
        </w:rPr>
        <w:t>终止</w:t>
      </w:r>
      <w:r>
        <w:rPr>
          <w:rFonts w:hint="eastAsia" w:ascii="仿宋" w:hAnsi="仿宋" w:eastAsia="仿宋" w:cs="仿宋"/>
          <w:bCs/>
          <w:sz w:val="24"/>
          <w:highlight w:val="none"/>
        </w:rPr>
        <w:t>合同</w:t>
      </w:r>
      <w:r>
        <w:rPr>
          <w:rFonts w:hint="eastAsia" w:ascii="仿宋" w:hAnsi="仿宋" w:eastAsia="仿宋" w:cs="仿宋"/>
          <w:bCs/>
          <w:sz w:val="24"/>
          <w:szCs w:val="24"/>
          <w:highlight w:val="none"/>
          <w:lang w:val="en-US" w:eastAsia="zh-CN"/>
        </w:rPr>
        <w:t>，三年以内不得获取医用耗材招标（遴选）和供应（配送）等资格，同时按上级的有关规定执行处罚。</w:t>
      </w:r>
    </w:p>
    <w:p w14:paraId="5E1A3A01">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（五）合同地址：合同地址为双方有效送达地址，任意一方发生变更的，应当在变更之日起7日内向另一方通知，未通知另一方的，另一方按照约定地址发出的信件自发出之日起7日内视为有效送达。</w:t>
      </w:r>
    </w:p>
    <w:p w14:paraId="27F0DF38">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（六）国家政策另有规定的，应当从其规定。甲方应当与乙方协商调整合同内容或终止合同，乙方应无条件配合甲方。</w:t>
      </w:r>
    </w:p>
    <w:p w14:paraId="31DBA3E3">
      <w:pPr>
        <w:keepNext w:val="0"/>
        <w:keepLines w:val="0"/>
        <w:pageBreakBefore w:val="0"/>
        <w:widowControl w:val="0"/>
        <w:kinsoku/>
        <w:wordWrap/>
        <w:overflowPunct/>
        <w:topLinePunct w:val="0"/>
        <w:bidi w:val="0"/>
        <w:spacing w:line="340" w:lineRule="exact"/>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（七）</w:t>
      </w:r>
      <w:r>
        <w:rPr>
          <w:rFonts w:hint="eastAsia" w:ascii="仿宋" w:hAnsi="仿宋" w:eastAsia="仿宋" w:cs="仿宋"/>
          <w:kern w:val="0"/>
          <w:sz w:val="24"/>
          <w:szCs w:val="24"/>
          <w:highlight w:val="none"/>
          <w:lang w:val="en-US" w:eastAsia="zh-CN"/>
        </w:rPr>
        <w:t>合同一式四份，</w:t>
      </w:r>
      <w:r>
        <w:rPr>
          <w:rFonts w:hint="eastAsia" w:ascii="仿宋" w:hAnsi="仿宋" w:eastAsia="仿宋" w:cs="仿宋"/>
          <w:bCs/>
          <w:sz w:val="24"/>
          <w:szCs w:val="24"/>
          <w:highlight w:val="none"/>
          <w:lang w:val="en-US" w:eastAsia="zh-CN"/>
        </w:rPr>
        <w:t>甲方备案两份、甲方指定管理部门执一份、乙方执一份，每一份具有同等法律效力，复印件无效。(以下无正文)</w:t>
      </w:r>
    </w:p>
    <w:tbl>
      <w:tblPr>
        <w:tblStyle w:val="3"/>
        <w:tblW w:w="887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1952"/>
        <w:gridCol w:w="2491"/>
        <w:gridCol w:w="1996"/>
        <w:gridCol w:w="2440"/>
      </w:tblGrid>
      <w:tr w14:paraId="2E7F50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543" w:hRule="atLeast"/>
          <w:jc w:val="center"/>
        </w:trPr>
        <w:tc>
          <w:tcPr>
            <w:tcW w:w="1952" w:type="dxa"/>
            <w:tcBorders>
              <w:top w:val="single" w:color="000000" w:sz="4" w:space="0"/>
              <w:left w:val="single" w:color="000000" w:sz="4" w:space="0"/>
              <w:bottom w:val="single" w:color="000000" w:sz="4" w:space="0"/>
              <w:right w:val="single" w:color="000000" w:sz="4" w:space="0"/>
            </w:tcBorders>
            <w:noWrap w:val="0"/>
            <w:vAlign w:val="center"/>
          </w:tcPr>
          <w:p w14:paraId="55EE0D75">
            <w:pPr>
              <w:keepNext w:val="0"/>
              <w:keepLines w:val="0"/>
              <w:pageBreakBefore w:val="0"/>
              <w:widowControl w:val="0"/>
              <w:kinsoku/>
              <w:overflowPunct/>
              <w:topLinePunct w:val="0"/>
              <w:bidi w:val="0"/>
              <w:snapToGrid/>
              <w:spacing w:line="400" w:lineRule="exact"/>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甲    方</w:t>
            </w:r>
          </w:p>
        </w:tc>
        <w:tc>
          <w:tcPr>
            <w:tcW w:w="2491" w:type="dxa"/>
            <w:tcBorders>
              <w:top w:val="single" w:color="000000" w:sz="4" w:space="0"/>
              <w:left w:val="single" w:color="000000" w:sz="4" w:space="0"/>
              <w:bottom w:val="single" w:color="000000" w:sz="4" w:space="0"/>
              <w:right w:val="single" w:color="000000" w:sz="4" w:space="0"/>
            </w:tcBorders>
            <w:noWrap w:val="0"/>
            <w:vAlign w:val="center"/>
          </w:tcPr>
          <w:p w14:paraId="57053885">
            <w:pPr>
              <w:keepNext w:val="0"/>
              <w:keepLines w:val="0"/>
              <w:pageBreakBefore w:val="0"/>
              <w:widowControl w:val="0"/>
              <w:kinsoku/>
              <w:wordWrap w:val="0"/>
              <w:overflowPunct/>
              <w:topLinePunct w:val="0"/>
              <w:bidi w:val="0"/>
              <w:snapToGrid/>
              <w:spacing w:line="400" w:lineRule="exact"/>
              <w:jc w:val="center"/>
              <w:textAlignment w:val="auto"/>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陕西省人民医院</w:t>
            </w:r>
          </w:p>
        </w:tc>
        <w:tc>
          <w:tcPr>
            <w:tcW w:w="1996" w:type="dxa"/>
            <w:tcBorders>
              <w:top w:val="single" w:color="000000" w:sz="4" w:space="0"/>
              <w:left w:val="single" w:color="000000" w:sz="4" w:space="0"/>
              <w:bottom w:val="single" w:color="000000" w:sz="4" w:space="0"/>
              <w:right w:val="single" w:color="000000" w:sz="4" w:space="0"/>
            </w:tcBorders>
            <w:noWrap w:val="0"/>
            <w:vAlign w:val="center"/>
          </w:tcPr>
          <w:p w14:paraId="664C2046">
            <w:pPr>
              <w:keepNext w:val="0"/>
              <w:keepLines w:val="0"/>
              <w:pageBreakBefore w:val="0"/>
              <w:widowControl w:val="0"/>
              <w:kinsoku/>
              <w:overflowPunct/>
              <w:topLinePunct w:val="0"/>
              <w:bidi w:val="0"/>
              <w:snapToGrid/>
              <w:spacing w:line="40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w:t>
            </w:r>
            <w:r>
              <w:rPr>
                <w:rFonts w:hint="eastAsia" w:ascii="仿宋" w:hAnsi="仿宋" w:eastAsia="仿宋" w:cs="仿宋"/>
                <w:color w:val="000000"/>
                <w:sz w:val="24"/>
                <w:szCs w:val="24"/>
                <w:highlight w:val="none"/>
              </w:rPr>
              <w:t xml:space="preserve">    </w:t>
            </w:r>
            <w:r>
              <w:rPr>
                <w:rFonts w:hint="eastAsia" w:ascii="仿宋" w:hAnsi="仿宋" w:eastAsia="仿宋" w:cs="仿宋"/>
                <w:sz w:val="24"/>
                <w:szCs w:val="24"/>
                <w:highlight w:val="none"/>
              </w:rPr>
              <w:t>方</w:t>
            </w:r>
          </w:p>
        </w:tc>
        <w:tc>
          <w:tcPr>
            <w:tcW w:w="2440" w:type="dxa"/>
            <w:tcBorders>
              <w:top w:val="single" w:color="000000" w:sz="4" w:space="0"/>
              <w:left w:val="single" w:color="000000" w:sz="4" w:space="0"/>
              <w:bottom w:val="single" w:color="000000" w:sz="4" w:space="0"/>
              <w:right w:val="single" w:color="000000" w:sz="4" w:space="0"/>
            </w:tcBorders>
            <w:noWrap w:val="0"/>
            <w:vAlign w:val="center"/>
          </w:tcPr>
          <w:p w14:paraId="475C7C1E">
            <w:pPr>
              <w:keepNext w:val="0"/>
              <w:keepLines w:val="0"/>
              <w:pageBreakBefore w:val="0"/>
              <w:widowControl w:val="0"/>
              <w:kinsoku/>
              <w:overflowPunct/>
              <w:topLinePunct w:val="0"/>
              <w:autoSpaceDE w:val="0"/>
              <w:autoSpaceDN w:val="0"/>
              <w:bidi w:val="0"/>
              <w:adjustRightInd w:val="0"/>
              <w:snapToGrid/>
              <w:spacing w:line="400" w:lineRule="exact"/>
              <w:jc w:val="center"/>
              <w:textAlignment w:val="auto"/>
              <w:rPr>
                <w:rFonts w:hint="eastAsia" w:ascii="仿宋" w:hAnsi="仿宋" w:eastAsia="仿宋" w:cs="仿宋"/>
                <w:kern w:val="0"/>
                <w:sz w:val="24"/>
                <w:szCs w:val="24"/>
                <w:highlight w:val="none"/>
                <w:lang w:val="en-US" w:eastAsia="zh-CN"/>
              </w:rPr>
            </w:pPr>
          </w:p>
        </w:tc>
      </w:tr>
      <w:tr w14:paraId="04BAB7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543" w:hRule="atLeast"/>
          <w:jc w:val="center"/>
        </w:trPr>
        <w:tc>
          <w:tcPr>
            <w:tcW w:w="1952" w:type="dxa"/>
            <w:tcBorders>
              <w:top w:val="single" w:color="000000" w:sz="4" w:space="0"/>
              <w:left w:val="single" w:color="000000" w:sz="4" w:space="0"/>
              <w:bottom w:val="single" w:color="000000" w:sz="4" w:space="0"/>
              <w:right w:val="single" w:color="000000" w:sz="4" w:space="0"/>
            </w:tcBorders>
            <w:noWrap w:val="0"/>
            <w:vAlign w:val="center"/>
          </w:tcPr>
          <w:p w14:paraId="5DE89324">
            <w:pPr>
              <w:keepNext w:val="0"/>
              <w:keepLines w:val="0"/>
              <w:pageBreakBefore w:val="0"/>
              <w:widowControl w:val="0"/>
              <w:kinsoku/>
              <w:wordWrap w:val="0"/>
              <w:overflowPunct/>
              <w:topLinePunct w:val="0"/>
              <w:bidi w:val="0"/>
              <w:snapToGrid/>
              <w:spacing w:line="400" w:lineRule="exact"/>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    址</w:t>
            </w:r>
          </w:p>
        </w:tc>
        <w:tc>
          <w:tcPr>
            <w:tcW w:w="2491" w:type="dxa"/>
            <w:tcBorders>
              <w:top w:val="single" w:color="000000" w:sz="4" w:space="0"/>
              <w:left w:val="single" w:color="000000" w:sz="4" w:space="0"/>
              <w:bottom w:val="single" w:color="000000" w:sz="4" w:space="0"/>
              <w:right w:val="single" w:color="000000" w:sz="4" w:space="0"/>
            </w:tcBorders>
            <w:noWrap w:val="0"/>
            <w:vAlign w:val="center"/>
          </w:tcPr>
          <w:p w14:paraId="2262A1A6">
            <w:pPr>
              <w:keepNext w:val="0"/>
              <w:keepLines w:val="0"/>
              <w:pageBreakBefore w:val="0"/>
              <w:widowControl w:val="0"/>
              <w:kinsoku/>
              <w:wordWrap w:val="0"/>
              <w:overflowPunct/>
              <w:topLinePunct w:val="0"/>
              <w:bidi w:val="0"/>
              <w:snapToGrid/>
              <w:spacing w:line="400" w:lineRule="exact"/>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陕西省</w:t>
            </w:r>
            <w:r>
              <w:rPr>
                <w:rFonts w:hint="eastAsia" w:ascii="仿宋" w:hAnsi="仿宋" w:eastAsia="仿宋" w:cs="仿宋"/>
                <w:color w:val="000000"/>
                <w:sz w:val="24"/>
                <w:szCs w:val="24"/>
                <w:highlight w:val="none"/>
              </w:rPr>
              <w:t>西安市友谊西路256号</w:t>
            </w:r>
          </w:p>
        </w:tc>
        <w:tc>
          <w:tcPr>
            <w:tcW w:w="1996" w:type="dxa"/>
            <w:tcBorders>
              <w:top w:val="single" w:color="000000" w:sz="4" w:space="0"/>
              <w:left w:val="single" w:color="000000" w:sz="4" w:space="0"/>
              <w:bottom w:val="single" w:color="000000" w:sz="4" w:space="0"/>
              <w:right w:val="single" w:color="000000" w:sz="4" w:space="0"/>
            </w:tcBorders>
            <w:noWrap w:val="0"/>
            <w:vAlign w:val="center"/>
          </w:tcPr>
          <w:p w14:paraId="32A6ECCC">
            <w:pPr>
              <w:keepNext w:val="0"/>
              <w:keepLines w:val="0"/>
              <w:pageBreakBefore w:val="0"/>
              <w:widowControl w:val="0"/>
              <w:kinsoku/>
              <w:wordWrap w:val="0"/>
              <w:overflowPunct/>
              <w:topLinePunct w:val="0"/>
              <w:bidi w:val="0"/>
              <w:snapToGrid/>
              <w:spacing w:line="40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地</w:t>
            </w:r>
            <w:r>
              <w:rPr>
                <w:rFonts w:hint="eastAsia" w:ascii="仿宋" w:hAnsi="仿宋" w:eastAsia="仿宋" w:cs="仿宋"/>
                <w:color w:val="000000"/>
                <w:sz w:val="24"/>
                <w:szCs w:val="24"/>
                <w:highlight w:val="none"/>
              </w:rPr>
              <w:t xml:space="preserve">    </w:t>
            </w:r>
            <w:r>
              <w:rPr>
                <w:rFonts w:hint="eastAsia" w:ascii="仿宋" w:hAnsi="仿宋" w:eastAsia="仿宋" w:cs="仿宋"/>
                <w:sz w:val="24"/>
                <w:szCs w:val="24"/>
                <w:highlight w:val="none"/>
              </w:rPr>
              <w:t>址</w:t>
            </w:r>
          </w:p>
        </w:tc>
        <w:tc>
          <w:tcPr>
            <w:tcW w:w="2440" w:type="dxa"/>
            <w:tcBorders>
              <w:top w:val="single" w:color="000000" w:sz="4" w:space="0"/>
              <w:left w:val="single" w:color="000000" w:sz="4" w:space="0"/>
              <w:bottom w:val="single" w:color="000000" w:sz="4" w:space="0"/>
              <w:right w:val="single" w:color="000000" w:sz="4" w:space="0"/>
            </w:tcBorders>
            <w:noWrap w:val="0"/>
            <w:vAlign w:val="center"/>
          </w:tcPr>
          <w:p w14:paraId="276ACBB0">
            <w:pPr>
              <w:keepNext w:val="0"/>
              <w:keepLines w:val="0"/>
              <w:pageBreakBefore w:val="0"/>
              <w:widowControl w:val="0"/>
              <w:kinsoku/>
              <w:overflowPunct/>
              <w:topLinePunct w:val="0"/>
              <w:autoSpaceDE w:val="0"/>
              <w:autoSpaceDN w:val="0"/>
              <w:bidi w:val="0"/>
              <w:adjustRightInd w:val="0"/>
              <w:snapToGrid/>
              <w:spacing w:line="400" w:lineRule="exact"/>
              <w:jc w:val="center"/>
              <w:textAlignment w:val="auto"/>
              <w:rPr>
                <w:rFonts w:hint="eastAsia" w:ascii="仿宋" w:hAnsi="仿宋" w:eastAsia="仿宋" w:cs="仿宋"/>
                <w:sz w:val="24"/>
                <w:szCs w:val="24"/>
                <w:highlight w:val="none"/>
                <w:lang w:val="en-US" w:eastAsia="zh-CN"/>
              </w:rPr>
            </w:pPr>
          </w:p>
        </w:tc>
      </w:tr>
      <w:tr w14:paraId="1217A2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1068" w:hRule="atLeast"/>
          <w:jc w:val="center"/>
        </w:trPr>
        <w:tc>
          <w:tcPr>
            <w:tcW w:w="1952" w:type="dxa"/>
            <w:tcBorders>
              <w:top w:val="single" w:color="000000" w:sz="4" w:space="0"/>
              <w:left w:val="single" w:color="000000" w:sz="4" w:space="0"/>
              <w:bottom w:val="single" w:color="000000" w:sz="4" w:space="0"/>
              <w:right w:val="single" w:color="000000" w:sz="4" w:space="0"/>
            </w:tcBorders>
            <w:noWrap w:val="0"/>
            <w:vAlign w:val="center"/>
          </w:tcPr>
          <w:p w14:paraId="02C6294F">
            <w:pPr>
              <w:keepNext w:val="0"/>
              <w:keepLines w:val="0"/>
              <w:pageBreakBefore w:val="0"/>
              <w:widowControl w:val="0"/>
              <w:kinsoku/>
              <w:wordWrap w:val="0"/>
              <w:overflowPunct/>
              <w:topLinePunct w:val="0"/>
              <w:bidi w:val="0"/>
              <w:snapToGrid/>
              <w:spacing w:line="400" w:lineRule="exact"/>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w:t>
            </w:r>
          </w:p>
          <w:p w14:paraId="501812E9">
            <w:pPr>
              <w:keepNext w:val="0"/>
              <w:keepLines w:val="0"/>
              <w:pageBreakBefore w:val="0"/>
              <w:widowControl w:val="0"/>
              <w:kinsoku/>
              <w:wordWrap w:val="0"/>
              <w:overflowPunct/>
              <w:topLinePunct w:val="0"/>
              <w:bidi w:val="0"/>
              <w:snapToGrid/>
              <w:spacing w:line="400" w:lineRule="exact"/>
              <w:jc w:val="center"/>
              <w:textAlignment w:val="auto"/>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rPr>
              <w:t>（授权委托代理人）</w:t>
            </w:r>
            <w:r>
              <w:rPr>
                <w:rFonts w:hint="eastAsia" w:ascii="仿宋" w:hAnsi="仿宋" w:eastAsia="仿宋" w:cs="仿宋"/>
                <w:color w:val="000000"/>
                <w:sz w:val="24"/>
                <w:szCs w:val="24"/>
                <w:highlight w:val="none"/>
                <w:lang w:val="en-US" w:eastAsia="zh-CN"/>
              </w:rPr>
              <w:t>签字</w:t>
            </w:r>
          </w:p>
        </w:tc>
        <w:tc>
          <w:tcPr>
            <w:tcW w:w="2491" w:type="dxa"/>
            <w:tcBorders>
              <w:top w:val="single" w:color="000000" w:sz="4" w:space="0"/>
              <w:left w:val="single" w:color="000000" w:sz="4" w:space="0"/>
              <w:bottom w:val="single" w:color="000000" w:sz="4" w:space="0"/>
              <w:right w:val="single" w:color="000000" w:sz="4" w:space="0"/>
            </w:tcBorders>
            <w:noWrap w:val="0"/>
            <w:vAlign w:val="center"/>
          </w:tcPr>
          <w:p w14:paraId="4F9F02C4">
            <w:pPr>
              <w:keepNext w:val="0"/>
              <w:keepLines w:val="0"/>
              <w:pageBreakBefore w:val="0"/>
              <w:widowControl w:val="0"/>
              <w:kinsoku/>
              <w:wordWrap w:val="0"/>
              <w:overflowPunct/>
              <w:topLinePunct w:val="0"/>
              <w:bidi w:val="0"/>
              <w:snapToGrid/>
              <w:spacing w:line="400" w:lineRule="exact"/>
              <w:jc w:val="center"/>
              <w:textAlignment w:val="auto"/>
              <w:rPr>
                <w:rFonts w:hint="eastAsia" w:ascii="仿宋" w:hAnsi="仿宋" w:eastAsia="仿宋" w:cs="仿宋"/>
                <w:color w:val="000000"/>
                <w:sz w:val="24"/>
                <w:szCs w:val="24"/>
                <w:highlight w:val="none"/>
              </w:rPr>
            </w:pPr>
          </w:p>
        </w:tc>
        <w:tc>
          <w:tcPr>
            <w:tcW w:w="1996" w:type="dxa"/>
            <w:tcBorders>
              <w:top w:val="single" w:color="000000" w:sz="4" w:space="0"/>
              <w:left w:val="single" w:color="000000" w:sz="4" w:space="0"/>
              <w:bottom w:val="single" w:color="000000" w:sz="4" w:space="0"/>
              <w:right w:val="single" w:color="000000" w:sz="4" w:space="0"/>
            </w:tcBorders>
            <w:noWrap w:val="0"/>
            <w:vAlign w:val="center"/>
          </w:tcPr>
          <w:p w14:paraId="0A9AF289">
            <w:pPr>
              <w:keepNext w:val="0"/>
              <w:keepLines w:val="0"/>
              <w:pageBreakBefore w:val="0"/>
              <w:widowControl w:val="0"/>
              <w:kinsoku/>
              <w:wordWrap w:val="0"/>
              <w:overflowPunct/>
              <w:topLinePunct w:val="0"/>
              <w:bidi w:val="0"/>
              <w:snapToGrid/>
              <w:spacing w:line="40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法定代表人签字</w:t>
            </w:r>
          </w:p>
        </w:tc>
        <w:tc>
          <w:tcPr>
            <w:tcW w:w="2440" w:type="dxa"/>
            <w:tcBorders>
              <w:top w:val="single" w:color="000000" w:sz="4" w:space="0"/>
              <w:left w:val="single" w:color="000000" w:sz="4" w:space="0"/>
              <w:bottom w:val="single" w:color="000000" w:sz="4" w:space="0"/>
              <w:right w:val="single" w:color="000000" w:sz="4" w:space="0"/>
            </w:tcBorders>
            <w:noWrap w:val="0"/>
            <w:vAlign w:val="center"/>
          </w:tcPr>
          <w:p w14:paraId="68053A5A">
            <w:pPr>
              <w:keepNext w:val="0"/>
              <w:keepLines w:val="0"/>
              <w:pageBreakBefore w:val="0"/>
              <w:widowControl w:val="0"/>
              <w:kinsoku/>
              <w:wordWrap w:val="0"/>
              <w:overflowPunct/>
              <w:topLinePunct w:val="0"/>
              <w:bidi w:val="0"/>
              <w:snapToGrid/>
              <w:spacing w:line="400" w:lineRule="exact"/>
              <w:jc w:val="center"/>
              <w:textAlignment w:val="auto"/>
              <w:rPr>
                <w:rFonts w:hint="eastAsia" w:ascii="仿宋" w:hAnsi="仿宋" w:eastAsia="仿宋" w:cs="仿宋"/>
                <w:sz w:val="24"/>
                <w:szCs w:val="24"/>
                <w:highlight w:val="none"/>
                <w:lang w:val="en-US" w:eastAsia="zh-CN"/>
              </w:rPr>
            </w:pPr>
          </w:p>
        </w:tc>
      </w:tr>
      <w:tr w14:paraId="6E94B6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1126" w:hRule="atLeast"/>
          <w:jc w:val="center"/>
        </w:trPr>
        <w:tc>
          <w:tcPr>
            <w:tcW w:w="1952" w:type="dxa"/>
            <w:tcBorders>
              <w:top w:val="single" w:color="000000" w:sz="4" w:space="0"/>
              <w:left w:val="single" w:color="000000" w:sz="4" w:space="0"/>
              <w:bottom w:val="single" w:color="000000" w:sz="4" w:space="0"/>
              <w:right w:val="single" w:color="000000" w:sz="4" w:space="0"/>
            </w:tcBorders>
            <w:noWrap w:val="0"/>
            <w:vAlign w:val="center"/>
          </w:tcPr>
          <w:p w14:paraId="7CCA0852">
            <w:pPr>
              <w:keepNext w:val="0"/>
              <w:keepLines w:val="0"/>
              <w:pageBreakBefore w:val="0"/>
              <w:widowControl w:val="0"/>
              <w:kinsoku/>
              <w:wordWrap w:val="0"/>
              <w:overflowPunct/>
              <w:topLinePunct w:val="0"/>
              <w:bidi w:val="0"/>
              <w:snapToGrid/>
              <w:spacing w:line="400" w:lineRule="exact"/>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 xml:space="preserve">公  </w:t>
            </w:r>
            <w:r>
              <w:rPr>
                <w:rFonts w:hint="eastAsia" w:ascii="仿宋" w:hAnsi="仿宋" w:eastAsia="仿宋" w:cs="仿宋"/>
                <w:color w:val="000000"/>
                <w:sz w:val="24"/>
                <w:szCs w:val="24"/>
                <w:highlight w:val="none"/>
              </w:rPr>
              <w:t>章</w:t>
            </w:r>
          </w:p>
          <w:p w14:paraId="4548EE84">
            <w:pPr>
              <w:keepNext w:val="0"/>
              <w:keepLines w:val="0"/>
              <w:pageBreakBefore w:val="0"/>
              <w:widowControl w:val="0"/>
              <w:kinsoku/>
              <w:wordWrap w:val="0"/>
              <w:overflowPunct/>
              <w:topLinePunct w:val="0"/>
              <w:bidi w:val="0"/>
              <w:snapToGrid/>
              <w:spacing w:line="400" w:lineRule="exact"/>
              <w:jc w:val="center"/>
              <w:textAlignment w:val="auto"/>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合同专用章</w:t>
            </w:r>
            <w:r>
              <w:rPr>
                <w:rFonts w:hint="eastAsia" w:ascii="仿宋" w:hAnsi="仿宋" w:eastAsia="仿宋" w:cs="仿宋"/>
                <w:color w:val="000000"/>
                <w:sz w:val="24"/>
                <w:szCs w:val="24"/>
                <w:highlight w:val="none"/>
                <w:lang w:eastAsia="zh-CN"/>
              </w:rPr>
              <w:t>）</w:t>
            </w:r>
          </w:p>
        </w:tc>
        <w:tc>
          <w:tcPr>
            <w:tcW w:w="2491" w:type="dxa"/>
            <w:tcBorders>
              <w:top w:val="single" w:color="000000" w:sz="4" w:space="0"/>
              <w:left w:val="single" w:color="000000" w:sz="4" w:space="0"/>
              <w:bottom w:val="single" w:color="000000" w:sz="4" w:space="0"/>
              <w:right w:val="single" w:color="000000" w:sz="4" w:space="0"/>
            </w:tcBorders>
            <w:noWrap w:val="0"/>
            <w:vAlign w:val="center"/>
          </w:tcPr>
          <w:p w14:paraId="74C019E8">
            <w:pPr>
              <w:keepNext w:val="0"/>
              <w:keepLines w:val="0"/>
              <w:pageBreakBefore w:val="0"/>
              <w:widowControl w:val="0"/>
              <w:kinsoku/>
              <w:wordWrap w:val="0"/>
              <w:overflowPunct/>
              <w:topLinePunct w:val="0"/>
              <w:bidi w:val="0"/>
              <w:snapToGrid/>
              <w:spacing w:line="400" w:lineRule="exact"/>
              <w:jc w:val="center"/>
              <w:textAlignment w:val="auto"/>
              <w:rPr>
                <w:rFonts w:hint="eastAsia" w:ascii="仿宋" w:hAnsi="仿宋" w:eastAsia="仿宋" w:cs="仿宋"/>
                <w:color w:val="000000"/>
                <w:sz w:val="24"/>
                <w:szCs w:val="24"/>
                <w:highlight w:val="none"/>
              </w:rPr>
            </w:pPr>
          </w:p>
        </w:tc>
        <w:tc>
          <w:tcPr>
            <w:tcW w:w="1996" w:type="dxa"/>
            <w:tcBorders>
              <w:top w:val="single" w:color="000000" w:sz="4" w:space="0"/>
              <w:left w:val="single" w:color="000000" w:sz="4" w:space="0"/>
              <w:bottom w:val="single" w:color="000000" w:sz="4" w:space="0"/>
              <w:right w:val="single" w:color="000000" w:sz="4" w:space="0"/>
            </w:tcBorders>
            <w:noWrap w:val="0"/>
            <w:vAlign w:val="center"/>
          </w:tcPr>
          <w:p w14:paraId="77794084">
            <w:pPr>
              <w:keepNext w:val="0"/>
              <w:keepLines w:val="0"/>
              <w:pageBreakBefore w:val="0"/>
              <w:widowControl w:val="0"/>
              <w:kinsoku/>
              <w:wordWrap w:val="0"/>
              <w:overflowPunct/>
              <w:topLinePunct w:val="0"/>
              <w:bidi w:val="0"/>
              <w:snapToGrid/>
              <w:spacing w:line="400" w:lineRule="exact"/>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 xml:space="preserve">公  </w:t>
            </w:r>
            <w:r>
              <w:rPr>
                <w:rFonts w:hint="eastAsia" w:ascii="仿宋" w:hAnsi="仿宋" w:eastAsia="仿宋" w:cs="仿宋"/>
                <w:color w:val="000000"/>
                <w:sz w:val="24"/>
                <w:szCs w:val="24"/>
                <w:highlight w:val="none"/>
              </w:rPr>
              <w:t>章</w:t>
            </w:r>
          </w:p>
          <w:p w14:paraId="4FFB658E">
            <w:pPr>
              <w:keepNext w:val="0"/>
              <w:keepLines w:val="0"/>
              <w:pageBreakBefore w:val="0"/>
              <w:widowControl w:val="0"/>
              <w:kinsoku/>
              <w:wordWrap w:val="0"/>
              <w:overflowPunct/>
              <w:topLinePunct w:val="0"/>
              <w:bidi w:val="0"/>
              <w:snapToGrid/>
              <w:spacing w:line="400" w:lineRule="exact"/>
              <w:jc w:val="center"/>
              <w:textAlignment w:val="auto"/>
              <w:rPr>
                <w:rFonts w:hint="eastAsia" w:ascii="仿宋" w:hAnsi="仿宋" w:eastAsia="仿宋" w:cs="仿宋"/>
                <w:sz w:val="24"/>
                <w:szCs w:val="24"/>
                <w:highlight w:val="none"/>
              </w:rPr>
            </w:pP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合同专用章</w:t>
            </w:r>
            <w:r>
              <w:rPr>
                <w:rFonts w:hint="eastAsia" w:ascii="仿宋" w:hAnsi="仿宋" w:eastAsia="仿宋" w:cs="仿宋"/>
                <w:color w:val="000000"/>
                <w:sz w:val="24"/>
                <w:szCs w:val="24"/>
                <w:highlight w:val="none"/>
                <w:lang w:eastAsia="zh-CN"/>
              </w:rPr>
              <w:t>）</w:t>
            </w:r>
          </w:p>
        </w:tc>
        <w:tc>
          <w:tcPr>
            <w:tcW w:w="2440" w:type="dxa"/>
            <w:tcBorders>
              <w:top w:val="single" w:color="000000" w:sz="4" w:space="0"/>
              <w:left w:val="single" w:color="000000" w:sz="4" w:space="0"/>
              <w:bottom w:val="single" w:color="000000" w:sz="4" w:space="0"/>
              <w:right w:val="single" w:color="000000" w:sz="4" w:space="0"/>
            </w:tcBorders>
            <w:noWrap w:val="0"/>
            <w:vAlign w:val="center"/>
          </w:tcPr>
          <w:p w14:paraId="1C1147E2">
            <w:pPr>
              <w:keepNext w:val="0"/>
              <w:keepLines w:val="0"/>
              <w:pageBreakBefore w:val="0"/>
              <w:widowControl w:val="0"/>
              <w:kinsoku/>
              <w:wordWrap w:val="0"/>
              <w:overflowPunct/>
              <w:topLinePunct w:val="0"/>
              <w:bidi w:val="0"/>
              <w:snapToGrid/>
              <w:spacing w:line="400" w:lineRule="exact"/>
              <w:jc w:val="center"/>
              <w:textAlignment w:val="auto"/>
              <w:rPr>
                <w:rFonts w:hint="eastAsia" w:ascii="仿宋" w:hAnsi="仿宋" w:eastAsia="仿宋" w:cs="仿宋"/>
                <w:sz w:val="24"/>
                <w:szCs w:val="24"/>
                <w:highlight w:val="none"/>
              </w:rPr>
            </w:pPr>
          </w:p>
        </w:tc>
      </w:tr>
      <w:tr w14:paraId="6F1277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543" w:hRule="atLeast"/>
          <w:jc w:val="center"/>
        </w:trPr>
        <w:tc>
          <w:tcPr>
            <w:tcW w:w="1952" w:type="dxa"/>
            <w:tcBorders>
              <w:top w:val="single" w:color="000000" w:sz="4" w:space="0"/>
              <w:left w:val="single" w:color="000000" w:sz="4" w:space="0"/>
              <w:bottom w:val="single" w:color="000000" w:sz="4" w:space="0"/>
              <w:right w:val="single" w:color="000000" w:sz="4" w:space="0"/>
            </w:tcBorders>
            <w:noWrap w:val="0"/>
            <w:vAlign w:val="center"/>
          </w:tcPr>
          <w:p w14:paraId="39B3A962">
            <w:pPr>
              <w:keepNext w:val="0"/>
              <w:keepLines w:val="0"/>
              <w:pageBreakBefore w:val="0"/>
              <w:widowControl w:val="0"/>
              <w:kinsoku/>
              <w:wordWrap w:val="0"/>
              <w:overflowPunct/>
              <w:topLinePunct w:val="0"/>
              <w:bidi w:val="0"/>
              <w:snapToGrid/>
              <w:spacing w:line="400" w:lineRule="exact"/>
              <w:jc w:val="center"/>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bCs/>
                <w:color w:val="000000"/>
                <w:sz w:val="24"/>
                <w:szCs w:val="24"/>
                <w:highlight w:val="none"/>
                <w:lang w:val="en-US" w:eastAsia="zh-CN"/>
              </w:rPr>
              <w:t>联系</w:t>
            </w:r>
            <w:r>
              <w:rPr>
                <w:rFonts w:hint="eastAsia" w:ascii="仿宋" w:hAnsi="仿宋" w:eastAsia="仿宋" w:cs="仿宋"/>
                <w:bCs/>
                <w:color w:val="000000"/>
                <w:sz w:val="24"/>
                <w:szCs w:val="24"/>
                <w:highlight w:val="none"/>
              </w:rPr>
              <w:t>电话</w:t>
            </w:r>
          </w:p>
        </w:tc>
        <w:tc>
          <w:tcPr>
            <w:tcW w:w="2491" w:type="dxa"/>
            <w:tcBorders>
              <w:top w:val="single" w:color="000000" w:sz="4" w:space="0"/>
              <w:left w:val="single" w:color="000000" w:sz="4" w:space="0"/>
              <w:bottom w:val="single" w:color="000000" w:sz="4" w:space="0"/>
              <w:right w:val="single" w:color="000000" w:sz="4" w:space="0"/>
            </w:tcBorders>
            <w:noWrap w:val="0"/>
            <w:vAlign w:val="center"/>
          </w:tcPr>
          <w:p w14:paraId="74D7BCBA">
            <w:pPr>
              <w:keepNext w:val="0"/>
              <w:keepLines w:val="0"/>
              <w:pageBreakBefore w:val="0"/>
              <w:widowControl w:val="0"/>
              <w:kinsoku/>
              <w:wordWrap w:val="0"/>
              <w:overflowPunct/>
              <w:topLinePunct w:val="0"/>
              <w:bidi w:val="0"/>
              <w:snapToGrid/>
              <w:spacing w:line="400" w:lineRule="exact"/>
              <w:jc w:val="center"/>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rPr>
              <w:t>029-85253261-</w:t>
            </w:r>
            <w:r>
              <w:rPr>
                <w:rFonts w:hint="eastAsia" w:ascii="仿宋" w:hAnsi="仿宋" w:eastAsia="仿宋" w:cs="仿宋"/>
                <w:color w:val="000000"/>
                <w:sz w:val="24"/>
                <w:szCs w:val="24"/>
                <w:highlight w:val="none"/>
                <w:lang w:val="en-US" w:eastAsia="zh-CN"/>
              </w:rPr>
              <w:t>3504</w:t>
            </w:r>
          </w:p>
        </w:tc>
        <w:tc>
          <w:tcPr>
            <w:tcW w:w="1996" w:type="dxa"/>
            <w:tcBorders>
              <w:top w:val="single" w:color="000000" w:sz="4" w:space="0"/>
              <w:left w:val="single" w:color="000000" w:sz="4" w:space="0"/>
              <w:bottom w:val="single" w:color="000000" w:sz="4" w:space="0"/>
              <w:right w:val="single" w:color="000000" w:sz="4" w:space="0"/>
            </w:tcBorders>
            <w:noWrap w:val="0"/>
            <w:vAlign w:val="center"/>
          </w:tcPr>
          <w:p w14:paraId="341123CE">
            <w:pPr>
              <w:keepNext w:val="0"/>
              <w:keepLines w:val="0"/>
              <w:pageBreakBefore w:val="0"/>
              <w:widowControl w:val="0"/>
              <w:kinsoku/>
              <w:wordWrap w:val="0"/>
              <w:overflowPunct/>
              <w:topLinePunct w:val="0"/>
              <w:bidi w:val="0"/>
              <w:snapToGrid/>
              <w:spacing w:line="400" w:lineRule="exact"/>
              <w:jc w:val="center"/>
              <w:textAlignment w:val="auto"/>
              <w:rPr>
                <w:rFonts w:hint="eastAsia" w:ascii="仿宋" w:hAnsi="仿宋" w:eastAsia="仿宋" w:cs="仿宋"/>
                <w:color w:val="000000"/>
                <w:spacing w:val="20"/>
                <w:kern w:val="2"/>
                <w:sz w:val="24"/>
                <w:szCs w:val="24"/>
                <w:highlight w:val="none"/>
                <w:lang w:val="en-US" w:eastAsia="zh-CN" w:bidi="ar-SA"/>
              </w:rPr>
            </w:pPr>
            <w:r>
              <w:rPr>
                <w:rFonts w:hint="eastAsia" w:ascii="仿宋" w:hAnsi="仿宋" w:eastAsia="仿宋" w:cs="仿宋"/>
                <w:bCs/>
                <w:color w:val="000000"/>
                <w:sz w:val="24"/>
                <w:szCs w:val="24"/>
                <w:highlight w:val="none"/>
                <w:lang w:val="en-US" w:eastAsia="zh-CN"/>
              </w:rPr>
              <w:t>联系固定</w:t>
            </w:r>
            <w:r>
              <w:rPr>
                <w:rFonts w:hint="eastAsia" w:ascii="仿宋" w:hAnsi="仿宋" w:eastAsia="仿宋" w:cs="仿宋"/>
                <w:bCs/>
                <w:color w:val="000000"/>
                <w:sz w:val="24"/>
                <w:szCs w:val="24"/>
                <w:highlight w:val="none"/>
              </w:rPr>
              <w:t>电话</w:t>
            </w:r>
          </w:p>
        </w:tc>
        <w:tc>
          <w:tcPr>
            <w:tcW w:w="2440" w:type="dxa"/>
            <w:tcBorders>
              <w:top w:val="single" w:color="000000" w:sz="4" w:space="0"/>
              <w:left w:val="single" w:color="000000" w:sz="4" w:space="0"/>
              <w:bottom w:val="single" w:color="000000" w:sz="4" w:space="0"/>
              <w:right w:val="single" w:color="000000" w:sz="4" w:space="0"/>
            </w:tcBorders>
            <w:noWrap w:val="0"/>
            <w:vAlign w:val="center"/>
          </w:tcPr>
          <w:p w14:paraId="2A79065A">
            <w:pPr>
              <w:keepNext w:val="0"/>
              <w:keepLines w:val="0"/>
              <w:pageBreakBefore w:val="0"/>
              <w:widowControl w:val="0"/>
              <w:kinsoku/>
              <w:wordWrap w:val="0"/>
              <w:overflowPunct/>
              <w:topLinePunct w:val="0"/>
              <w:bidi w:val="0"/>
              <w:snapToGrid/>
              <w:spacing w:line="400" w:lineRule="exact"/>
              <w:jc w:val="center"/>
              <w:textAlignment w:val="auto"/>
              <w:rPr>
                <w:rFonts w:hint="eastAsia" w:ascii="仿宋" w:hAnsi="仿宋" w:eastAsia="仿宋" w:cs="仿宋"/>
                <w:sz w:val="24"/>
                <w:szCs w:val="24"/>
                <w:highlight w:val="none"/>
                <w:lang w:val="en-US" w:eastAsia="zh-CN"/>
              </w:rPr>
            </w:pPr>
          </w:p>
        </w:tc>
      </w:tr>
      <w:tr w14:paraId="2B0023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543" w:hRule="atLeast"/>
          <w:jc w:val="center"/>
        </w:trPr>
        <w:tc>
          <w:tcPr>
            <w:tcW w:w="1952" w:type="dxa"/>
            <w:tcBorders>
              <w:top w:val="single" w:color="000000" w:sz="4" w:space="0"/>
              <w:left w:val="single" w:color="000000" w:sz="4" w:space="0"/>
              <w:bottom w:val="single" w:color="000000" w:sz="4" w:space="0"/>
              <w:right w:val="single" w:color="000000" w:sz="4" w:space="0"/>
            </w:tcBorders>
            <w:noWrap w:val="0"/>
            <w:vAlign w:val="center"/>
          </w:tcPr>
          <w:p w14:paraId="07A491FA">
            <w:pPr>
              <w:keepNext w:val="0"/>
              <w:keepLines w:val="0"/>
              <w:pageBreakBefore w:val="0"/>
              <w:widowControl w:val="0"/>
              <w:kinsoku/>
              <w:wordWrap w:val="0"/>
              <w:overflowPunct/>
              <w:topLinePunct w:val="0"/>
              <w:bidi w:val="0"/>
              <w:snapToGrid/>
              <w:spacing w:line="400" w:lineRule="exact"/>
              <w:jc w:val="center"/>
              <w:textAlignment w:val="auto"/>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传    真</w:t>
            </w:r>
          </w:p>
        </w:tc>
        <w:tc>
          <w:tcPr>
            <w:tcW w:w="2491" w:type="dxa"/>
            <w:tcBorders>
              <w:top w:val="single" w:color="000000" w:sz="4" w:space="0"/>
              <w:left w:val="single" w:color="000000" w:sz="4" w:space="0"/>
              <w:bottom w:val="single" w:color="000000" w:sz="4" w:space="0"/>
              <w:right w:val="single" w:color="000000" w:sz="4" w:space="0"/>
            </w:tcBorders>
            <w:noWrap w:val="0"/>
            <w:vAlign w:val="center"/>
          </w:tcPr>
          <w:p w14:paraId="391D3DA1">
            <w:pPr>
              <w:keepNext w:val="0"/>
              <w:keepLines w:val="0"/>
              <w:pageBreakBefore w:val="0"/>
              <w:widowControl w:val="0"/>
              <w:kinsoku/>
              <w:wordWrap w:val="0"/>
              <w:overflowPunct/>
              <w:topLinePunct w:val="0"/>
              <w:bidi w:val="0"/>
              <w:snapToGrid/>
              <w:spacing w:line="400" w:lineRule="exact"/>
              <w:jc w:val="center"/>
              <w:textAlignment w:val="auto"/>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rPr>
              <w:t>029-85253261-</w:t>
            </w:r>
            <w:r>
              <w:rPr>
                <w:rFonts w:hint="eastAsia" w:ascii="仿宋" w:hAnsi="仿宋" w:eastAsia="仿宋" w:cs="仿宋"/>
                <w:color w:val="000000"/>
                <w:sz w:val="24"/>
                <w:szCs w:val="24"/>
                <w:highlight w:val="none"/>
                <w:lang w:val="en-US" w:eastAsia="zh-CN"/>
              </w:rPr>
              <w:t>3504</w:t>
            </w:r>
          </w:p>
        </w:tc>
        <w:tc>
          <w:tcPr>
            <w:tcW w:w="1996" w:type="dxa"/>
            <w:tcBorders>
              <w:top w:val="single" w:color="000000" w:sz="4" w:space="0"/>
              <w:left w:val="single" w:color="000000" w:sz="4" w:space="0"/>
              <w:bottom w:val="single" w:color="000000" w:sz="4" w:space="0"/>
              <w:right w:val="single" w:color="000000" w:sz="4" w:space="0"/>
            </w:tcBorders>
            <w:noWrap w:val="0"/>
            <w:vAlign w:val="center"/>
          </w:tcPr>
          <w:p w14:paraId="25E2F48C">
            <w:pPr>
              <w:keepNext w:val="0"/>
              <w:keepLines w:val="0"/>
              <w:pageBreakBefore w:val="0"/>
              <w:widowControl w:val="0"/>
              <w:kinsoku/>
              <w:wordWrap w:val="0"/>
              <w:overflowPunct/>
              <w:topLinePunct w:val="0"/>
              <w:bidi w:val="0"/>
              <w:snapToGrid/>
              <w:spacing w:line="400" w:lineRule="exact"/>
              <w:jc w:val="center"/>
              <w:textAlignment w:val="auto"/>
              <w:rPr>
                <w:rFonts w:hint="eastAsia" w:ascii="仿宋" w:hAnsi="仿宋" w:eastAsia="仿宋" w:cs="仿宋"/>
                <w:color w:val="000000"/>
                <w:sz w:val="24"/>
                <w:szCs w:val="24"/>
                <w:highlight w:val="none"/>
                <w:lang w:val="en-US"/>
              </w:rPr>
            </w:pPr>
            <w:r>
              <w:rPr>
                <w:rFonts w:hint="eastAsia" w:ascii="仿宋" w:hAnsi="仿宋" w:eastAsia="仿宋" w:cs="仿宋"/>
                <w:bCs/>
                <w:color w:val="000000"/>
                <w:sz w:val="24"/>
                <w:szCs w:val="24"/>
                <w:highlight w:val="none"/>
                <w:lang w:val="en-US" w:eastAsia="zh-CN"/>
              </w:rPr>
              <w:t>联系移动电话</w:t>
            </w:r>
          </w:p>
        </w:tc>
        <w:tc>
          <w:tcPr>
            <w:tcW w:w="2440" w:type="dxa"/>
            <w:tcBorders>
              <w:top w:val="single" w:color="000000" w:sz="4" w:space="0"/>
              <w:left w:val="single" w:color="000000" w:sz="4" w:space="0"/>
              <w:bottom w:val="single" w:color="000000" w:sz="4" w:space="0"/>
              <w:right w:val="single" w:color="000000" w:sz="4" w:space="0"/>
            </w:tcBorders>
            <w:noWrap w:val="0"/>
            <w:vAlign w:val="center"/>
          </w:tcPr>
          <w:p w14:paraId="10962827">
            <w:pPr>
              <w:keepNext w:val="0"/>
              <w:keepLines w:val="0"/>
              <w:pageBreakBefore w:val="0"/>
              <w:widowControl w:val="0"/>
              <w:kinsoku/>
              <w:wordWrap w:val="0"/>
              <w:overflowPunct/>
              <w:topLinePunct w:val="0"/>
              <w:bidi w:val="0"/>
              <w:snapToGrid/>
              <w:spacing w:line="400" w:lineRule="exact"/>
              <w:jc w:val="center"/>
              <w:textAlignment w:val="auto"/>
              <w:rPr>
                <w:rFonts w:hint="eastAsia" w:ascii="仿宋" w:hAnsi="仿宋" w:eastAsia="仿宋" w:cs="仿宋"/>
                <w:sz w:val="24"/>
                <w:szCs w:val="24"/>
                <w:highlight w:val="none"/>
                <w:lang w:val="en-US" w:eastAsia="zh-CN"/>
              </w:rPr>
            </w:pPr>
          </w:p>
        </w:tc>
      </w:tr>
      <w:tr w14:paraId="73C332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559" w:hRule="atLeast"/>
          <w:jc w:val="center"/>
        </w:trPr>
        <w:tc>
          <w:tcPr>
            <w:tcW w:w="1952" w:type="dxa"/>
            <w:tcBorders>
              <w:top w:val="single" w:color="000000" w:sz="4" w:space="0"/>
              <w:left w:val="single" w:color="000000" w:sz="4" w:space="0"/>
              <w:bottom w:val="single" w:color="000000" w:sz="4" w:space="0"/>
              <w:right w:val="single" w:color="000000" w:sz="4" w:space="0"/>
            </w:tcBorders>
            <w:noWrap w:val="0"/>
            <w:vAlign w:val="center"/>
          </w:tcPr>
          <w:p w14:paraId="74975C44">
            <w:pPr>
              <w:keepNext w:val="0"/>
              <w:keepLines w:val="0"/>
              <w:pageBreakBefore w:val="0"/>
              <w:widowControl w:val="0"/>
              <w:kinsoku/>
              <w:wordWrap w:val="0"/>
              <w:overflowPunct/>
              <w:topLinePunct w:val="0"/>
              <w:bidi w:val="0"/>
              <w:snapToGrid/>
              <w:spacing w:line="400" w:lineRule="exact"/>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开</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户</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行</w:t>
            </w:r>
          </w:p>
        </w:tc>
        <w:tc>
          <w:tcPr>
            <w:tcW w:w="2491" w:type="dxa"/>
            <w:tcBorders>
              <w:top w:val="single" w:color="000000" w:sz="4" w:space="0"/>
              <w:left w:val="single" w:color="000000" w:sz="4" w:space="0"/>
              <w:bottom w:val="single" w:color="000000" w:sz="4" w:space="0"/>
              <w:right w:val="single" w:color="000000" w:sz="4" w:space="0"/>
            </w:tcBorders>
            <w:noWrap w:val="0"/>
            <w:vAlign w:val="center"/>
          </w:tcPr>
          <w:p w14:paraId="25D11AD1">
            <w:pPr>
              <w:keepNext w:val="0"/>
              <w:keepLines w:val="0"/>
              <w:pageBreakBefore w:val="0"/>
              <w:widowControl w:val="0"/>
              <w:kinsoku/>
              <w:wordWrap w:val="0"/>
              <w:overflowPunct/>
              <w:topLinePunct w:val="0"/>
              <w:bidi w:val="0"/>
              <w:snapToGrid/>
              <w:spacing w:line="400" w:lineRule="exact"/>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建设银行西安曲江支行</w:t>
            </w:r>
          </w:p>
        </w:tc>
        <w:tc>
          <w:tcPr>
            <w:tcW w:w="1996" w:type="dxa"/>
            <w:tcBorders>
              <w:top w:val="single" w:color="000000" w:sz="4" w:space="0"/>
              <w:left w:val="single" w:color="000000" w:sz="4" w:space="0"/>
              <w:bottom w:val="single" w:color="000000" w:sz="4" w:space="0"/>
              <w:right w:val="single" w:color="000000" w:sz="4" w:space="0"/>
            </w:tcBorders>
            <w:noWrap w:val="0"/>
            <w:vAlign w:val="center"/>
          </w:tcPr>
          <w:p w14:paraId="4C28DF11">
            <w:pPr>
              <w:keepNext w:val="0"/>
              <w:keepLines w:val="0"/>
              <w:pageBreakBefore w:val="0"/>
              <w:widowControl w:val="0"/>
              <w:kinsoku/>
              <w:wordWrap w:val="0"/>
              <w:overflowPunct/>
              <w:topLinePunct w:val="0"/>
              <w:bidi w:val="0"/>
              <w:snapToGrid/>
              <w:spacing w:line="400" w:lineRule="exact"/>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开</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户</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行</w:t>
            </w:r>
          </w:p>
        </w:tc>
        <w:tc>
          <w:tcPr>
            <w:tcW w:w="2440" w:type="dxa"/>
            <w:tcBorders>
              <w:top w:val="single" w:color="000000" w:sz="4" w:space="0"/>
              <w:left w:val="single" w:color="000000" w:sz="4" w:space="0"/>
              <w:bottom w:val="single" w:color="000000" w:sz="4" w:space="0"/>
              <w:right w:val="single" w:color="000000" w:sz="4" w:space="0"/>
            </w:tcBorders>
            <w:noWrap w:val="0"/>
            <w:vAlign w:val="center"/>
          </w:tcPr>
          <w:p w14:paraId="2E3B7F7B">
            <w:pPr>
              <w:keepNext w:val="0"/>
              <w:keepLines w:val="0"/>
              <w:pageBreakBefore w:val="0"/>
              <w:widowControl w:val="0"/>
              <w:kinsoku/>
              <w:overflowPunct/>
              <w:topLinePunct w:val="0"/>
              <w:bidi w:val="0"/>
              <w:snapToGrid/>
              <w:spacing w:line="400" w:lineRule="exact"/>
              <w:jc w:val="center"/>
              <w:textAlignment w:val="auto"/>
              <w:rPr>
                <w:rFonts w:hint="eastAsia" w:ascii="仿宋" w:hAnsi="仿宋" w:eastAsia="仿宋" w:cs="仿宋"/>
                <w:bCs/>
                <w:sz w:val="24"/>
                <w:szCs w:val="24"/>
                <w:highlight w:val="none"/>
                <w:lang w:val="en-US" w:eastAsia="zh-CN"/>
              </w:rPr>
            </w:pPr>
          </w:p>
        </w:tc>
      </w:tr>
      <w:tr w14:paraId="3EB35B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543" w:hRule="atLeast"/>
          <w:jc w:val="center"/>
        </w:trPr>
        <w:tc>
          <w:tcPr>
            <w:tcW w:w="1952" w:type="dxa"/>
            <w:tcBorders>
              <w:top w:val="single" w:color="000000" w:sz="4" w:space="0"/>
              <w:left w:val="single" w:color="000000" w:sz="4" w:space="0"/>
              <w:bottom w:val="single" w:color="000000" w:sz="4" w:space="0"/>
              <w:right w:val="single" w:color="000000" w:sz="4" w:space="0"/>
            </w:tcBorders>
            <w:noWrap w:val="0"/>
            <w:vAlign w:val="center"/>
          </w:tcPr>
          <w:p w14:paraId="6548448C">
            <w:pPr>
              <w:keepNext w:val="0"/>
              <w:keepLines w:val="0"/>
              <w:pageBreakBefore w:val="0"/>
              <w:widowControl w:val="0"/>
              <w:kinsoku/>
              <w:wordWrap w:val="0"/>
              <w:overflowPunct/>
              <w:topLinePunct w:val="0"/>
              <w:bidi w:val="0"/>
              <w:snapToGrid/>
              <w:spacing w:line="400" w:lineRule="exact"/>
              <w:jc w:val="center"/>
              <w:textAlignment w:val="auto"/>
              <w:rPr>
                <w:rFonts w:hint="eastAsia" w:ascii="仿宋" w:hAnsi="仿宋" w:eastAsia="仿宋" w:cs="仿宋"/>
                <w:color w:val="000000"/>
                <w:sz w:val="24"/>
                <w:szCs w:val="24"/>
                <w:highlight w:val="none"/>
              </w:rPr>
            </w:pPr>
            <w:r>
              <w:rPr>
                <w:rFonts w:hint="eastAsia" w:ascii="仿宋" w:hAnsi="仿宋" w:eastAsia="仿宋" w:cs="仿宋"/>
                <w:bCs/>
                <w:color w:val="000000"/>
                <w:sz w:val="24"/>
                <w:szCs w:val="24"/>
                <w:highlight w:val="none"/>
                <w:lang w:val="en-US" w:eastAsia="zh-CN"/>
              </w:rPr>
              <w:t xml:space="preserve">账    </w:t>
            </w:r>
            <w:r>
              <w:rPr>
                <w:rFonts w:hint="eastAsia" w:ascii="仿宋" w:hAnsi="仿宋" w:eastAsia="仿宋" w:cs="仿宋"/>
                <w:bCs/>
                <w:color w:val="000000"/>
                <w:sz w:val="24"/>
                <w:szCs w:val="24"/>
                <w:highlight w:val="none"/>
              </w:rPr>
              <w:t>号</w:t>
            </w:r>
          </w:p>
        </w:tc>
        <w:tc>
          <w:tcPr>
            <w:tcW w:w="2491" w:type="dxa"/>
            <w:tcBorders>
              <w:top w:val="single" w:color="000000" w:sz="4" w:space="0"/>
              <w:left w:val="single" w:color="000000" w:sz="4" w:space="0"/>
              <w:bottom w:val="single" w:color="000000" w:sz="4" w:space="0"/>
              <w:right w:val="single" w:color="000000" w:sz="4" w:space="0"/>
            </w:tcBorders>
            <w:noWrap w:val="0"/>
            <w:vAlign w:val="center"/>
          </w:tcPr>
          <w:p w14:paraId="2505C785">
            <w:pPr>
              <w:keepNext w:val="0"/>
              <w:keepLines w:val="0"/>
              <w:pageBreakBefore w:val="0"/>
              <w:widowControl w:val="0"/>
              <w:kinsoku/>
              <w:wordWrap w:val="0"/>
              <w:overflowPunct/>
              <w:topLinePunct w:val="0"/>
              <w:bidi w:val="0"/>
              <w:snapToGrid/>
              <w:spacing w:line="400" w:lineRule="exact"/>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61001910004050002687</w:t>
            </w:r>
          </w:p>
        </w:tc>
        <w:tc>
          <w:tcPr>
            <w:tcW w:w="1996" w:type="dxa"/>
            <w:tcBorders>
              <w:top w:val="single" w:color="000000" w:sz="4" w:space="0"/>
              <w:left w:val="single" w:color="000000" w:sz="4" w:space="0"/>
              <w:bottom w:val="single" w:color="000000" w:sz="4" w:space="0"/>
              <w:right w:val="single" w:color="000000" w:sz="4" w:space="0"/>
            </w:tcBorders>
            <w:noWrap w:val="0"/>
            <w:vAlign w:val="center"/>
          </w:tcPr>
          <w:p w14:paraId="3C58E5CF">
            <w:pPr>
              <w:keepNext w:val="0"/>
              <w:keepLines w:val="0"/>
              <w:pageBreakBefore w:val="0"/>
              <w:widowControl w:val="0"/>
              <w:kinsoku/>
              <w:wordWrap w:val="0"/>
              <w:overflowPunct/>
              <w:topLinePunct w:val="0"/>
              <w:bidi w:val="0"/>
              <w:snapToGrid/>
              <w:spacing w:line="400" w:lineRule="exact"/>
              <w:jc w:val="center"/>
              <w:textAlignment w:val="auto"/>
              <w:rPr>
                <w:rFonts w:hint="eastAsia" w:ascii="仿宋" w:hAnsi="仿宋" w:eastAsia="仿宋" w:cs="仿宋"/>
                <w:color w:val="000000"/>
                <w:sz w:val="24"/>
                <w:szCs w:val="24"/>
                <w:highlight w:val="none"/>
              </w:rPr>
            </w:pPr>
            <w:r>
              <w:rPr>
                <w:rFonts w:hint="eastAsia" w:ascii="仿宋" w:hAnsi="仿宋" w:eastAsia="仿宋" w:cs="仿宋"/>
                <w:bCs/>
                <w:color w:val="000000"/>
                <w:sz w:val="24"/>
                <w:szCs w:val="24"/>
                <w:highlight w:val="none"/>
                <w:lang w:val="en-US" w:eastAsia="zh-CN"/>
              </w:rPr>
              <w:t xml:space="preserve">账    </w:t>
            </w:r>
            <w:r>
              <w:rPr>
                <w:rFonts w:hint="eastAsia" w:ascii="仿宋" w:hAnsi="仿宋" w:eastAsia="仿宋" w:cs="仿宋"/>
                <w:bCs/>
                <w:color w:val="000000"/>
                <w:sz w:val="24"/>
                <w:szCs w:val="24"/>
                <w:highlight w:val="none"/>
              </w:rPr>
              <w:t>号</w:t>
            </w:r>
          </w:p>
        </w:tc>
        <w:tc>
          <w:tcPr>
            <w:tcW w:w="2440" w:type="dxa"/>
            <w:tcBorders>
              <w:top w:val="single" w:color="000000" w:sz="4" w:space="0"/>
              <w:left w:val="single" w:color="000000" w:sz="4" w:space="0"/>
              <w:bottom w:val="single" w:color="000000" w:sz="4" w:space="0"/>
              <w:right w:val="single" w:color="000000" w:sz="4" w:space="0"/>
            </w:tcBorders>
            <w:noWrap w:val="0"/>
            <w:vAlign w:val="center"/>
          </w:tcPr>
          <w:p w14:paraId="696B5831">
            <w:pPr>
              <w:keepNext w:val="0"/>
              <w:keepLines w:val="0"/>
              <w:pageBreakBefore w:val="0"/>
              <w:widowControl w:val="0"/>
              <w:kinsoku/>
              <w:wordWrap w:val="0"/>
              <w:overflowPunct/>
              <w:topLinePunct w:val="0"/>
              <w:bidi w:val="0"/>
              <w:snapToGrid/>
              <w:spacing w:line="400" w:lineRule="exact"/>
              <w:jc w:val="center"/>
              <w:textAlignment w:val="auto"/>
              <w:rPr>
                <w:rFonts w:hint="eastAsia" w:ascii="仿宋" w:hAnsi="仿宋" w:eastAsia="仿宋" w:cs="仿宋"/>
                <w:sz w:val="24"/>
                <w:szCs w:val="24"/>
                <w:highlight w:val="none"/>
                <w:lang w:val="en-US" w:eastAsia="zh-CN"/>
              </w:rPr>
            </w:pPr>
          </w:p>
        </w:tc>
      </w:tr>
      <w:tr w14:paraId="7493D9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561" w:hRule="atLeast"/>
          <w:jc w:val="center"/>
        </w:trPr>
        <w:tc>
          <w:tcPr>
            <w:tcW w:w="1952" w:type="dxa"/>
            <w:tcBorders>
              <w:top w:val="single" w:color="000000" w:sz="4" w:space="0"/>
              <w:left w:val="single" w:color="000000" w:sz="4" w:space="0"/>
              <w:bottom w:val="single" w:color="000000" w:sz="4" w:space="0"/>
              <w:right w:val="single" w:color="000000" w:sz="4" w:space="0"/>
            </w:tcBorders>
            <w:noWrap w:val="0"/>
            <w:vAlign w:val="center"/>
          </w:tcPr>
          <w:p w14:paraId="6E71294C">
            <w:pPr>
              <w:keepNext w:val="0"/>
              <w:keepLines w:val="0"/>
              <w:pageBreakBefore w:val="0"/>
              <w:widowControl w:val="0"/>
              <w:kinsoku/>
              <w:wordWrap w:val="0"/>
              <w:overflowPunct/>
              <w:topLinePunct w:val="0"/>
              <w:bidi w:val="0"/>
              <w:snapToGrid/>
              <w:spacing w:line="400" w:lineRule="exact"/>
              <w:jc w:val="center"/>
              <w:textAlignment w:val="auto"/>
              <w:rPr>
                <w:rFonts w:hint="eastAsia" w:ascii="仿宋" w:hAnsi="仿宋" w:eastAsia="仿宋" w:cs="仿宋"/>
                <w:color w:val="000000"/>
                <w:sz w:val="24"/>
                <w:szCs w:val="24"/>
                <w:highlight w:val="none"/>
              </w:rPr>
            </w:pPr>
            <w:r>
              <w:rPr>
                <w:rFonts w:hint="eastAsia" w:ascii="仿宋" w:hAnsi="仿宋" w:eastAsia="仿宋" w:cs="仿宋"/>
                <w:bCs/>
                <w:color w:val="000000"/>
                <w:sz w:val="24"/>
                <w:szCs w:val="24"/>
                <w:highlight w:val="none"/>
              </w:rPr>
              <w:t>签订日期</w:t>
            </w:r>
          </w:p>
        </w:tc>
        <w:tc>
          <w:tcPr>
            <w:tcW w:w="2491" w:type="dxa"/>
            <w:tcBorders>
              <w:top w:val="single" w:color="000000" w:sz="4" w:space="0"/>
              <w:left w:val="single" w:color="000000" w:sz="4" w:space="0"/>
              <w:bottom w:val="single" w:color="000000" w:sz="4" w:space="0"/>
              <w:right w:val="single" w:color="000000" w:sz="4" w:space="0"/>
            </w:tcBorders>
            <w:noWrap w:val="0"/>
            <w:vAlign w:val="center"/>
          </w:tcPr>
          <w:p w14:paraId="0D31EA7F">
            <w:pPr>
              <w:keepNext w:val="0"/>
              <w:keepLines w:val="0"/>
              <w:pageBreakBefore w:val="0"/>
              <w:widowControl w:val="0"/>
              <w:kinsoku/>
              <w:wordWrap w:val="0"/>
              <w:overflowPunct/>
              <w:topLinePunct w:val="0"/>
              <w:bidi w:val="0"/>
              <w:snapToGrid/>
              <w:spacing w:line="400" w:lineRule="exact"/>
              <w:jc w:val="center"/>
              <w:textAlignment w:val="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u w:val="single"/>
                <w:lang w:val="en-US" w:eastAsia="zh-CN"/>
              </w:rPr>
              <w:t xml:space="preserve">      </w:t>
            </w:r>
            <w:r>
              <w:rPr>
                <w:rFonts w:hint="eastAsia" w:ascii="仿宋" w:hAnsi="仿宋" w:eastAsia="仿宋" w:cs="仿宋"/>
                <w:bCs/>
                <w:color w:val="000000"/>
                <w:sz w:val="24"/>
                <w:szCs w:val="24"/>
                <w:highlight w:val="none"/>
              </w:rPr>
              <w:t>年</w:t>
            </w:r>
            <w:r>
              <w:rPr>
                <w:rFonts w:hint="eastAsia" w:ascii="仿宋" w:hAnsi="仿宋" w:eastAsia="仿宋" w:cs="仿宋"/>
                <w:bCs/>
                <w:color w:val="000000"/>
                <w:sz w:val="24"/>
                <w:szCs w:val="24"/>
                <w:highlight w:val="none"/>
                <w:u w:val="single"/>
                <w:lang w:val="en-US" w:eastAsia="zh-CN"/>
              </w:rPr>
              <w:t xml:space="preserve">  </w:t>
            </w:r>
            <w:r>
              <w:rPr>
                <w:rFonts w:hint="eastAsia" w:ascii="仿宋" w:hAnsi="仿宋" w:eastAsia="仿宋" w:cs="仿宋"/>
                <w:bCs/>
                <w:color w:val="000000"/>
                <w:sz w:val="24"/>
                <w:szCs w:val="24"/>
                <w:highlight w:val="none"/>
              </w:rPr>
              <w:t>月</w:t>
            </w:r>
            <w:r>
              <w:rPr>
                <w:rFonts w:hint="eastAsia" w:ascii="仿宋" w:hAnsi="仿宋" w:eastAsia="仿宋" w:cs="仿宋"/>
                <w:bCs/>
                <w:color w:val="000000"/>
                <w:sz w:val="24"/>
                <w:szCs w:val="24"/>
                <w:highlight w:val="none"/>
                <w:u w:val="single"/>
                <w:lang w:val="en-US" w:eastAsia="zh-CN"/>
              </w:rPr>
              <w:t xml:space="preserve">  </w:t>
            </w:r>
            <w:r>
              <w:rPr>
                <w:rFonts w:hint="eastAsia" w:ascii="仿宋" w:hAnsi="仿宋" w:eastAsia="仿宋" w:cs="仿宋"/>
                <w:bCs/>
                <w:color w:val="000000"/>
                <w:sz w:val="24"/>
                <w:szCs w:val="24"/>
                <w:highlight w:val="none"/>
              </w:rPr>
              <w:t>日</w:t>
            </w:r>
          </w:p>
        </w:tc>
        <w:tc>
          <w:tcPr>
            <w:tcW w:w="1996" w:type="dxa"/>
            <w:tcBorders>
              <w:top w:val="single" w:color="000000" w:sz="4" w:space="0"/>
              <w:left w:val="single" w:color="000000" w:sz="4" w:space="0"/>
              <w:bottom w:val="single" w:color="000000" w:sz="4" w:space="0"/>
              <w:right w:val="single" w:color="000000" w:sz="4" w:space="0"/>
            </w:tcBorders>
            <w:noWrap w:val="0"/>
            <w:vAlign w:val="center"/>
          </w:tcPr>
          <w:p w14:paraId="7415273F">
            <w:pPr>
              <w:keepNext w:val="0"/>
              <w:keepLines w:val="0"/>
              <w:pageBreakBefore w:val="0"/>
              <w:widowControl w:val="0"/>
              <w:kinsoku/>
              <w:wordWrap w:val="0"/>
              <w:overflowPunct/>
              <w:topLinePunct w:val="0"/>
              <w:bidi w:val="0"/>
              <w:snapToGrid/>
              <w:spacing w:line="400" w:lineRule="exact"/>
              <w:jc w:val="center"/>
              <w:textAlignment w:val="auto"/>
              <w:rPr>
                <w:rFonts w:hint="eastAsia" w:ascii="仿宋" w:hAnsi="仿宋" w:eastAsia="仿宋" w:cs="仿宋"/>
                <w:bCs/>
                <w:color w:val="000000"/>
                <w:spacing w:val="30"/>
                <w:sz w:val="24"/>
                <w:szCs w:val="24"/>
                <w:highlight w:val="none"/>
              </w:rPr>
            </w:pPr>
            <w:r>
              <w:rPr>
                <w:rFonts w:hint="eastAsia" w:ascii="仿宋" w:hAnsi="仿宋" w:eastAsia="仿宋" w:cs="仿宋"/>
                <w:bCs/>
                <w:color w:val="000000"/>
                <w:sz w:val="24"/>
                <w:szCs w:val="24"/>
                <w:highlight w:val="none"/>
              </w:rPr>
              <w:t>签订日期</w:t>
            </w:r>
          </w:p>
        </w:tc>
        <w:tc>
          <w:tcPr>
            <w:tcW w:w="2440" w:type="dxa"/>
            <w:tcBorders>
              <w:top w:val="single" w:color="000000" w:sz="4" w:space="0"/>
              <w:left w:val="single" w:color="000000" w:sz="4" w:space="0"/>
              <w:bottom w:val="single" w:color="000000" w:sz="4" w:space="0"/>
              <w:right w:val="single" w:color="000000" w:sz="4" w:space="0"/>
            </w:tcBorders>
            <w:noWrap w:val="0"/>
            <w:vAlign w:val="center"/>
          </w:tcPr>
          <w:p w14:paraId="7D0DAC45">
            <w:pPr>
              <w:keepNext w:val="0"/>
              <w:keepLines w:val="0"/>
              <w:pageBreakBefore w:val="0"/>
              <w:widowControl w:val="0"/>
              <w:kinsoku/>
              <w:wordWrap w:val="0"/>
              <w:overflowPunct/>
              <w:topLinePunct w:val="0"/>
              <w:bidi w:val="0"/>
              <w:snapToGrid/>
              <w:spacing w:line="400" w:lineRule="exact"/>
              <w:ind w:firstLine="360" w:firstLineChars="150"/>
              <w:jc w:val="both"/>
              <w:textAlignment w:val="auto"/>
              <w:rPr>
                <w:rFonts w:hint="eastAsia" w:ascii="仿宋" w:hAnsi="仿宋" w:eastAsia="仿宋" w:cs="仿宋"/>
                <w:bCs/>
                <w:color w:val="000000"/>
                <w:sz w:val="24"/>
                <w:szCs w:val="24"/>
                <w:highlight w:val="none"/>
                <w:lang w:val="en-US" w:eastAsia="zh-CN"/>
              </w:rPr>
            </w:pPr>
            <w:r>
              <w:rPr>
                <w:rFonts w:hint="eastAsia" w:ascii="仿宋" w:hAnsi="仿宋" w:eastAsia="仿宋" w:cs="仿宋"/>
                <w:bCs/>
                <w:color w:val="000000"/>
                <w:sz w:val="24"/>
                <w:szCs w:val="24"/>
                <w:highlight w:val="none"/>
                <w:u w:val="single"/>
                <w:lang w:val="en-US" w:eastAsia="zh-CN"/>
              </w:rPr>
              <w:t xml:space="preserve">      </w:t>
            </w:r>
            <w:r>
              <w:rPr>
                <w:rFonts w:hint="eastAsia" w:ascii="仿宋" w:hAnsi="仿宋" w:eastAsia="仿宋" w:cs="仿宋"/>
                <w:bCs/>
                <w:color w:val="000000"/>
                <w:sz w:val="24"/>
                <w:szCs w:val="24"/>
                <w:highlight w:val="none"/>
              </w:rPr>
              <w:t>年</w:t>
            </w:r>
            <w:r>
              <w:rPr>
                <w:rFonts w:hint="eastAsia" w:ascii="仿宋" w:hAnsi="仿宋" w:eastAsia="仿宋" w:cs="仿宋"/>
                <w:bCs/>
                <w:color w:val="000000"/>
                <w:sz w:val="24"/>
                <w:szCs w:val="24"/>
                <w:highlight w:val="none"/>
                <w:u w:val="single"/>
                <w:lang w:val="en-US" w:eastAsia="zh-CN"/>
              </w:rPr>
              <w:t xml:space="preserve">  </w:t>
            </w:r>
            <w:r>
              <w:rPr>
                <w:rFonts w:hint="eastAsia" w:ascii="仿宋" w:hAnsi="仿宋" w:eastAsia="仿宋" w:cs="仿宋"/>
                <w:bCs/>
                <w:color w:val="000000"/>
                <w:sz w:val="24"/>
                <w:szCs w:val="24"/>
                <w:highlight w:val="none"/>
              </w:rPr>
              <w:t>月</w:t>
            </w:r>
            <w:r>
              <w:rPr>
                <w:rFonts w:hint="eastAsia" w:ascii="仿宋" w:hAnsi="仿宋" w:eastAsia="仿宋" w:cs="仿宋"/>
                <w:bCs/>
                <w:color w:val="000000"/>
                <w:sz w:val="24"/>
                <w:szCs w:val="24"/>
                <w:highlight w:val="none"/>
                <w:u w:val="single"/>
                <w:lang w:val="en-US" w:eastAsia="zh-CN"/>
              </w:rPr>
              <w:t xml:space="preserve">  </w:t>
            </w:r>
            <w:r>
              <w:rPr>
                <w:rFonts w:hint="eastAsia" w:ascii="仿宋" w:hAnsi="仿宋" w:eastAsia="仿宋" w:cs="仿宋"/>
                <w:bCs/>
                <w:color w:val="000000"/>
                <w:sz w:val="24"/>
                <w:szCs w:val="24"/>
                <w:highlight w:val="none"/>
              </w:rPr>
              <w:t>日</w:t>
            </w:r>
          </w:p>
        </w:tc>
      </w:tr>
    </w:tbl>
    <w:p w14:paraId="7D25AD1B">
      <w:pPr>
        <w:pStyle w:val="5"/>
        <w:rPr>
          <w:rFonts w:hint="eastAsia"/>
          <w:lang w:val="en-US" w:eastAsia="zh-Hans"/>
        </w:rPr>
      </w:pPr>
    </w:p>
    <w:p w14:paraId="07AD11D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AE7D0C"/>
    <w:multiLevelType w:val="singleLevel"/>
    <w:tmpl w:val="BAAE7D0C"/>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28E"/>
    <w:rsid w:val="00AD52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2025-12-26T10:42:00Z</dcterms:created>
  <dc:creator>招标四部</dc:creator>
  <cp:lastModifiedBy>招标四部</cp:lastModifiedBy>
  <dcterms:modified xsi:type="dcterms:W3CDTF">2025-12-26T10:43:32Z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8540520834484B55A3760B878A062DE3_11</vt:lpwstr>
  </property>
  <property fmtid="{D5CDD505-2E9C-101B-9397-08002B2CF9AE}" pid="4" name="KSOTemplateDocerSaveRecord">
    <vt:lpwstr>eyJoZGlkIjoiMWRmYmRjMDgxNTA5NmRmMzllMzUxMTYyNmRmNzI4MDkiLCJ1c2VySWQiOiIyNDEwNjE3OTEifQ==</vt:lpwstr>
  </property>
</Properties>
</file>