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版本号：SCZD2025-ZB-3464-00120251231003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2025年度应急救灾物资采购（第三阶段）</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SCZD2025-ZB-3464-001</w:t>
      </w:r>
      <w:r>
        <w:br/>
      </w:r>
      <w:r>
        <w:br/>
      </w:r>
      <w:r>
        <w:br/>
      </w:r>
    </w:p>
    <w:p>
      <w:pPr>
        <w:pStyle w:val="null3"/>
        <w:jc w:val="center"/>
        <w:outlineLvl w:val="2"/>
      </w:pPr>
      <w:r>
        <w:rPr>
          <w:rFonts w:ascii="仿宋_GB2312" w:hAnsi="仿宋_GB2312" w:cs="仿宋_GB2312" w:eastAsia="仿宋_GB2312"/>
          <w:sz w:val="28"/>
          <w:b/>
        </w:rPr>
        <w:t>陕西省救灾物资储备中心</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陕西省救灾物资储备中心</w:t>
      </w:r>
      <w:r>
        <w:rPr>
          <w:rFonts w:ascii="仿宋_GB2312" w:hAnsi="仿宋_GB2312" w:cs="仿宋_GB2312" w:eastAsia="仿宋_GB2312"/>
        </w:rPr>
        <w:t>委托，拟对</w:t>
      </w:r>
      <w:r>
        <w:rPr>
          <w:rFonts w:ascii="仿宋_GB2312" w:hAnsi="仿宋_GB2312" w:cs="仿宋_GB2312" w:eastAsia="仿宋_GB2312"/>
        </w:rPr>
        <w:t>2025年度应急救灾物资采购（第三阶段）</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SCZD2025-ZB-3464-001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2025年度应急救灾物资采购（第三阶段）</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本次采购木板折叠床、夏凉被、炊事取暖炉、电暖气各一批。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采购包1（木板折叠床）：属于专门面向中小企业采购。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采购包2（夏凉被）：属于专门面向中小企业采购。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采购包3（炊事取暖炉）：属于专门面向中小企业采购。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pPr>
      <w:r>
        <w:rPr>
          <w:rFonts w:ascii="仿宋_GB2312" w:hAnsi="仿宋_GB2312" w:cs="仿宋_GB2312" w:eastAsia="仿宋_GB2312"/>
        </w:rPr>
        <w:t>采购包4（电暖气）：属于专门面向中小企业采购。</w:t>
      </w:r>
    </w:p>
    <w:p>
      <w:pPr>
        <w:pStyle w:val="null3"/>
      </w:pPr>
      <w:r>
        <w:rPr>
          <w:rFonts w:ascii="仿宋_GB2312" w:hAnsi="仿宋_GB2312" w:cs="仿宋_GB2312" w:eastAsia="仿宋_GB2312"/>
        </w:rPr>
        <w:t>供应商合同分包的，分包意向协议中分包意向供应商应当为中小企业。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1、法定代表人/单位负责人身份证明书、授权委托书及授权代表在本单位缴纳养老保险证明：投标人参加本项目的合法授权人授权委托书；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p>
      <w:pPr>
        <w:pStyle w:val="null3"/>
      </w:pPr>
      <w:r>
        <w:rPr>
          <w:rFonts w:ascii="仿宋_GB2312" w:hAnsi="仿宋_GB2312" w:cs="仿宋_GB2312" w:eastAsia="仿宋_GB2312"/>
        </w:rPr>
        <w:t>3、投标人不得存在下列情形之一：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4、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陕西省救灾物资储备中心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西安市未央区未央路副102号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陕西省救灾物资储备中心经办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029-86320705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魏博芸、雷鹏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采购包2：970,000.00元</w:t>
            </w:r>
          </w:p>
          <w:p>
            <w:pPr>
              <w:pStyle w:val="null3"/>
            </w:pPr>
            <w:r>
              <w:rPr>
                <w:rFonts w:ascii="仿宋_GB2312" w:hAnsi="仿宋_GB2312" w:cs="仿宋_GB2312" w:eastAsia="仿宋_GB2312"/>
              </w:rPr>
              <w:t>采购包3：500,000.00元</w:t>
            </w:r>
          </w:p>
          <w:p>
            <w:pPr>
              <w:pStyle w:val="null3"/>
            </w:pPr>
            <w:r>
              <w:rPr>
                <w:rFonts w:ascii="仿宋_GB2312" w:hAnsi="仿宋_GB2312" w:cs="仿宋_GB2312" w:eastAsia="仿宋_GB2312"/>
              </w:rPr>
              <w:t>采购包4：500,000.00元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涉及产品</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采购包4保证金金额：8,000.00元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银行账号：103261567493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代理服务费收费标准：按照国家计委颁布的《招标代理服务收费管理暂行办法》（计价格[2002]1980号）规定的招标代理服务收费标准收取。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陕西省救灾物资储备中心</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陕西省救灾物资储备中心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陕西省救灾物资储备中心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采购包1：分包比例100%；资质要求详见第4章</w:t>
      </w:r>
    </w:p>
    <w:p>
      <w:pPr>
        <w:pStyle w:val="null3"/>
      </w:pPr>
      <w:r>
        <w:rPr>
          <w:rFonts w:ascii="仿宋_GB2312" w:hAnsi="仿宋_GB2312" w:cs="仿宋_GB2312" w:eastAsia="仿宋_GB2312"/>
        </w:rPr>
        <w:t>采购包2：分包比例100%；资质要求详见第4章</w:t>
      </w:r>
    </w:p>
    <w:p>
      <w:pPr>
        <w:pStyle w:val="null3"/>
      </w:pPr>
      <w:r>
        <w:rPr>
          <w:rFonts w:ascii="仿宋_GB2312" w:hAnsi="仿宋_GB2312" w:cs="仿宋_GB2312" w:eastAsia="仿宋_GB2312"/>
        </w:rPr>
        <w:t>采购包3：分包比例100%；资质要求详见第4章</w:t>
      </w:r>
    </w:p>
    <w:p>
      <w:pPr>
        <w:pStyle w:val="null3"/>
      </w:pPr>
      <w:r>
        <w:rPr>
          <w:rFonts w:ascii="仿宋_GB2312" w:hAnsi="仿宋_GB2312" w:cs="仿宋_GB2312" w:eastAsia="仿宋_GB2312"/>
        </w:rPr>
        <w:t>采购包4：分包比例100%；资质要求详见第4章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地址：西安市锦业路1号都市之门C座九楼综合办公室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本次采购木板折叠床、电暖气、炊事取暖炉、夏凉被各一批。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木板折叠床</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970,000.00</w:t>
      </w:r>
    </w:p>
    <w:p>
      <w:pPr>
        <w:pStyle w:val="null3"/>
      </w:pPr>
      <w:r>
        <w:rPr>
          <w:rFonts w:ascii="仿宋_GB2312" w:hAnsi="仿宋_GB2312" w:cs="仿宋_GB2312" w:eastAsia="仿宋_GB2312"/>
        </w:rPr>
        <w:t>采购包最高限价（元）: 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夏凉被</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炊事取暖炉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电暖气</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标的名称：木板折叠床</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详见附件采购需求最终变更版</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标的名称：夏凉被</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详见附件采购需求最终变更版</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标的名称：炊事取暖炉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详见附件采购需求最终变更版</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标的名称：电暖气</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详见附件采购需求最终变更版</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合同签订之日起，接甲方通知后30日内完成交付、安装及调试。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合同签订之日起，接甲方通知后30日内完成交付、安装及调试。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合同签订后10个自然日内向甲方提交预付款保函，甲方接到预付款保函后30个工作日内支付合同总价的50%作为预付款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采购物资全部到货验收合格后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详见合同文本</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验收抽检检测不合格，第二次抽检数量为10个单位。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任意一种即可），时间以税款所属时期为准（银行出具的缴税凭证或税务机关出具的证明的复印件，并加盖本单位公章）。（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资格证明文件.docx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投标人应提交的相关资格证明材料 产品技术参数表 分项报价表.docx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开标一览表 分项报价表.docx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保证金缴纳凭证.docx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资格证明文件.docx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资格证明文件.docx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开标一览表 业绩.docx 中小企业声明函 商务应答表 节能产品、环境标志产品明细表.docx 满足详细评审办法的内容.docx 资格证明文件.docx 投标人应提交的相关资格证明材料 产品技术参数表 分项报价表.docx 投标函 残疾人福利性单位声明函 标的清单 保证金缴纳凭证.docx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投标人投标报价没有超出采购预算或单价最高限价</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投标保证金已按招标文件规定提交且金额、形式符合招标文件要求</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投标内容满足招标文件的商务要求、不存在漏项或数量不符合招标文件规定情形</w:t>
            </w:r>
          </w:p>
        </w:tc>
        <w:tc>
          <w:tcPr>
            <w:tcW w:type="dxa" w:w="1661"/>
          </w:tcPr>
          <w:p>
            <w:pPr>
              <w:pStyle w:val="null3"/>
            </w:pPr>
            <w:r>
              <w:rPr>
                <w:rFonts w:ascii="仿宋_GB2312" w:hAnsi="仿宋_GB2312" w:cs="仿宋_GB2312" w:eastAsia="仿宋_GB2312"/>
              </w:rPr>
              <w:t>投标文件封面 满足详细评审办法的内容.docx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遵循公平竞争的原则，没有弄虚作假、恶意串通或妨碍其他投标人的竞争行为，损害采购人或者其他投标人的合法权益</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不存在其它不符合法律法规或招标文件规定的投标无效条款的情形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投标产品的技术指标评审：完全响应或优于得19分。“▲”技术指标参数一项负偏离扣2分，其他技术指标参数一项负偏离扣1分，扣完为止。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质检报告（省级及以上检测机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合格证书和主要材料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投标人所投产品属于节能产品、环境标志产品优先采购范围（除政府强制采购的节能产品外）： 1、所投产品属于节能产品得0.5分； 评审依据：所投产品具有国家确定的认证机构出具的、处于有效期之内的节能产品认证证书（提供证书扫描件）。 2、所投产品属于环境标志产品得0.5分； 评审依据：所投产品具有国家确定的认证机构出具的、处于有效期之内的环境标志产品认证证书（提供证书扫描件）。 注：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投标产品的技术指标评审：完全响应或优于得19分。技术指标参数一项负偏离扣1分，扣完为止。 评审依据：按照技术参数中要求提供检测报告的，在技术偏离表“说明”栏中标明证明材料的页码；未提供检测报告的视为负偏离。</w:t>
            </w:r>
          </w:p>
        </w:tc>
        <w:tc>
          <w:tcPr>
            <w:tcW w:type="dxa" w:w="831"/>
          </w:tcPr>
          <w:p>
            <w:pPr>
              <w:pStyle w:val="null3"/>
              <w:jc w:val="right"/>
            </w:pPr>
            <w:r>
              <w:rPr>
                <w:rFonts w:ascii="仿宋_GB2312" w:hAnsi="仿宋_GB2312" w:cs="仿宋_GB2312" w:eastAsia="仿宋_GB2312"/>
              </w:rPr>
              <w:t>19.0000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生产计划及人员配备方案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售后服务计划及方案</w:t>
            </w:r>
          </w:p>
        </w:tc>
        <w:tc>
          <w:tcPr>
            <w:tcW w:type="dxa" w:w="2492"/>
          </w:tcPr>
          <w:p>
            <w:pPr>
              <w:pStyle w:val="null3"/>
            </w:pPr>
            <w:r>
              <w:rPr>
                <w:rFonts w:ascii="仿宋_GB2312" w:hAnsi="仿宋_GB2312" w:cs="仿宋_GB2312" w:eastAsia="仿宋_GB2312"/>
              </w:rPr>
              <w:t>内容完整、可实施、且有针对性得5分；内容完整、可实施得3分；方案基本完整得1分；未提供不得分。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验收及保障措施方案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产品来源渠道及材质选取方案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质量控制及保证符合国内相关标准方案</w:t>
            </w:r>
          </w:p>
        </w:tc>
        <w:tc>
          <w:tcPr>
            <w:tcW w:type="dxa" w:w="2492"/>
          </w:tcPr>
          <w:p>
            <w:pPr>
              <w:pStyle w:val="null3"/>
            </w:pPr>
            <w:r>
              <w:rPr>
                <w:rFonts w:ascii="仿宋_GB2312" w:hAnsi="仿宋_GB2312" w:cs="仿宋_GB2312" w:eastAsia="仿宋_GB2312"/>
              </w:rPr>
              <w:t>内容完整、可实施、且有针对性得4分；内容完整、可实施得3分；方案基本完整得1分；未提供不得分。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根据投标人提供的样品情况进行综合评审（未提供样品或提供样品不全的不得分）； 从样品的合格证书和主要材料的质检报告）、材质、制作工艺、面料、款式、舒适度六个方面进行评分，未提供产品质检报告的扣5分；其余每个方面根据提供样品的符合程度赋分：完全满足或优于采购需求的得3分；基本满足或少部分偏离的得2分；不满足或大部分偏离的得1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产品业绩</w:t>
            </w:r>
          </w:p>
        </w:tc>
        <w:tc>
          <w:tcPr>
            <w:tcW w:type="dxa" w:w="2492"/>
          </w:tcPr>
          <w:p>
            <w:pPr>
              <w:pStyle w:val="null3"/>
            </w:pPr>
            <w:r>
              <w:rPr>
                <w:rFonts w:ascii="仿宋_GB2312" w:hAnsi="仿宋_GB2312" w:cs="仿宋_GB2312" w:eastAsia="仿宋_GB2312"/>
              </w:rPr>
              <w:t>提供2022年1月1日至今所投产品同一制造商的项目业绩（以投标文件中附有投标人及制造商加盖公章的合同复印件为准)，每提供一份业绩得1分，满分3分。 评审依据：以加盖公章的业绩合同复印件为准，合同至少需包含合同首页、产品页、签章页。</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满足招标文件要求且投标价格最低的投标报价为评标基准价，其价格分为30分。其他投标人的价格分统一按照下列公式计算： 投标报价得分=（评标基准价/投标报价）×30 本项目为专门面向中小企业的项目，不进行价格折扣。</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详见附件：节能产品、环境标志产品明细表.docx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