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02BC98">
      <w:pPr>
        <w:pStyle w:val="7"/>
        <w:shd w:val="clear"/>
        <w:jc w:val="center"/>
        <w:outlineLvl w:val="1"/>
        <w:rPr>
          <w:color w:val="auto"/>
          <w:highlight w:val="none"/>
        </w:rPr>
      </w:pPr>
      <w:r>
        <w:rPr>
          <w:rFonts w:ascii="仿宋_GB2312" w:hAnsi="仿宋_GB2312" w:eastAsia="仿宋_GB2312" w:cs="仿宋_GB2312"/>
          <w:b/>
          <w:color w:val="auto"/>
          <w:sz w:val="36"/>
          <w:highlight w:val="none"/>
        </w:rPr>
        <w:t>拟签订合同文本</w:t>
      </w:r>
      <w:bookmarkStart w:id="0" w:name="_GoBack"/>
      <w:bookmarkEnd w:id="0"/>
    </w:p>
    <w:p w14:paraId="69531E63">
      <w:pPr>
        <w:shd w:val="clear"/>
        <w:ind w:firstLine="480" w:firstLineChars="200"/>
        <w:rPr>
          <w:rFonts w:hint="eastAsia" w:ascii="仿宋" w:hAnsi="仿宋" w:eastAsia="仿宋"/>
          <w:color w:val="auto"/>
          <w:sz w:val="24"/>
          <w:highlight w:val="none"/>
        </w:rPr>
      </w:pPr>
    </w:p>
    <w:p w14:paraId="7DEECF7A">
      <w:pPr>
        <w:shd w:val="clear"/>
        <w:ind w:firstLine="480" w:firstLineChars="200"/>
        <w:rPr>
          <w:rFonts w:ascii="仿宋" w:hAnsi="仿宋" w:eastAsia="仿宋"/>
          <w:color w:val="auto"/>
          <w:sz w:val="24"/>
          <w:highlight w:val="none"/>
        </w:rPr>
      </w:pPr>
      <w:r>
        <w:rPr>
          <w:rFonts w:hint="eastAsia" w:ascii="仿宋" w:hAnsi="仿宋" w:eastAsia="仿宋"/>
          <w:color w:val="auto"/>
          <w:sz w:val="24"/>
          <w:highlight w:val="none"/>
        </w:rPr>
        <w:t xml:space="preserve">甲方（采购人）： </w:t>
      </w:r>
    </w:p>
    <w:p w14:paraId="2908DA64">
      <w:pPr>
        <w:shd w:val="clear"/>
        <w:spacing w:line="460" w:lineRule="exact"/>
        <w:rPr>
          <w:rFonts w:ascii="仿宋" w:hAnsi="仿宋" w:eastAsia="仿宋"/>
          <w:color w:val="auto"/>
          <w:sz w:val="24"/>
          <w:highlight w:val="none"/>
        </w:rPr>
      </w:pPr>
    </w:p>
    <w:p w14:paraId="71A3DBD0">
      <w:pPr>
        <w:shd w:val="clear"/>
        <w:spacing w:line="460" w:lineRule="exact"/>
        <w:ind w:firstLine="480" w:firstLineChars="200"/>
        <w:rPr>
          <w:rFonts w:ascii="仿宋" w:hAnsi="仿宋" w:eastAsia="仿宋"/>
          <w:color w:val="auto"/>
          <w:sz w:val="24"/>
          <w:highlight w:val="none"/>
        </w:rPr>
      </w:pPr>
      <w:r>
        <w:rPr>
          <w:rFonts w:hint="eastAsia" w:ascii="仿宋" w:hAnsi="仿宋" w:eastAsia="仿宋"/>
          <w:color w:val="auto"/>
          <w:sz w:val="24"/>
          <w:highlight w:val="none"/>
        </w:rPr>
        <w:t>乙方（中标供应商）：</w:t>
      </w:r>
      <w:r>
        <w:rPr>
          <w:rFonts w:ascii="仿宋" w:hAnsi="仿宋" w:eastAsia="仿宋"/>
          <w:color w:val="auto"/>
          <w:sz w:val="24"/>
          <w:highlight w:val="none"/>
        </w:rPr>
        <w:t xml:space="preserve"> </w:t>
      </w:r>
    </w:p>
    <w:p w14:paraId="795013BC">
      <w:pPr>
        <w:shd w:val="clear"/>
        <w:spacing w:line="460" w:lineRule="exact"/>
        <w:rPr>
          <w:rFonts w:ascii="仿宋" w:hAnsi="仿宋" w:eastAsia="仿宋"/>
          <w:color w:val="auto"/>
          <w:sz w:val="24"/>
          <w:highlight w:val="none"/>
        </w:rPr>
      </w:pPr>
    </w:p>
    <w:p w14:paraId="799378C8">
      <w:pPr>
        <w:pageBreakBefore w:val="0"/>
        <w:shd w:val="clear"/>
        <w:tabs>
          <w:tab w:val="left" w:pos="480"/>
        </w:tabs>
        <w:kinsoku/>
        <w:overflowPunct/>
        <w:topLinePunct w:val="0"/>
        <w:bidi w:val="0"/>
        <w:spacing w:line="400" w:lineRule="exact"/>
        <w:rPr>
          <w:rFonts w:hint="eastAsia" w:ascii="仿宋" w:hAnsi="仿宋" w:eastAsia="仿宋" w:cs="仿宋"/>
          <w:b/>
          <w:color w:val="auto"/>
          <w:sz w:val="24"/>
          <w:highlight w:val="none"/>
        </w:rPr>
      </w:pPr>
      <w:r>
        <w:rPr>
          <w:rFonts w:hint="eastAsia" w:ascii="仿宋" w:hAnsi="仿宋" w:eastAsia="仿宋" w:cs="仿宋"/>
          <w:b/>
          <w:color w:val="auto"/>
          <w:sz w:val="24"/>
          <w:highlight w:val="none"/>
        </w:rPr>
        <w:t>一、合同标的物内容及数量</w:t>
      </w:r>
      <w:r>
        <w:rPr>
          <w:rFonts w:hint="eastAsia" w:ascii="仿宋" w:hAnsi="仿宋" w:eastAsia="仿宋" w:cs="仿宋"/>
          <w:color w:val="auto"/>
          <w:sz w:val="24"/>
          <w:highlight w:val="none"/>
        </w:rPr>
        <w:t>（以投标文件正本和澄清表〈函〉为准）</w:t>
      </w:r>
    </w:p>
    <w:tbl>
      <w:tblPr>
        <w:tblStyle w:val="5"/>
        <w:tblW w:w="97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135"/>
        <w:gridCol w:w="1342"/>
        <w:gridCol w:w="1986"/>
        <w:gridCol w:w="1986"/>
        <w:gridCol w:w="1489"/>
      </w:tblGrid>
      <w:tr w14:paraId="32E3C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817" w:type="dxa"/>
            <w:tcBorders>
              <w:top w:val="single" w:color="auto" w:sz="4" w:space="0"/>
              <w:left w:val="single" w:color="auto" w:sz="4" w:space="0"/>
              <w:bottom w:val="single" w:color="auto" w:sz="4" w:space="0"/>
              <w:right w:val="single" w:color="auto" w:sz="4" w:space="0"/>
            </w:tcBorders>
            <w:noWrap w:val="0"/>
            <w:vAlign w:val="center"/>
          </w:tcPr>
          <w:p w14:paraId="711D7548">
            <w:pPr>
              <w:pageBreakBefore w:val="0"/>
              <w:shd w:val="clear"/>
              <w:tabs>
                <w:tab w:val="left" w:pos="480"/>
              </w:tabs>
              <w:kinsoku/>
              <w:overflowPunct/>
              <w:topLinePunct w:val="0"/>
              <w:bidi w:val="0"/>
              <w:spacing w:line="40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序号</w:t>
            </w:r>
          </w:p>
        </w:tc>
        <w:tc>
          <w:tcPr>
            <w:tcW w:w="2135" w:type="dxa"/>
            <w:tcBorders>
              <w:top w:val="single" w:color="auto" w:sz="4" w:space="0"/>
              <w:left w:val="single" w:color="auto" w:sz="4" w:space="0"/>
              <w:bottom w:val="single" w:color="auto" w:sz="4" w:space="0"/>
              <w:right w:val="single" w:color="auto" w:sz="4" w:space="0"/>
            </w:tcBorders>
            <w:noWrap w:val="0"/>
            <w:vAlign w:val="center"/>
          </w:tcPr>
          <w:p w14:paraId="0A93AD2F">
            <w:pPr>
              <w:pageBreakBefore w:val="0"/>
              <w:shd w:val="clear"/>
              <w:tabs>
                <w:tab w:val="left" w:pos="480"/>
              </w:tabs>
              <w:kinsoku/>
              <w:overflowPunct/>
              <w:topLinePunct w:val="0"/>
              <w:bidi w:val="0"/>
              <w:spacing w:line="40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产品名称</w:t>
            </w:r>
          </w:p>
        </w:tc>
        <w:tc>
          <w:tcPr>
            <w:tcW w:w="1342" w:type="dxa"/>
            <w:tcBorders>
              <w:top w:val="single" w:color="auto" w:sz="4" w:space="0"/>
              <w:left w:val="single" w:color="auto" w:sz="4" w:space="0"/>
              <w:bottom w:val="single" w:color="auto" w:sz="4" w:space="0"/>
              <w:right w:val="single" w:color="auto" w:sz="4" w:space="0"/>
            </w:tcBorders>
            <w:noWrap w:val="0"/>
            <w:vAlign w:val="center"/>
          </w:tcPr>
          <w:p w14:paraId="79CBBAC6">
            <w:pPr>
              <w:pageBreakBefore w:val="0"/>
              <w:shd w:val="clear"/>
              <w:tabs>
                <w:tab w:val="left" w:pos="480"/>
              </w:tabs>
              <w:kinsoku/>
              <w:overflowPunct/>
              <w:topLinePunct w:val="0"/>
              <w:bidi w:val="0"/>
              <w:spacing w:line="40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生产厂家</w:t>
            </w:r>
          </w:p>
        </w:tc>
        <w:tc>
          <w:tcPr>
            <w:tcW w:w="1986" w:type="dxa"/>
            <w:tcBorders>
              <w:top w:val="single" w:color="auto" w:sz="4" w:space="0"/>
              <w:left w:val="single" w:color="auto" w:sz="4" w:space="0"/>
              <w:bottom w:val="single" w:color="auto" w:sz="4" w:space="0"/>
              <w:right w:val="single" w:color="auto" w:sz="4" w:space="0"/>
            </w:tcBorders>
            <w:noWrap w:val="0"/>
            <w:vAlign w:val="center"/>
          </w:tcPr>
          <w:p w14:paraId="2C7708E0">
            <w:pPr>
              <w:pageBreakBefore w:val="0"/>
              <w:shd w:val="clear"/>
              <w:tabs>
                <w:tab w:val="left" w:pos="480"/>
              </w:tabs>
              <w:kinsoku/>
              <w:overflowPunct/>
              <w:topLinePunct w:val="0"/>
              <w:bidi w:val="0"/>
              <w:spacing w:line="40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尺寸规格</w:t>
            </w:r>
          </w:p>
        </w:tc>
        <w:tc>
          <w:tcPr>
            <w:tcW w:w="1986" w:type="dxa"/>
            <w:tcBorders>
              <w:top w:val="single" w:color="auto" w:sz="4" w:space="0"/>
              <w:left w:val="single" w:color="auto" w:sz="4" w:space="0"/>
              <w:bottom w:val="single" w:color="auto" w:sz="4" w:space="0"/>
              <w:right w:val="single" w:color="auto" w:sz="4" w:space="0"/>
            </w:tcBorders>
            <w:noWrap w:val="0"/>
            <w:vAlign w:val="center"/>
          </w:tcPr>
          <w:p w14:paraId="5D2CE9EB">
            <w:pPr>
              <w:pageBreakBefore w:val="0"/>
              <w:shd w:val="clear"/>
              <w:tabs>
                <w:tab w:val="left" w:pos="480"/>
              </w:tabs>
              <w:kinsoku/>
              <w:overflowPunct/>
              <w:topLinePunct w:val="0"/>
              <w:bidi w:val="0"/>
              <w:spacing w:line="40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单价</w:t>
            </w:r>
          </w:p>
          <w:p w14:paraId="6DAD7C0F">
            <w:pPr>
              <w:pageBreakBefore w:val="0"/>
              <w:shd w:val="clear"/>
              <w:tabs>
                <w:tab w:val="left" w:pos="480"/>
              </w:tabs>
              <w:kinsoku/>
              <w:overflowPunct/>
              <w:topLinePunct w:val="0"/>
              <w:bidi w:val="0"/>
              <w:spacing w:line="40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（元）</w:t>
            </w:r>
          </w:p>
        </w:tc>
        <w:tc>
          <w:tcPr>
            <w:tcW w:w="1489" w:type="dxa"/>
            <w:tcBorders>
              <w:top w:val="single" w:color="auto" w:sz="4" w:space="0"/>
              <w:left w:val="single" w:color="auto" w:sz="4" w:space="0"/>
              <w:bottom w:val="single" w:color="auto" w:sz="4" w:space="0"/>
              <w:right w:val="single" w:color="auto" w:sz="4" w:space="0"/>
            </w:tcBorders>
            <w:noWrap w:val="0"/>
            <w:vAlign w:val="center"/>
          </w:tcPr>
          <w:p w14:paraId="1CD888B8">
            <w:pPr>
              <w:pageBreakBefore w:val="0"/>
              <w:shd w:val="clear"/>
              <w:tabs>
                <w:tab w:val="left" w:pos="480"/>
              </w:tabs>
              <w:kinsoku/>
              <w:overflowPunct/>
              <w:topLinePunct w:val="0"/>
              <w:bidi w:val="0"/>
              <w:spacing w:line="40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备注</w:t>
            </w:r>
          </w:p>
        </w:tc>
      </w:tr>
      <w:tr w14:paraId="1FB261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817" w:type="dxa"/>
            <w:tcBorders>
              <w:top w:val="single" w:color="auto" w:sz="4" w:space="0"/>
              <w:left w:val="single" w:color="auto" w:sz="4" w:space="0"/>
              <w:bottom w:val="single" w:color="auto" w:sz="4" w:space="0"/>
              <w:right w:val="single" w:color="auto" w:sz="4" w:space="0"/>
            </w:tcBorders>
            <w:noWrap w:val="0"/>
            <w:vAlign w:val="center"/>
          </w:tcPr>
          <w:p w14:paraId="6CB2E7B9">
            <w:pPr>
              <w:pageBreakBefore w:val="0"/>
              <w:shd w:val="clear"/>
              <w:tabs>
                <w:tab w:val="left" w:pos="480"/>
              </w:tabs>
              <w:kinsoku/>
              <w:overflowPunct/>
              <w:topLinePunct w:val="0"/>
              <w:bidi w:val="0"/>
              <w:spacing w:line="40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1</w:t>
            </w:r>
          </w:p>
        </w:tc>
        <w:tc>
          <w:tcPr>
            <w:tcW w:w="2135" w:type="dxa"/>
            <w:tcBorders>
              <w:top w:val="single" w:color="auto" w:sz="4" w:space="0"/>
              <w:left w:val="single" w:color="auto" w:sz="4" w:space="0"/>
              <w:bottom w:val="single" w:color="auto" w:sz="4" w:space="0"/>
              <w:right w:val="single" w:color="auto" w:sz="4" w:space="0"/>
            </w:tcBorders>
            <w:noWrap w:val="0"/>
            <w:vAlign w:val="center"/>
          </w:tcPr>
          <w:p w14:paraId="3E2BD303">
            <w:pPr>
              <w:pageBreakBefore w:val="0"/>
              <w:shd w:val="clear"/>
              <w:tabs>
                <w:tab w:val="left" w:pos="480"/>
              </w:tabs>
              <w:kinsoku/>
              <w:overflowPunct/>
              <w:topLinePunct w:val="0"/>
              <w:bidi w:val="0"/>
              <w:spacing w:line="40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xxxx</w:t>
            </w:r>
          </w:p>
        </w:tc>
        <w:tc>
          <w:tcPr>
            <w:tcW w:w="1342" w:type="dxa"/>
            <w:tcBorders>
              <w:top w:val="single" w:color="auto" w:sz="4" w:space="0"/>
              <w:left w:val="single" w:color="auto" w:sz="4" w:space="0"/>
              <w:bottom w:val="single" w:color="auto" w:sz="4" w:space="0"/>
              <w:right w:val="single" w:color="auto" w:sz="4" w:space="0"/>
            </w:tcBorders>
            <w:noWrap w:val="0"/>
            <w:vAlign w:val="top"/>
          </w:tcPr>
          <w:p w14:paraId="07A0CDBA">
            <w:pPr>
              <w:pageBreakBefore w:val="0"/>
              <w:shd w:val="clear"/>
              <w:tabs>
                <w:tab w:val="left" w:pos="480"/>
              </w:tabs>
              <w:kinsoku/>
              <w:overflowPunct/>
              <w:topLinePunct w:val="0"/>
              <w:bidi w:val="0"/>
              <w:spacing w:line="400" w:lineRule="exact"/>
              <w:jc w:val="center"/>
              <w:rPr>
                <w:rFonts w:hint="eastAsia" w:ascii="仿宋" w:hAnsi="仿宋" w:eastAsia="仿宋" w:cs="仿宋"/>
                <w:color w:val="auto"/>
                <w:sz w:val="24"/>
                <w:highlight w:val="none"/>
              </w:rPr>
            </w:pPr>
          </w:p>
        </w:tc>
        <w:tc>
          <w:tcPr>
            <w:tcW w:w="1986" w:type="dxa"/>
            <w:tcBorders>
              <w:top w:val="single" w:color="auto" w:sz="4" w:space="0"/>
              <w:left w:val="single" w:color="auto" w:sz="4" w:space="0"/>
              <w:bottom w:val="single" w:color="auto" w:sz="4" w:space="0"/>
              <w:right w:val="single" w:color="auto" w:sz="4" w:space="0"/>
            </w:tcBorders>
            <w:noWrap w:val="0"/>
            <w:vAlign w:val="center"/>
          </w:tcPr>
          <w:p w14:paraId="6DD60693">
            <w:pPr>
              <w:pageBreakBefore w:val="0"/>
              <w:shd w:val="clear"/>
              <w:tabs>
                <w:tab w:val="left" w:pos="480"/>
              </w:tabs>
              <w:kinsoku/>
              <w:overflowPunct/>
              <w:topLinePunct w:val="0"/>
              <w:bidi w:val="0"/>
              <w:spacing w:line="40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xxxx</w:t>
            </w:r>
          </w:p>
        </w:tc>
        <w:tc>
          <w:tcPr>
            <w:tcW w:w="1986" w:type="dxa"/>
            <w:tcBorders>
              <w:top w:val="single" w:color="auto" w:sz="4" w:space="0"/>
              <w:left w:val="single" w:color="auto" w:sz="4" w:space="0"/>
              <w:bottom w:val="single" w:color="auto" w:sz="4" w:space="0"/>
              <w:right w:val="single" w:color="auto" w:sz="4" w:space="0"/>
            </w:tcBorders>
            <w:noWrap w:val="0"/>
            <w:vAlign w:val="center"/>
          </w:tcPr>
          <w:p w14:paraId="2A66CB13">
            <w:pPr>
              <w:pageBreakBefore w:val="0"/>
              <w:shd w:val="clear"/>
              <w:tabs>
                <w:tab w:val="left" w:pos="480"/>
              </w:tabs>
              <w:kinsoku/>
              <w:overflowPunct/>
              <w:topLinePunct w:val="0"/>
              <w:bidi w:val="0"/>
              <w:spacing w:line="40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xxxx</w:t>
            </w:r>
          </w:p>
        </w:tc>
        <w:tc>
          <w:tcPr>
            <w:tcW w:w="1489" w:type="dxa"/>
            <w:tcBorders>
              <w:top w:val="single" w:color="auto" w:sz="4" w:space="0"/>
              <w:left w:val="single" w:color="auto" w:sz="4" w:space="0"/>
              <w:right w:val="single" w:color="auto" w:sz="4" w:space="0"/>
            </w:tcBorders>
            <w:noWrap w:val="0"/>
            <w:vAlign w:val="center"/>
          </w:tcPr>
          <w:p w14:paraId="1B3A333A">
            <w:pPr>
              <w:pageBreakBefore w:val="0"/>
              <w:shd w:val="clear"/>
              <w:tabs>
                <w:tab w:val="left" w:pos="480"/>
              </w:tabs>
              <w:kinsoku/>
              <w:overflowPunct/>
              <w:topLinePunct w:val="0"/>
              <w:bidi w:val="0"/>
              <w:spacing w:line="400" w:lineRule="exact"/>
              <w:jc w:val="center"/>
              <w:rPr>
                <w:rFonts w:hint="eastAsia" w:ascii="仿宋" w:hAnsi="仿宋" w:eastAsia="仿宋" w:cs="仿宋"/>
                <w:color w:val="auto"/>
                <w:sz w:val="24"/>
                <w:highlight w:val="none"/>
              </w:rPr>
            </w:pPr>
          </w:p>
        </w:tc>
      </w:tr>
      <w:tr w14:paraId="77F9D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817" w:type="dxa"/>
            <w:tcBorders>
              <w:top w:val="single" w:color="auto" w:sz="4" w:space="0"/>
              <w:left w:val="single" w:color="auto" w:sz="4" w:space="0"/>
              <w:bottom w:val="single" w:color="auto" w:sz="4" w:space="0"/>
              <w:right w:val="single" w:color="auto" w:sz="4" w:space="0"/>
            </w:tcBorders>
            <w:noWrap w:val="0"/>
            <w:vAlign w:val="center"/>
          </w:tcPr>
          <w:p w14:paraId="7552507D">
            <w:pPr>
              <w:pageBreakBefore w:val="0"/>
              <w:shd w:val="clear"/>
              <w:tabs>
                <w:tab w:val="left" w:pos="480"/>
              </w:tabs>
              <w:kinsoku/>
              <w:overflowPunct/>
              <w:topLinePunct w:val="0"/>
              <w:bidi w:val="0"/>
              <w:spacing w:line="40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2</w:t>
            </w:r>
          </w:p>
        </w:tc>
        <w:tc>
          <w:tcPr>
            <w:tcW w:w="2135" w:type="dxa"/>
            <w:tcBorders>
              <w:top w:val="single" w:color="auto" w:sz="4" w:space="0"/>
              <w:left w:val="single" w:color="auto" w:sz="4" w:space="0"/>
              <w:bottom w:val="single" w:color="auto" w:sz="4" w:space="0"/>
              <w:right w:val="single" w:color="auto" w:sz="4" w:space="0"/>
            </w:tcBorders>
            <w:noWrap w:val="0"/>
            <w:vAlign w:val="center"/>
          </w:tcPr>
          <w:p w14:paraId="39A27345">
            <w:pPr>
              <w:pageBreakBefore w:val="0"/>
              <w:shd w:val="clear"/>
              <w:tabs>
                <w:tab w:val="left" w:pos="480"/>
              </w:tabs>
              <w:kinsoku/>
              <w:overflowPunct/>
              <w:topLinePunct w:val="0"/>
              <w:bidi w:val="0"/>
              <w:spacing w:line="40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xxxx</w:t>
            </w:r>
          </w:p>
        </w:tc>
        <w:tc>
          <w:tcPr>
            <w:tcW w:w="1342" w:type="dxa"/>
            <w:tcBorders>
              <w:top w:val="single" w:color="auto" w:sz="4" w:space="0"/>
              <w:left w:val="single" w:color="auto" w:sz="4" w:space="0"/>
              <w:bottom w:val="single" w:color="auto" w:sz="4" w:space="0"/>
              <w:right w:val="single" w:color="auto" w:sz="4" w:space="0"/>
            </w:tcBorders>
            <w:noWrap w:val="0"/>
            <w:vAlign w:val="top"/>
          </w:tcPr>
          <w:p w14:paraId="01FC0FED">
            <w:pPr>
              <w:pageBreakBefore w:val="0"/>
              <w:shd w:val="clear"/>
              <w:tabs>
                <w:tab w:val="left" w:pos="480"/>
              </w:tabs>
              <w:kinsoku/>
              <w:overflowPunct/>
              <w:topLinePunct w:val="0"/>
              <w:bidi w:val="0"/>
              <w:spacing w:line="400" w:lineRule="exact"/>
              <w:jc w:val="center"/>
              <w:rPr>
                <w:rFonts w:hint="eastAsia" w:ascii="仿宋" w:hAnsi="仿宋" w:eastAsia="仿宋" w:cs="仿宋"/>
                <w:color w:val="auto"/>
                <w:sz w:val="24"/>
                <w:highlight w:val="none"/>
              </w:rPr>
            </w:pPr>
          </w:p>
        </w:tc>
        <w:tc>
          <w:tcPr>
            <w:tcW w:w="1986" w:type="dxa"/>
            <w:tcBorders>
              <w:top w:val="single" w:color="auto" w:sz="4" w:space="0"/>
              <w:left w:val="single" w:color="auto" w:sz="4" w:space="0"/>
              <w:bottom w:val="single" w:color="auto" w:sz="4" w:space="0"/>
              <w:right w:val="single" w:color="auto" w:sz="4" w:space="0"/>
            </w:tcBorders>
            <w:noWrap w:val="0"/>
            <w:vAlign w:val="center"/>
          </w:tcPr>
          <w:p w14:paraId="31BF654A">
            <w:pPr>
              <w:pageBreakBefore w:val="0"/>
              <w:shd w:val="clear"/>
              <w:tabs>
                <w:tab w:val="left" w:pos="480"/>
              </w:tabs>
              <w:kinsoku/>
              <w:overflowPunct/>
              <w:topLinePunct w:val="0"/>
              <w:bidi w:val="0"/>
              <w:spacing w:line="40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xxxx</w:t>
            </w:r>
          </w:p>
        </w:tc>
        <w:tc>
          <w:tcPr>
            <w:tcW w:w="1986" w:type="dxa"/>
            <w:tcBorders>
              <w:top w:val="single" w:color="auto" w:sz="4" w:space="0"/>
              <w:left w:val="single" w:color="auto" w:sz="4" w:space="0"/>
              <w:bottom w:val="single" w:color="auto" w:sz="4" w:space="0"/>
              <w:right w:val="single" w:color="auto" w:sz="4" w:space="0"/>
            </w:tcBorders>
            <w:noWrap w:val="0"/>
            <w:vAlign w:val="center"/>
          </w:tcPr>
          <w:p w14:paraId="1CC15E3A">
            <w:pPr>
              <w:pageBreakBefore w:val="0"/>
              <w:shd w:val="clear"/>
              <w:tabs>
                <w:tab w:val="left" w:pos="480"/>
              </w:tabs>
              <w:kinsoku/>
              <w:overflowPunct/>
              <w:topLinePunct w:val="0"/>
              <w:bidi w:val="0"/>
              <w:spacing w:line="40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xxxx</w:t>
            </w:r>
          </w:p>
        </w:tc>
        <w:tc>
          <w:tcPr>
            <w:tcW w:w="1489" w:type="dxa"/>
            <w:tcBorders>
              <w:top w:val="single" w:color="auto" w:sz="4" w:space="0"/>
              <w:left w:val="single" w:color="auto" w:sz="4" w:space="0"/>
              <w:right w:val="single" w:color="auto" w:sz="4" w:space="0"/>
            </w:tcBorders>
            <w:noWrap w:val="0"/>
            <w:vAlign w:val="center"/>
          </w:tcPr>
          <w:p w14:paraId="35BC3B1C">
            <w:pPr>
              <w:pageBreakBefore w:val="0"/>
              <w:shd w:val="clear"/>
              <w:tabs>
                <w:tab w:val="left" w:pos="480"/>
              </w:tabs>
              <w:kinsoku/>
              <w:overflowPunct/>
              <w:topLinePunct w:val="0"/>
              <w:bidi w:val="0"/>
              <w:spacing w:line="400" w:lineRule="exact"/>
              <w:jc w:val="center"/>
              <w:rPr>
                <w:rFonts w:hint="eastAsia" w:ascii="仿宋" w:hAnsi="仿宋" w:eastAsia="仿宋" w:cs="仿宋"/>
                <w:color w:val="auto"/>
                <w:sz w:val="24"/>
                <w:highlight w:val="none"/>
              </w:rPr>
            </w:pPr>
          </w:p>
        </w:tc>
      </w:tr>
      <w:tr w14:paraId="4AD8E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817" w:type="dxa"/>
            <w:tcBorders>
              <w:top w:val="single" w:color="auto" w:sz="4" w:space="0"/>
              <w:left w:val="single" w:color="auto" w:sz="4" w:space="0"/>
              <w:bottom w:val="single" w:color="auto" w:sz="4" w:space="0"/>
              <w:right w:val="single" w:color="auto" w:sz="4" w:space="0"/>
            </w:tcBorders>
            <w:noWrap w:val="0"/>
            <w:vAlign w:val="center"/>
          </w:tcPr>
          <w:p w14:paraId="20E981AD">
            <w:pPr>
              <w:pageBreakBefore w:val="0"/>
              <w:shd w:val="clear"/>
              <w:tabs>
                <w:tab w:val="left" w:pos="480"/>
              </w:tabs>
              <w:kinsoku/>
              <w:overflowPunct/>
              <w:topLinePunct w:val="0"/>
              <w:bidi w:val="0"/>
              <w:spacing w:line="40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w:t>
            </w:r>
          </w:p>
        </w:tc>
        <w:tc>
          <w:tcPr>
            <w:tcW w:w="2135" w:type="dxa"/>
            <w:tcBorders>
              <w:top w:val="single" w:color="auto" w:sz="4" w:space="0"/>
              <w:left w:val="single" w:color="auto" w:sz="4" w:space="0"/>
              <w:bottom w:val="single" w:color="auto" w:sz="4" w:space="0"/>
              <w:right w:val="single" w:color="auto" w:sz="4" w:space="0"/>
            </w:tcBorders>
            <w:noWrap w:val="0"/>
            <w:vAlign w:val="center"/>
          </w:tcPr>
          <w:p w14:paraId="5B37ACE4">
            <w:pPr>
              <w:pageBreakBefore w:val="0"/>
              <w:shd w:val="clear"/>
              <w:tabs>
                <w:tab w:val="left" w:pos="480"/>
              </w:tabs>
              <w:kinsoku/>
              <w:overflowPunct/>
              <w:topLinePunct w:val="0"/>
              <w:bidi w:val="0"/>
              <w:spacing w:line="40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w:t>
            </w:r>
          </w:p>
        </w:tc>
        <w:tc>
          <w:tcPr>
            <w:tcW w:w="1342" w:type="dxa"/>
            <w:tcBorders>
              <w:top w:val="single" w:color="auto" w:sz="4" w:space="0"/>
              <w:left w:val="single" w:color="auto" w:sz="4" w:space="0"/>
              <w:bottom w:val="single" w:color="auto" w:sz="4" w:space="0"/>
              <w:right w:val="single" w:color="auto" w:sz="4" w:space="0"/>
            </w:tcBorders>
            <w:noWrap w:val="0"/>
            <w:vAlign w:val="top"/>
          </w:tcPr>
          <w:p w14:paraId="4F38C4E3">
            <w:pPr>
              <w:pageBreakBefore w:val="0"/>
              <w:shd w:val="clear"/>
              <w:tabs>
                <w:tab w:val="left" w:pos="480"/>
              </w:tabs>
              <w:kinsoku/>
              <w:overflowPunct/>
              <w:topLinePunct w:val="0"/>
              <w:bidi w:val="0"/>
              <w:spacing w:line="400" w:lineRule="exact"/>
              <w:jc w:val="center"/>
              <w:rPr>
                <w:rFonts w:hint="eastAsia" w:ascii="仿宋" w:hAnsi="仿宋" w:eastAsia="仿宋" w:cs="仿宋"/>
                <w:color w:val="auto"/>
                <w:sz w:val="24"/>
                <w:highlight w:val="none"/>
              </w:rPr>
            </w:pPr>
          </w:p>
        </w:tc>
        <w:tc>
          <w:tcPr>
            <w:tcW w:w="1986" w:type="dxa"/>
            <w:tcBorders>
              <w:top w:val="single" w:color="auto" w:sz="4" w:space="0"/>
              <w:left w:val="single" w:color="auto" w:sz="4" w:space="0"/>
              <w:bottom w:val="single" w:color="auto" w:sz="4" w:space="0"/>
              <w:right w:val="single" w:color="auto" w:sz="4" w:space="0"/>
            </w:tcBorders>
            <w:noWrap w:val="0"/>
            <w:vAlign w:val="center"/>
          </w:tcPr>
          <w:p w14:paraId="7257F7BF">
            <w:pPr>
              <w:pageBreakBefore w:val="0"/>
              <w:shd w:val="clear"/>
              <w:tabs>
                <w:tab w:val="left" w:pos="480"/>
              </w:tabs>
              <w:kinsoku/>
              <w:overflowPunct/>
              <w:topLinePunct w:val="0"/>
              <w:bidi w:val="0"/>
              <w:spacing w:line="40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w:t>
            </w:r>
          </w:p>
        </w:tc>
        <w:tc>
          <w:tcPr>
            <w:tcW w:w="1986" w:type="dxa"/>
            <w:tcBorders>
              <w:top w:val="single" w:color="auto" w:sz="4" w:space="0"/>
              <w:left w:val="single" w:color="auto" w:sz="4" w:space="0"/>
              <w:bottom w:val="single" w:color="auto" w:sz="4" w:space="0"/>
              <w:right w:val="single" w:color="auto" w:sz="4" w:space="0"/>
            </w:tcBorders>
            <w:noWrap w:val="0"/>
            <w:vAlign w:val="center"/>
          </w:tcPr>
          <w:p w14:paraId="236E6D05">
            <w:pPr>
              <w:pageBreakBefore w:val="0"/>
              <w:shd w:val="clear"/>
              <w:tabs>
                <w:tab w:val="left" w:pos="480"/>
              </w:tabs>
              <w:kinsoku/>
              <w:overflowPunct/>
              <w:topLinePunct w:val="0"/>
              <w:bidi w:val="0"/>
              <w:spacing w:line="400" w:lineRule="exact"/>
              <w:jc w:val="center"/>
              <w:rPr>
                <w:rFonts w:hint="eastAsia" w:ascii="仿宋" w:hAnsi="仿宋" w:eastAsia="仿宋" w:cs="仿宋"/>
                <w:color w:val="auto"/>
                <w:sz w:val="24"/>
                <w:highlight w:val="none"/>
              </w:rPr>
            </w:pPr>
            <w:r>
              <w:rPr>
                <w:rFonts w:hint="eastAsia" w:ascii="仿宋" w:hAnsi="仿宋" w:eastAsia="仿宋" w:cs="仿宋"/>
                <w:color w:val="auto"/>
                <w:sz w:val="24"/>
                <w:highlight w:val="none"/>
              </w:rPr>
              <w:t>…</w:t>
            </w:r>
          </w:p>
        </w:tc>
        <w:tc>
          <w:tcPr>
            <w:tcW w:w="1489" w:type="dxa"/>
            <w:tcBorders>
              <w:top w:val="single" w:color="auto" w:sz="4" w:space="0"/>
              <w:left w:val="single" w:color="auto" w:sz="4" w:space="0"/>
              <w:right w:val="single" w:color="auto" w:sz="4" w:space="0"/>
            </w:tcBorders>
            <w:noWrap w:val="0"/>
            <w:vAlign w:val="center"/>
          </w:tcPr>
          <w:p w14:paraId="521B20F9">
            <w:pPr>
              <w:pageBreakBefore w:val="0"/>
              <w:shd w:val="clear"/>
              <w:tabs>
                <w:tab w:val="left" w:pos="480"/>
              </w:tabs>
              <w:kinsoku/>
              <w:overflowPunct/>
              <w:topLinePunct w:val="0"/>
              <w:bidi w:val="0"/>
              <w:spacing w:line="400" w:lineRule="exact"/>
              <w:jc w:val="center"/>
              <w:rPr>
                <w:rFonts w:hint="eastAsia" w:ascii="仿宋" w:hAnsi="仿宋" w:eastAsia="仿宋" w:cs="仿宋"/>
                <w:color w:val="auto"/>
                <w:sz w:val="24"/>
                <w:highlight w:val="none"/>
              </w:rPr>
            </w:pPr>
          </w:p>
        </w:tc>
      </w:tr>
    </w:tbl>
    <w:p w14:paraId="24F5BB52">
      <w:pPr>
        <w:pageBreakBefore w:val="0"/>
        <w:shd w:val="clear"/>
        <w:tabs>
          <w:tab w:val="left" w:pos="480"/>
        </w:tabs>
        <w:kinsoku/>
        <w:overflowPunct/>
        <w:topLinePunct w:val="0"/>
        <w:bidi w:val="0"/>
        <w:spacing w:line="400" w:lineRule="exact"/>
        <w:rPr>
          <w:rFonts w:hint="eastAsia" w:ascii="仿宋" w:hAnsi="仿宋" w:eastAsia="仿宋" w:cs="仿宋"/>
          <w:b/>
          <w:color w:val="auto"/>
          <w:sz w:val="24"/>
          <w:highlight w:val="none"/>
        </w:rPr>
      </w:pPr>
      <w:r>
        <w:rPr>
          <w:rFonts w:hint="eastAsia" w:ascii="仿宋" w:hAnsi="仿宋" w:eastAsia="仿宋" w:cs="仿宋"/>
          <w:b/>
          <w:color w:val="auto"/>
          <w:sz w:val="24"/>
          <w:highlight w:val="none"/>
        </w:rPr>
        <w:t>二、合同价款</w:t>
      </w:r>
    </w:p>
    <w:p w14:paraId="01CAEB45">
      <w:pPr>
        <w:pageBreakBefore w:val="0"/>
        <w:shd w:val="clear"/>
        <w:tabs>
          <w:tab w:val="left" w:pos="480"/>
        </w:tabs>
        <w:kinsoku/>
        <w:overflowPunct/>
        <w:topLinePunct w:val="0"/>
        <w:bidi w:val="0"/>
        <w:spacing w:line="400" w:lineRule="exact"/>
        <w:jc w:val="left"/>
        <w:rPr>
          <w:rFonts w:hint="eastAsia" w:ascii="仿宋" w:hAnsi="仿宋" w:eastAsia="仿宋" w:cs="仿宋"/>
          <w:color w:val="auto"/>
          <w:sz w:val="24"/>
          <w:highlight w:val="none"/>
        </w:rPr>
      </w:pPr>
      <w:r>
        <w:rPr>
          <w:rFonts w:hint="eastAsia" w:ascii="仿宋" w:hAnsi="仿宋" w:eastAsia="仿宋" w:cs="仿宋"/>
          <w:color w:val="auto"/>
          <w:sz w:val="24"/>
          <w:highlight w:val="none"/>
        </w:rPr>
        <w:t>（一）合同服务期内总价款不能超过人民币</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万元（￥</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元）。</w:t>
      </w:r>
    </w:p>
    <w:p w14:paraId="15577BE0">
      <w:pPr>
        <w:pageBreakBefore w:val="0"/>
        <w:shd w:val="clear"/>
        <w:tabs>
          <w:tab w:val="left" w:pos="480"/>
        </w:tabs>
        <w:kinsoku/>
        <w:overflowPunct/>
        <w:topLinePunct w:val="0"/>
        <w:bidi w:val="0"/>
        <w:spacing w:line="400" w:lineRule="exact"/>
        <w:rPr>
          <w:rFonts w:hint="eastAsia" w:ascii="仿宋" w:hAnsi="仿宋" w:eastAsia="仿宋" w:cs="仿宋"/>
          <w:color w:val="auto"/>
          <w:sz w:val="24"/>
          <w:highlight w:val="none"/>
        </w:rPr>
      </w:pPr>
      <w:r>
        <w:rPr>
          <w:rFonts w:hint="eastAsia" w:ascii="仿宋" w:hAnsi="仿宋" w:eastAsia="仿宋" w:cs="仿宋"/>
          <w:color w:val="auto"/>
          <w:sz w:val="24"/>
          <w:highlight w:val="none"/>
        </w:rPr>
        <w:t>（二）投标报价包括：货物费、运输费（含保险费）、装卸、验收、税及其它全部费用。</w:t>
      </w:r>
    </w:p>
    <w:p w14:paraId="663E6C72">
      <w:pPr>
        <w:pageBreakBefore w:val="0"/>
        <w:shd w:val="clear"/>
        <w:tabs>
          <w:tab w:val="left" w:pos="480"/>
        </w:tabs>
        <w:kinsoku/>
        <w:overflowPunct/>
        <w:topLinePunct w:val="0"/>
        <w:bidi w:val="0"/>
        <w:spacing w:line="400" w:lineRule="exact"/>
        <w:rPr>
          <w:rFonts w:hint="eastAsia" w:ascii="仿宋" w:hAnsi="仿宋" w:eastAsia="仿宋" w:cs="仿宋"/>
          <w:color w:val="auto"/>
          <w:sz w:val="24"/>
          <w:highlight w:val="none"/>
        </w:rPr>
      </w:pPr>
      <w:r>
        <w:rPr>
          <w:rFonts w:hint="eastAsia" w:ascii="仿宋" w:hAnsi="仿宋" w:eastAsia="仿宋" w:cs="仿宋"/>
          <w:color w:val="auto"/>
          <w:sz w:val="24"/>
          <w:highlight w:val="none"/>
        </w:rPr>
        <w:t>（三）单价一次性包死，乙方不得再增加，不受市场价格变化因素的影响。</w:t>
      </w:r>
    </w:p>
    <w:p w14:paraId="06A1CC6E">
      <w:pPr>
        <w:pageBreakBefore w:val="0"/>
        <w:shd w:val="clear"/>
        <w:tabs>
          <w:tab w:val="left" w:pos="480"/>
        </w:tabs>
        <w:kinsoku/>
        <w:overflowPunct/>
        <w:topLinePunct w:val="0"/>
        <w:bidi w:val="0"/>
        <w:spacing w:line="400" w:lineRule="exact"/>
        <w:rPr>
          <w:rFonts w:hint="eastAsia" w:ascii="仿宋" w:hAnsi="仿宋" w:eastAsia="仿宋" w:cs="仿宋"/>
          <w:b/>
          <w:color w:val="auto"/>
          <w:sz w:val="24"/>
          <w:highlight w:val="none"/>
        </w:rPr>
      </w:pPr>
      <w:r>
        <w:rPr>
          <w:rFonts w:hint="eastAsia" w:ascii="仿宋" w:hAnsi="仿宋" w:eastAsia="仿宋" w:cs="仿宋"/>
          <w:b/>
          <w:color w:val="auto"/>
          <w:sz w:val="24"/>
          <w:highlight w:val="none"/>
        </w:rPr>
        <w:t>三、款项结算</w:t>
      </w:r>
    </w:p>
    <w:p w14:paraId="0C3914F6">
      <w:pPr>
        <w:pageBreakBefore w:val="0"/>
        <w:shd w:val="clear"/>
        <w:kinsoku/>
        <w:overflowPunct/>
        <w:topLinePunct w:val="0"/>
        <w:bidi w:val="0"/>
        <w:spacing w:line="40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1.发票需随货物一同送达甲方指定地点，按照招标参数进行验收清点并办理入库手续，无发票、或发票有误或与货物不符或实际送达数量不符合申请量而造成的延误由中标单位承担一切责任。</w:t>
      </w:r>
    </w:p>
    <w:p w14:paraId="5726E1AB">
      <w:pPr>
        <w:pageBreakBefore w:val="0"/>
        <w:shd w:val="clear"/>
        <w:kinsoku/>
        <w:overflowPunct/>
        <w:topLinePunct w:val="0"/>
        <w:bidi w:val="0"/>
        <w:spacing w:line="40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2.货物入库之日起次月进行账务报销。即每月10日之前完成入库手续的发票将在次月底左右完成账务报销，每月10日之后完成入库手续的发票将视为次月递交发票。</w:t>
      </w:r>
    </w:p>
    <w:p w14:paraId="5694EA1F">
      <w:pPr>
        <w:pageBreakBefore w:val="0"/>
        <w:numPr>
          <w:ilvl w:val="0"/>
          <w:numId w:val="0"/>
        </w:numPr>
        <w:shd w:val="clear"/>
        <w:kinsoku/>
        <w:overflowPunct/>
        <w:topLinePunct w:val="0"/>
        <w:bidi w:val="0"/>
        <w:spacing w:line="400" w:lineRule="exact"/>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kern w:val="2"/>
          <w:sz w:val="24"/>
          <w:szCs w:val="24"/>
          <w:highlight w:val="none"/>
          <w:lang w:val="en-US" w:eastAsia="zh-CN" w:bidi="ar-SA"/>
        </w:rPr>
        <w:t>3.</w:t>
      </w:r>
      <w:r>
        <w:rPr>
          <w:rFonts w:hint="eastAsia" w:ascii="仿宋" w:hAnsi="仿宋" w:eastAsia="仿宋" w:cs="仿宋"/>
          <w:color w:val="auto"/>
          <w:sz w:val="24"/>
          <w:highlight w:val="none"/>
          <w:lang w:val="en-US" w:eastAsia="zh-CN"/>
        </w:rPr>
        <w:t>预付款与预付款保函</w:t>
      </w:r>
    </w:p>
    <w:p w14:paraId="75BEF5D0">
      <w:pPr>
        <w:pStyle w:val="3"/>
        <w:numPr>
          <w:ilvl w:val="0"/>
          <w:numId w:val="0"/>
        </w:numPr>
        <w:shd w:val="clear"/>
        <w:rPr>
          <w:rFonts w:hint="eastAsia"/>
          <w:color w:val="auto"/>
          <w:highlight w:val="none"/>
          <w:lang w:val="en-US" w:eastAsia="zh-CN"/>
        </w:rPr>
      </w:pPr>
      <w:r>
        <w:rPr>
          <w:rFonts w:hint="eastAsia" w:ascii="仿宋_GB2312" w:hAnsi="仿宋_GB2312" w:eastAsia="仿宋_GB2312" w:cs="仿宋_GB2312"/>
          <w:color w:val="auto"/>
          <w:highlight w:val="none"/>
          <w:lang w:val="en-US" w:eastAsia="zh-CN"/>
        </w:rPr>
        <w:t>合同签订后10个自然日内向甲方提交预付款保函，甲方接到预付款保函后</w:t>
      </w:r>
      <w:r>
        <w:rPr>
          <w:rFonts w:hint="eastAsia" w:ascii="仿宋_GB2312" w:hAnsi="仿宋_GB2312" w:eastAsia="仿宋_GB2312" w:cs="仿宋_GB2312"/>
          <w:color w:val="auto"/>
          <w:highlight w:val="none"/>
          <w:lang w:val="en-US" w:eastAsia="zh-CN"/>
        </w:rPr>
        <w:t>30</w:t>
      </w:r>
      <w:r>
        <w:rPr>
          <w:rFonts w:hint="eastAsia" w:ascii="仿宋_GB2312" w:hAnsi="仿宋_GB2312" w:eastAsia="仿宋_GB2312" w:cs="仿宋_GB2312"/>
          <w:color w:val="auto"/>
          <w:highlight w:val="none"/>
          <w:lang w:val="en-US" w:eastAsia="zh-CN"/>
        </w:rPr>
        <w:t>个工作日内支付合同总价的50%作为预付款。</w:t>
      </w:r>
    </w:p>
    <w:p w14:paraId="67BE1A29">
      <w:pPr>
        <w:pageBreakBefore w:val="0"/>
        <w:shd w:val="clear"/>
        <w:kinsoku/>
        <w:overflowPunct/>
        <w:topLinePunct w:val="0"/>
        <w:bidi w:val="0"/>
        <w:spacing w:line="40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4</w:t>
      </w:r>
      <w:r>
        <w:rPr>
          <w:rFonts w:hint="eastAsia" w:ascii="仿宋" w:hAnsi="仿宋" w:eastAsia="仿宋" w:cs="仿宋"/>
          <w:color w:val="auto"/>
          <w:sz w:val="24"/>
          <w:highlight w:val="none"/>
        </w:rPr>
        <w:t>.支付方式：银行转账</w:t>
      </w:r>
    </w:p>
    <w:p w14:paraId="3C07E907">
      <w:pPr>
        <w:pageBreakBefore w:val="0"/>
        <w:shd w:val="clear"/>
        <w:kinsoku/>
        <w:overflowPunct/>
        <w:topLinePunct w:val="0"/>
        <w:bidi w:val="0"/>
        <w:spacing w:line="40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5</w:t>
      </w:r>
      <w:r>
        <w:rPr>
          <w:rFonts w:hint="eastAsia" w:ascii="仿宋" w:hAnsi="仿宋" w:eastAsia="仿宋" w:cs="仿宋"/>
          <w:color w:val="auto"/>
          <w:sz w:val="24"/>
          <w:highlight w:val="none"/>
        </w:rPr>
        <w:t>.结算方式：据实结算，乙方开具等额合规发票。</w:t>
      </w:r>
    </w:p>
    <w:p w14:paraId="25E8FB70">
      <w:pPr>
        <w:pageBreakBefore w:val="0"/>
        <w:shd w:val="clear"/>
        <w:kinsoku/>
        <w:overflowPunct/>
        <w:topLinePunct w:val="0"/>
        <w:bidi w:val="0"/>
        <w:spacing w:line="400" w:lineRule="exact"/>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四、交货条件：</w:t>
      </w:r>
    </w:p>
    <w:p w14:paraId="1883FA85">
      <w:pPr>
        <w:pageBreakBefore w:val="0"/>
        <w:shd w:val="clear"/>
        <w:tabs>
          <w:tab w:val="left" w:pos="480"/>
        </w:tabs>
        <w:kinsoku/>
        <w:overflowPunct/>
        <w:topLinePunct w:val="0"/>
        <w:bidi w:val="0"/>
        <w:spacing w:line="400" w:lineRule="exact"/>
        <w:rPr>
          <w:rFonts w:hint="eastAsia" w:ascii="仿宋" w:hAnsi="仿宋" w:eastAsia="仿宋" w:cs="仿宋"/>
          <w:color w:val="auto"/>
          <w:sz w:val="24"/>
          <w:highlight w:val="none"/>
        </w:rPr>
      </w:pPr>
      <w:r>
        <w:rPr>
          <w:rFonts w:hint="eastAsia" w:ascii="仿宋" w:hAnsi="仿宋" w:eastAsia="仿宋" w:cs="仿宋"/>
          <w:color w:val="auto"/>
          <w:sz w:val="24"/>
          <w:highlight w:val="none"/>
        </w:rPr>
        <w:t>（一）交货地点：</w:t>
      </w:r>
      <w:r>
        <w:rPr>
          <w:rFonts w:hint="eastAsia" w:ascii="仿宋" w:hAnsi="仿宋" w:eastAsia="仿宋" w:cs="仿宋"/>
          <w:color w:val="auto"/>
          <w:sz w:val="24"/>
          <w:highlight w:val="none"/>
          <w:lang w:val="en-US" w:eastAsia="zh-CN"/>
        </w:rPr>
        <w:t>甲方</w:t>
      </w:r>
      <w:r>
        <w:rPr>
          <w:rFonts w:hint="eastAsia" w:ascii="仿宋" w:hAnsi="仿宋" w:eastAsia="仿宋" w:cs="仿宋"/>
          <w:color w:val="auto"/>
          <w:sz w:val="24"/>
          <w:highlight w:val="none"/>
        </w:rPr>
        <w:t>指定地点。</w:t>
      </w:r>
    </w:p>
    <w:p w14:paraId="392B4138">
      <w:pPr>
        <w:pageBreakBefore w:val="0"/>
        <w:shd w:val="clear"/>
        <w:tabs>
          <w:tab w:val="left" w:pos="480"/>
        </w:tabs>
        <w:kinsoku/>
        <w:overflowPunct/>
        <w:topLinePunct w:val="0"/>
        <w:bidi w:val="0"/>
        <w:spacing w:line="400" w:lineRule="exact"/>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rPr>
        <w:t>（二）供货期：自合同签订之日起一年，或一年内完成项目预算金额合同自动终止，按需采购。</w:t>
      </w:r>
    </w:p>
    <w:p w14:paraId="74C865D0">
      <w:pPr>
        <w:pStyle w:val="2"/>
        <w:pageBreakBefore w:val="0"/>
        <w:shd w:val="clear"/>
        <w:kinsoku/>
        <w:overflowPunct/>
        <w:topLinePunct w:val="0"/>
        <w:bidi w:val="0"/>
        <w:spacing w:line="400" w:lineRule="exact"/>
        <w:rPr>
          <w:rFonts w:hint="eastAsia" w:ascii="仿宋" w:hAnsi="仿宋" w:eastAsia="仿宋" w:cs="仿宋"/>
          <w:color w:val="auto"/>
          <w:sz w:val="24"/>
          <w:highlight w:val="none"/>
        </w:rPr>
      </w:pPr>
      <w:r>
        <w:rPr>
          <w:rFonts w:hint="eastAsia" w:ascii="仿宋" w:hAnsi="仿宋" w:eastAsia="仿宋" w:cs="仿宋"/>
          <w:color w:val="auto"/>
          <w:sz w:val="24"/>
          <w:highlight w:val="none"/>
        </w:rPr>
        <w:t>（三）交货时间：接到采购单位通知后，需4小时之内响应完成确认。并在确认后14日内配送至采购单位库房。紧急状态中标单位需无条件协助采购单位，加急完成配送货物。</w:t>
      </w:r>
    </w:p>
    <w:p w14:paraId="46C52B61">
      <w:pPr>
        <w:pageBreakBefore w:val="0"/>
        <w:shd w:val="clear"/>
        <w:tabs>
          <w:tab w:val="left" w:pos="480"/>
        </w:tabs>
        <w:kinsoku/>
        <w:overflowPunct/>
        <w:topLinePunct w:val="0"/>
        <w:bidi w:val="0"/>
        <w:spacing w:line="400" w:lineRule="exact"/>
        <w:rPr>
          <w:rFonts w:hint="eastAsia" w:ascii="仿宋" w:hAnsi="仿宋" w:eastAsia="仿宋" w:cs="仿宋"/>
          <w:b/>
          <w:color w:val="auto"/>
          <w:sz w:val="24"/>
          <w:highlight w:val="none"/>
        </w:rPr>
      </w:pPr>
      <w:r>
        <w:rPr>
          <w:rFonts w:hint="eastAsia" w:ascii="仿宋" w:hAnsi="仿宋" w:eastAsia="仿宋" w:cs="仿宋"/>
          <w:b/>
          <w:color w:val="auto"/>
          <w:sz w:val="24"/>
          <w:highlight w:val="none"/>
        </w:rPr>
        <w:t>五、运输</w:t>
      </w:r>
    </w:p>
    <w:p w14:paraId="33D8D2FA">
      <w:pPr>
        <w:pageBreakBefore w:val="0"/>
        <w:shd w:val="clear"/>
        <w:tabs>
          <w:tab w:val="left" w:pos="480"/>
        </w:tabs>
        <w:kinsoku/>
        <w:overflowPunct/>
        <w:topLinePunct w:val="0"/>
        <w:bidi w:val="0"/>
        <w:spacing w:line="400" w:lineRule="exact"/>
        <w:rPr>
          <w:rFonts w:hint="eastAsia" w:ascii="仿宋" w:hAnsi="仿宋" w:eastAsia="仿宋" w:cs="仿宋"/>
          <w:color w:val="auto"/>
          <w:sz w:val="24"/>
          <w:highlight w:val="none"/>
        </w:rPr>
      </w:pPr>
      <w:r>
        <w:rPr>
          <w:rFonts w:hint="eastAsia" w:ascii="仿宋" w:hAnsi="仿宋" w:eastAsia="仿宋" w:cs="仿宋"/>
          <w:color w:val="auto"/>
          <w:sz w:val="24"/>
          <w:highlight w:val="none"/>
        </w:rPr>
        <w:t>（一）运输由乙方负责，运杂费已包含在合同总价内，包括从货物供应地点至交货地点所含的运输费、装卸费、仓储费、保险费等全部费用。</w:t>
      </w:r>
    </w:p>
    <w:p w14:paraId="74314D62">
      <w:pPr>
        <w:pageBreakBefore w:val="0"/>
        <w:shd w:val="clear"/>
        <w:tabs>
          <w:tab w:val="left" w:pos="480"/>
        </w:tabs>
        <w:kinsoku/>
        <w:overflowPunct/>
        <w:topLinePunct w:val="0"/>
        <w:bidi w:val="0"/>
        <w:spacing w:line="400" w:lineRule="exact"/>
        <w:rPr>
          <w:rFonts w:hint="eastAsia" w:ascii="仿宋" w:hAnsi="仿宋" w:eastAsia="仿宋" w:cs="仿宋"/>
          <w:color w:val="auto"/>
          <w:sz w:val="24"/>
          <w:highlight w:val="none"/>
        </w:rPr>
      </w:pPr>
      <w:r>
        <w:rPr>
          <w:rFonts w:hint="eastAsia" w:ascii="仿宋" w:hAnsi="仿宋" w:eastAsia="仿宋" w:cs="仿宋"/>
          <w:color w:val="auto"/>
          <w:sz w:val="24"/>
          <w:highlight w:val="none"/>
        </w:rPr>
        <w:t>（二）运输方式由乙方自行选择，但必须保证按期交货。</w:t>
      </w:r>
    </w:p>
    <w:p w14:paraId="0B4C121A">
      <w:pPr>
        <w:pageBreakBefore w:val="0"/>
        <w:shd w:val="clear"/>
        <w:tabs>
          <w:tab w:val="left" w:pos="480"/>
        </w:tabs>
        <w:kinsoku/>
        <w:overflowPunct/>
        <w:topLinePunct w:val="0"/>
        <w:bidi w:val="0"/>
        <w:spacing w:line="400" w:lineRule="exact"/>
        <w:rPr>
          <w:rFonts w:hint="eastAsia" w:ascii="仿宋" w:hAnsi="仿宋" w:eastAsia="仿宋" w:cs="仿宋"/>
          <w:color w:val="auto"/>
          <w:sz w:val="24"/>
          <w:highlight w:val="none"/>
        </w:rPr>
      </w:pPr>
      <w:r>
        <w:rPr>
          <w:rFonts w:hint="eastAsia" w:ascii="仿宋" w:hAnsi="仿宋" w:eastAsia="仿宋" w:cs="仿宋"/>
          <w:color w:val="auto"/>
          <w:sz w:val="24"/>
          <w:highlight w:val="none"/>
        </w:rPr>
        <w:t>（三）因运输产生的一切风险及质量问题均由乙方承担。</w:t>
      </w:r>
    </w:p>
    <w:p w14:paraId="6E71CC33">
      <w:pPr>
        <w:pageBreakBefore w:val="0"/>
        <w:shd w:val="clear"/>
        <w:tabs>
          <w:tab w:val="left" w:pos="480"/>
        </w:tabs>
        <w:kinsoku/>
        <w:overflowPunct/>
        <w:topLinePunct w:val="0"/>
        <w:bidi w:val="0"/>
        <w:spacing w:line="400" w:lineRule="exact"/>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六、质量保证</w:t>
      </w:r>
    </w:p>
    <w:p w14:paraId="51E79F79">
      <w:pPr>
        <w:pageBreakBefore w:val="0"/>
        <w:shd w:val="clear"/>
        <w:tabs>
          <w:tab w:val="left" w:pos="480"/>
        </w:tabs>
        <w:kinsoku/>
        <w:overflowPunct/>
        <w:topLinePunct w:val="0"/>
        <w:bidi w:val="0"/>
        <w:spacing w:line="400" w:lineRule="exact"/>
        <w:rPr>
          <w:rFonts w:hint="eastAsia" w:ascii="仿宋" w:hAnsi="仿宋" w:eastAsia="仿宋" w:cs="仿宋"/>
          <w:color w:val="auto"/>
          <w:sz w:val="24"/>
          <w:highlight w:val="none"/>
        </w:rPr>
      </w:pPr>
      <w:r>
        <w:rPr>
          <w:rFonts w:hint="eastAsia" w:ascii="仿宋" w:hAnsi="仿宋" w:eastAsia="仿宋" w:cs="仿宋"/>
          <w:color w:val="auto"/>
          <w:sz w:val="24"/>
          <w:highlight w:val="none"/>
        </w:rPr>
        <w:t>（一）质量验收标准或规范</w:t>
      </w:r>
    </w:p>
    <w:p w14:paraId="591C175D">
      <w:pPr>
        <w:pageBreakBefore w:val="0"/>
        <w:shd w:val="clear"/>
        <w:tabs>
          <w:tab w:val="left" w:pos="480"/>
        </w:tabs>
        <w:kinsoku/>
        <w:overflowPunct/>
        <w:topLinePunct w:val="0"/>
        <w:bidi w:val="0"/>
        <w:spacing w:line="400" w:lineRule="exact"/>
        <w:ind w:firstLine="240" w:firstLineChars="100"/>
        <w:rPr>
          <w:rFonts w:hint="eastAsia" w:ascii="仿宋" w:hAnsi="仿宋" w:eastAsia="仿宋" w:cs="仿宋"/>
          <w:color w:val="auto"/>
          <w:sz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乙方</w:t>
      </w:r>
      <w:r>
        <w:rPr>
          <w:rFonts w:hint="eastAsia" w:ascii="仿宋" w:hAnsi="仿宋" w:eastAsia="仿宋" w:cs="仿宋"/>
          <w:color w:val="auto"/>
          <w:sz w:val="24"/>
          <w:szCs w:val="24"/>
          <w:highlight w:val="none"/>
        </w:rPr>
        <w:t>需</w:t>
      </w:r>
      <w:r>
        <w:rPr>
          <w:rFonts w:hint="eastAsia" w:ascii="仿宋" w:hAnsi="仿宋" w:eastAsia="仿宋" w:cs="仿宋"/>
          <w:color w:val="auto"/>
          <w:sz w:val="24"/>
          <w:szCs w:val="24"/>
          <w:highlight w:val="none"/>
          <w:lang w:val="en-US" w:eastAsia="zh-CN"/>
        </w:rPr>
        <w:t>配合完成三次质量抽检</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第一次为首检，在工厂生产出第一件完整产品后，将产品寄送至检测机构进行质检；第二次为过程检，在生产过程中，甲方组织人员到生产现场随机抽取封存一件（套）产品，寄送至检测机构进行质检；第三次为入库检，在物资入库过程中，随机抽取封存一件（套）物资，寄送至检测机构进行质检。</w:t>
      </w:r>
      <w:r>
        <w:rPr>
          <w:rFonts w:hint="eastAsia" w:ascii="仿宋" w:hAnsi="仿宋" w:eastAsia="仿宋" w:cs="仿宋"/>
          <w:color w:val="auto"/>
          <w:sz w:val="24"/>
          <w:szCs w:val="24"/>
          <w:highlight w:val="none"/>
        </w:rPr>
        <w:t>采购单位发现中标单位制作的货物不符招标文件参数内容或其他影响正常使用的质量问题，要求中标单位重新制作符合招标参数质量的货物，因货物质量造成采购单位的所有损失由中标单位承担。</w:t>
      </w:r>
    </w:p>
    <w:p w14:paraId="47933218">
      <w:pPr>
        <w:pageBreakBefore w:val="0"/>
        <w:shd w:val="clear"/>
        <w:tabs>
          <w:tab w:val="left" w:pos="480"/>
        </w:tabs>
        <w:kinsoku/>
        <w:overflowPunct/>
        <w:topLinePunct w:val="0"/>
        <w:bidi w:val="0"/>
        <w:spacing w:line="400" w:lineRule="exact"/>
        <w:ind w:firstLine="240" w:firstLineChars="100"/>
        <w:rPr>
          <w:rFonts w:hint="eastAsia" w:ascii="仿宋" w:hAnsi="仿宋" w:eastAsia="仿宋" w:cs="仿宋"/>
          <w:color w:val="auto"/>
          <w:sz w:val="24"/>
          <w:highlight w:val="none"/>
        </w:rPr>
      </w:pPr>
      <w:r>
        <w:rPr>
          <w:rFonts w:hint="eastAsia" w:ascii="仿宋" w:hAnsi="仿宋" w:eastAsia="仿宋" w:cs="仿宋"/>
          <w:color w:val="auto"/>
          <w:sz w:val="24"/>
          <w:highlight w:val="none"/>
        </w:rPr>
        <w:t>2.如果使用后发现褪色、掉色以及缩水后尺寸小于招标参数尺寸的纺织品，采购单位有权自由处置不符合招标参数的货物，并要求中标单位重新制作符合招标参数的货物，并扣除本批次货物金额或履约保证金不予支付，因不符合招标参数的货物而产生的所有损失由违约中标单位承担，采购单位保留一切权利。采购单位发现此类情况出现后有权在任意时间解除合同。</w:t>
      </w:r>
    </w:p>
    <w:p w14:paraId="7DCEED27">
      <w:pPr>
        <w:pageBreakBefore w:val="0"/>
        <w:shd w:val="clear"/>
        <w:tabs>
          <w:tab w:val="left" w:pos="480"/>
        </w:tabs>
        <w:kinsoku/>
        <w:overflowPunct/>
        <w:topLinePunct w:val="0"/>
        <w:bidi w:val="0"/>
        <w:spacing w:line="400" w:lineRule="exact"/>
        <w:rPr>
          <w:rFonts w:hint="eastAsia" w:ascii="仿宋" w:hAnsi="仿宋" w:eastAsia="仿宋" w:cs="仿宋"/>
          <w:color w:val="auto"/>
          <w:sz w:val="24"/>
          <w:highlight w:val="none"/>
        </w:rPr>
      </w:pPr>
      <w:r>
        <w:rPr>
          <w:rFonts w:hint="eastAsia" w:ascii="仿宋" w:hAnsi="仿宋" w:eastAsia="仿宋" w:cs="仿宋"/>
          <w:color w:val="auto"/>
          <w:sz w:val="24"/>
          <w:highlight w:val="none"/>
        </w:rPr>
        <w:t>（二）产品质保期</w:t>
      </w:r>
    </w:p>
    <w:p w14:paraId="7C4F7118">
      <w:pPr>
        <w:pageBreakBefore w:val="0"/>
        <w:shd w:val="clear"/>
        <w:kinsoku/>
        <w:overflowPunct/>
        <w:topLinePunct w:val="0"/>
        <w:bidi w:val="0"/>
        <w:spacing w:line="400" w:lineRule="exact"/>
        <w:ind w:firstLine="240" w:firstLineChars="100"/>
        <w:rPr>
          <w:rFonts w:hint="eastAsia" w:ascii="仿宋" w:hAnsi="仿宋" w:eastAsia="仿宋" w:cs="仿宋"/>
          <w:color w:val="auto"/>
          <w:sz w:val="24"/>
          <w:highlight w:val="none"/>
        </w:rPr>
      </w:pPr>
      <w:r>
        <w:rPr>
          <w:rFonts w:hint="eastAsia" w:ascii="仿宋" w:hAnsi="仿宋" w:eastAsia="仿宋" w:cs="仿宋"/>
          <w:color w:val="auto"/>
          <w:sz w:val="24"/>
          <w:highlight w:val="none"/>
        </w:rPr>
        <w:t>1、所有货物，质保期</w:t>
      </w:r>
      <w:r>
        <w:rPr>
          <w:rFonts w:hint="eastAsia" w:ascii="仿宋" w:hAnsi="仿宋" w:eastAsia="仿宋" w:cs="仿宋"/>
          <w:color w:val="auto"/>
          <w:sz w:val="24"/>
          <w:highlight w:val="none"/>
          <w:lang w:val="en-US" w:eastAsia="zh-CN"/>
        </w:rPr>
        <w:t>为在库期间，在库时间超过最佳储存年限的，以最佳储存年限为准</w:t>
      </w:r>
      <w:r>
        <w:rPr>
          <w:rFonts w:hint="eastAsia" w:ascii="仿宋" w:hAnsi="仿宋" w:eastAsia="仿宋" w:cs="仿宋"/>
          <w:color w:val="auto"/>
          <w:sz w:val="24"/>
          <w:highlight w:val="none"/>
        </w:rPr>
        <w:t>。</w:t>
      </w:r>
    </w:p>
    <w:p w14:paraId="293169B2">
      <w:pPr>
        <w:pageBreakBefore w:val="0"/>
        <w:shd w:val="clear"/>
        <w:kinsoku/>
        <w:overflowPunct/>
        <w:topLinePunct w:val="0"/>
        <w:bidi w:val="0"/>
        <w:spacing w:line="400" w:lineRule="exact"/>
        <w:rPr>
          <w:rFonts w:hint="eastAsia" w:ascii="仿宋" w:hAnsi="仿宋" w:eastAsia="仿宋" w:cs="仿宋"/>
          <w:b/>
          <w:color w:val="auto"/>
          <w:sz w:val="24"/>
          <w:highlight w:val="none"/>
        </w:rPr>
      </w:pPr>
      <w:r>
        <w:rPr>
          <w:rFonts w:hint="eastAsia" w:ascii="仿宋" w:hAnsi="仿宋" w:eastAsia="仿宋" w:cs="仿宋"/>
          <w:b/>
          <w:color w:val="auto"/>
          <w:sz w:val="24"/>
          <w:highlight w:val="none"/>
        </w:rPr>
        <w:t>七、服务要求</w:t>
      </w:r>
    </w:p>
    <w:p w14:paraId="5A86C9CC">
      <w:pPr>
        <w:pageBreakBefore w:val="0"/>
        <w:shd w:val="clear"/>
        <w:tabs>
          <w:tab w:val="left" w:pos="480"/>
        </w:tabs>
        <w:kinsoku/>
        <w:overflowPunct/>
        <w:topLinePunct w:val="0"/>
        <w:bidi w:val="0"/>
        <w:spacing w:line="400" w:lineRule="exact"/>
        <w:ind w:firstLine="240" w:firstLineChars="100"/>
        <w:rPr>
          <w:rFonts w:hint="eastAsia" w:ascii="仿宋" w:hAnsi="仿宋" w:eastAsia="仿宋" w:cs="仿宋"/>
          <w:color w:val="auto"/>
          <w:sz w:val="24"/>
          <w:highlight w:val="none"/>
        </w:rPr>
      </w:pPr>
      <w:r>
        <w:rPr>
          <w:rFonts w:hint="eastAsia" w:ascii="仿宋" w:hAnsi="仿宋" w:eastAsia="仿宋" w:cs="仿宋"/>
          <w:color w:val="auto"/>
          <w:sz w:val="24"/>
          <w:highlight w:val="none"/>
        </w:rPr>
        <w:t>1.本次招标单价，每月根据采购单位计划制作数量进行申报制作。单价包含税、包装、运输、拆卸、安装、清理垃圾等一切费用。预算金额仅供参考，结付以实际发生金额为准。</w:t>
      </w:r>
    </w:p>
    <w:p w14:paraId="0974B590">
      <w:pPr>
        <w:pageBreakBefore w:val="0"/>
        <w:shd w:val="clear"/>
        <w:tabs>
          <w:tab w:val="left" w:pos="480"/>
        </w:tabs>
        <w:kinsoku/>
        <w:overflowPunct/>
        <w:topLinePunct w:val="0"/>
        <w:bidi w:val="0"/>
        <w:spacing w:line="400" w:lineRule="exact"/>
        <w:ind w:firstLine="240" w:firstLineChars="100"/>
        <w:rPr>
          <w:rFonts w:hint="eastAsia" w:ascii="仿宋" w:hAnsi="仿宋" w:eastAsia="仿宋" w:cs="仿宋"/>
          <w:color w:val="auto"/>
          <w:sz w:val="24"/>
          <w:highlight w:val="none"/>
        </w:rPr>
      </w:pPr>
      <w:r>
        <w:rPr>
          <w:rFonts w:hint="eastAsia" w:ascii="仿宋" w:hAnsi="仿宋" w:eastAsia="仿宋" w:cs="仿宋"/>
          <w:color w:val="auto"/>
          <w:sz w:val="24"/>
          <w:highlight w:val="none"/>
        </w:rPr>
        <w:t>2.中标单位需将货物配送至采购单位库房，服从库管安排。所有搬运工作均由中标单位负责完成。所有进入采购单位的车辆及人员需报备</w:t>
      </w:r>
    </w:p>
    <w:p w14:paraId="67C5E609">
      <w:pPr>
        <w:pageBreakBefore w:val="0"/>
        <w:shd w:val="clear"/>
        <w:tabs>
          <w:tab w:val="left" w:pos="480"/>
        </w:tabs>
        <w:kinsoku/>
        <w:overflowPunct/>
        <w:topLinePunct w:val="0"/>
        <w:bidi w:val="0"/>
        <w:spacing w:line="400" w:lineRule="exact"/>
        <w:ind w:firstLine="240" w:firstLineChars="100"/>
        <w:rPr>
          <w:rFonts w:hint="eastAsia" w:ascii="仿宋" w:hAnsi="仿宋" w:eastAsia="仿宋" w:cs="仿宋"/>
          <w:color w:val="auto"/>
          <w:sz w:val="24"/>
          <w:highlight w:val="none"/>
        </w:rPr>
      </w:pPr>
      <w:r>
        <w:rPr>
          <w:rFonts w:hint="eastAsia" w:ascii="仿宋" w:hAnsi="仿宋" w:eastAsia="仿宋" w:cs="仿宋"/>
          <w:color w:val="auto"/>
          <w:sz w:val="24"/>
          <w:highlight w:val="none"/>
        </w:rPr>
        <w:t>3.采购单位提出采购的货物，必须由中标单位指定负责人来采购单位进行对接。中标单位需出具书面文件（负责人身份证需盖公司公章）明确1名负责人，由负责人与采购单位对接。中标单位不得擅自更换负责人，经采购单位同意后才能更换，且不得无故频繁更换。为应对紧急事件，需中标单位明确1名应急联络人（与负责人不能为同一人），中标单位需出具书面文件（应急联系人身份证需盖公司公章），应急联络人与负责人需24小时保持手机畅通。在合同执行过程中需要供应商应执行的伴随服务的服务标准或应当履行的相关义务。</w:t>
      </w:r>
    </w:p>
    <w:p w14:paraId="7E8B0705">
      <w:pPr>
        <w:pageBreakBefore w:val="0"/>
        <w:shd w:val="clear"/>
        <w:tabs>
          <w:tab w:val="left" w:pos="480"/>
        </w:tabs>
        <w:kinsoku/>
        <w:overflowPunct/>
        <w:topLinePunct w:val="0"/>
        <w:bidi w:val="0"/>
        <w:spacing w:line="400" w:lineRule="exact"/>
        <w:ind w:firstLine="240" w:firstLineChars="100"/>
        <w:rPr>
          <w:rFonts w:hint="eastAsia" w:ascii="仿宋" w:hAnsi="仿宋" w:eastAsia="仿宋" w:cs="仿宋"/>
          <w:color w:val="auto"/>
          <w:sz w:val="24"/>
          <w:highlight w:val="none"/>
        </w:rPr>
      </w:pPr>
      <w:r>
        <w:rPr>
          <w:rFonts w:hint="eastAsia" w:ascii="仿宋" w:hAnsi="仿宋" w:eastAsia="仿宋" w:cs="仿宋"/>
          <w:color w:val="auto"/>
          <w:sz w:val="24"/>
          <w:highlight w:val="none"/>
        </w:rPr>
        <w:t>4.如投标单位对招标货物有疑问无法确定，请提前联系采购单位解决，可参考采购单位现用实物。</w:t>
      </w:r>
    </w:p>
    <w:p w14:paraId="4D6848D0">
      <w:pPr>
        <w:pageBreakBefore w:val="0"/>
        <w:shd w:val="clear"/>
        <w:tabs>
          <w:tab w:val="left" w:pos="480"/>
        </w:tabs>
        <w:kinsoku/>
        <w:overflowPunct/>
        <w:topLinePunct w:val="0"/>
        <w:bidi w:val="0"/>
        <w:spacing w:line="400" w:lineRule="exact"/>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八、技术与服务</w:t>
      </w:r>
    </w:p>
    <w:p w14:paraId="5EAA6447">
      <w:pPr>
        <w:pageBreakBefore w:val="0"/>
        <w:shd w:val="clear"/>
        <w:tabs>
          <w:tab w:val="left" w:pos="480"/>
        </w:tabs>
        <w:kinsoku/>
        <w:overflowPunct/>
        <w:topLinePunct w:val="0"/>
        <w:bidi w:val="0"/>
        <w:spacing w:line="400" w:lineRule="exact"/>
        <w:rPr>
          <w:rFonts w:hint="eastAsia" w:ascii="仿宋" w:hAnsi="仿宋" w:eastAsia="仿宋" w:cs="仿宋"/>
          <w:color w:val="auto"/>
          <w:sz w:val="24"/>
          <w:highlight w:val="none"/>
        </w:rPr>
      </w:pPr>
      <w:r>
        <w:rPr>
          <w:rFonts w:hint="eastAsia" w:ascii="仿宋" w:hAnsi="仿宋" w:eastAsia="仿宋" w:cs="仿宋"/>
          <w:color w:val="auto"/>
          <w:sz w:val="24"/>
          <w:highlight w:val="none"/>
        </w:rPr>
        <w:t>（一）技术资料：</w:t>
      </w:r>
    </w:p>
    <w:p w14:paraId="384AF241">
      <w:pPr>
        <w:pageBreakBefore w:val="0"/>
        <w:shd w:val="clear"/>
        <w:tabs>
          <w:tab w:val="left" w:pos="480"/>
        </w:tabs>
        <w:kinsoku/>
        <w:overflowPunct/>
        <w:topLinePunct w:val="0"/>
        <w:bidi w:val="0"/>
        <w:spacing w:line="40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1、货物合格证；</w:t>
      </w:r>
    </w:p>
    <w:p w14:paraId="4F367039">
      <w:pPr>
        <w:pageBreakBefore w:val="0"/>
        <w:shd w:val="clear"/>
        <w:tabs>
          <w:tab w:val="left" w:pos="480"/>
        </w:tabs>
        <w:kinsoku/>
        <w:overflowPunct/>
        <w:topLinePunct w:val="0"/>
        <w:bidi w:val="0"/>
        <w:spacing w:line="40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2、乙方提供相关部门出具的检验报告；</w:t>
      </w:r>
    </w:p>
    <w:p w14:paraId="01764BD9">
      <w:pPr>
        <w:pageBreakBefore w:val="0"/>
        <w:shd w:val="clear"/>
        <w:tabs>
          <w:tab w:val="left" w:pos="480"/>
        </w:tabs>
        <w:kinsoku/>
        <w:overflowPunct/>
        <w:topLinePunct w:val="0"/>
        <w:bidi w:val="0"/>
        <w:spacing w:line="40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3、其它资料。</w:t>
      </w:r>
    </w:p>
    <w:p w14:paraId="11242820">
      <w:pPr>
        <w:pageBreakBefore w:val="0"/>
        <w:shd w:val="clear"/>
        <w:tabs>
          <w:tab w:val="left" w:pos="480"/>
        </w:tabs>
        <w:kinsoku/>
        <w:overflowPunct/>
        <w:topLinePunct w:val="0"/>
        <w:bidi w:val="0"/>
        <w:spacing w:line="400" w:lineRule="exact"/>
        <w:ind w:firstLine="120" w:firstLineChars="50"/>
        <w:rPr>
          <w:rFonts w:hint="eastAsia" w:ascii="仿宋" w:hAnsi="仿宋" w:eastAsia="仿宋" w:cs="仿宋"/>
          <w:color w:val="auto"/>
          <w:sz w:val="24"/>
          <w:highlight w:val="none"/>
        </w:rPr>
      </w:pPr>
      <w:r>
        <w:rPr>
          <w:rFonts w:hint="eastAsia" w:ascii="仿宋" w:hAnsi="仿宋" w:eastAsia="仿宋" w:cs="仿宋"/>
          <w:color w:val="auto"/>
          <w:sz w:val="24"/>
          <w:highlight w:val="none"/>
        </w:rPr>
        <w:t>（二）服务承诺：以投标文件、澄清表（函）、合同和随货物的相关文件为准。</w:t>
      </w:r>
    </w:p>
    <w:p w14:paraId="433A57C3">
      <w:pPr>
        <w:pageBreakBefore w:val="0"/>
        <w:shd w:val="clear"/>
        <w:tabs>
          <w:tab w:val="left" w:pos="480"/>
        </w:tabs>
        <w:kinsoku/>
        <w:overflowPunct/>
        <w:topLinePunct w:val="0"/>
        <w:bidi w:val="0"/>
        <w:spacing w:line="400" w:lineRule="exact"/>
        <w:rPr>
          <w:rFonts w:hint="eastAsia" w:ascii="仿宋" w:hAnsi="仿宋" w:eastAsia="仿宋" w:cs="仿宋"/>
          <w:b/>
          <w:color w:val="auto"/>
          <w:sz w:val="24"/>
          <w:highlight w:val="none"/>
        </w:rPr>
      </w:pPr>
      <w:r>
        <w:rPr>
          <w:rFonts w:hint="eastAsia" w:ascii="仿宋" w:hAnsi="仿宋" w:eastAsia="仿宋" w:cs="仿宋"/>
          <w:b/>
          <w:color w:val="auto"/>
          <w:sz w:val="24"/>
          <w:highlight w:val="none"/>
        </w:rPr>
        <w:t>九、违约责任</w:t>
      </w:r>
    </w:p>
    <w:p w14:paraId="2620FE9F">
      <w:pPr>
        <w:pageBreakBefore w:val="0"/>
        <w:shd w:val="clear"/>
        <w:tabs>
          <w:tab w:val="left" w:pos="480"/>
        </w:tabs>
        <w:kinsoku/>
        <w:overflowPunct/>
        <w:topLinePunct w:val="0"/>
        <w:bidi w:val="0"/>
        <w:spacing w:line="400" w:lineRule="exact"/>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（一）按《中华人民共和国政府采购法》、《中华人民共和国民法典》中的相关条款执行。</w:t>
      </w:r>
    </w:p>
    <w:p w14:paraId="6094256F">
      <w:pPr>
        <w:pageBreakBefore w:val="0"/>
        <w:shd w:val="clear"/>
        <w:tabs>
          <w:tab w:val="left" w:pos="480"/>
        </w:tabs>
        <w:kinsoku/>
        <w:overflowPunct/>
        <w:topLinePunct w:val="0"/>
        <w:bidi w:val="0"/>
        <w:spacing w:line="400" w:lineRule="exact"/>
        <w:ind w:firstLine="480" w:firstLineChars="200"/>
        <w:rPr>
          <w:rFonts w:hint="default"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（二）乙方无法按期提交预付款保函，已签订合同自行终止。</w:t>
      </w:r>
    </w:p>
    <w:p w14:paraId="7968C36E">
      <w:pPr>
        <w:pageBreakBefore w:val="0"/>
        <w:shd w:val="clear"/>
        <w:tabs>
          <w:tab w:val="left" w:pos="480"/>
        </w:tabs>
        <w:kinsoku/>
        <w:overflowPunct/>
        <w:topLinePunct w:val="0"/>
        <w:bidi w:val="0"/>
        <w:spacing w:line="400" w:lineRule="exact"/>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三）未按合同要求提供货物或质量不能满足招标文件技术要求，在约定的条件下，乙方必须无条件更换，提高技术，完善质量，否则，甲方有权解除合同，解除合同书面通知书到达乙方之日视为合同已解除，并按以下方式追究乙方的违约责任：</w:t>
      </w:r>
    </w:p>
    <w:p w14:paraId="47189049">
      <w:pPr>
        <w:pageBreakBefore w:val="0"/>
        <w:shd w:val="clear"/>
        <w:tabs>
          <w:tab w:val="left" w:pos="480"/>
        </w:tabs>
        <w:kinsoku/>
        <w:overflowPunct/>
        <w:topLinePunct w:val="0"/>
        <w:bidi w:val="0"/>
        <w:spacing w:line="400" w:lineRule="exact"/>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1. 乙方需按照招标文件配合采购单位管理。不配合采购单位工作、货物验收有质量问题或质检报告不合格，甲方有权终止合同。</w:t>
      </w:r>
    </w:p>
    <w:p w14:paraId="4304BCCE">
      <w:pPr>
        <w:pageBreakBefore w:val="0"/>
        <w:shd w:val="clear"/>
        <w:tabs>
          <w:tab w:val="left" w:pos="480"/>
        </w:tabs>
        <w:kinsoku/>
        <w:overflowPunct/>
        <w:topLinePunct w:val="0"/>
        <w:bidi w:val="0"/>
        <w:spacing w:line="400" w:lineRule="exact"/>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2.尺码按照甲方要求制作，不按甲方要求的尺寸导致被服尺寸不统一或偏大偏小，乙方予以免费更换，更换2次（包括2次）以上，甲方有权解除合同，解除合同书面通知书到达乙方之日视为合同已解除。</w:t>
      </w:r>
    </w:p>
    <w:p w14:paraId="2C32AB71">
      <w:pPr>
        <w:pageBreakBefore w:val="0"/>
        <w:shd w:val="clear"/>
        <w:tabs>
          <w:tab w:val="left" w:pos="480"/>
        </w:tabs>
        <w:kinsoku/>
        <w:overflowPunct/>
        <w:topLinePunct w:val="0"/>
        <w:bidi w:val="0"/>
        <w:spacing w:line="400" w:lineRule="exact"/>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3.乙方如有调换产品，减低产品等级标准或提供存在质量缺陷产品，以劣充优，以假充真等违约行为的，一经查实，将取消其中标人资格。</w:t>
      </w:r>
    </w:p>
    <w:p w14:paraId="745DEF4C">
      <w:pPr>
        <w:pageBreakBefore w:val="0"/>
        <w:shd w:val="clear"/>
        <w:tabs>
          <w:tab w:val="left" w:pos="480"/>
        </w:tabs>
        <w:kinsoku/>
        <w:overflowPunct/>
        <w:topLinePunct w:val="0"/>
        <w:bidi w:val="0"/>
        <w:spacing w:line="400" w:lineRule="exact"/>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 xml:space="preserve">4.甲方在被服使用过程中，如出现缩水率超标、产品质量不符合要求等问题时，甲方可按本次货物预算总价的20%进行处罚。 </w:t>
      </w:r>
    </w:p>
    <w:p w14:paraId="51EC4066">
      <w:pPr>
        <w:pageBreakBefore w:val="0"/>
        <w:shd w:val="clear"/>
        <w:tabs>
          <w:tab w:val="left" w:pos="480"/>
        </w:tabs>
        <w:kinsoku/>
        <w:overflowPunct/>
        <w:topLinePunct w:val="0"/>
        <w:bidi w:val="0"/>
        <w:spacing w:line="400" w:lineRule="exact"/>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5.交货期为14天，遇医院紧急情况5天内送到医院，除自然灾害等不可抗拒的原因，每延迟 一天乙方支付甲方本次货物预算的1%作为违约金。超过14天未交货，甲方有权解除合同，解除合同书面通知书到达乙方之日视为合同已解除，同时乙方应承担该次预算金额的30%的违约金。</w:t>
      </w:r>
    </w:p>
    <w:p w14:paraId="6E2BC547">
      <w:pPr>
        <w:pageBreakBefore w:val="0"/>
        <w:shd w:val="clear"/>
        <w:tabs>
          <w:tab w:val="left" w:pos="480"/>
        </w:tabs>
        <w:kinsoku/>
        <w:overflowPunct/>
        <w:topLinePunct w:val="0"/>
        <w:bidi w:val="0"/>
        <w:spacing w:line="400" w:lineRule="exact"/>
        <w:ind w:firstLine="480" w:firstLineChars="200"/>
        <w:rPr>
          <w:rFonts w:hint="eastAsia" w:ascii="仿宋" w:hAnsi="仿宋" w:eastAsia="仿宋" w:cs="仿宋"/>
          <w:color w:val="auto"/>
          <w:sz w:val="24"/>
          <w:highlight w:val="none"/>
          <w:lang w:val="en-US" w:eastAsia="zh-CN"/>
        </w:rPr>
      </w:pPr>
      <w:r>
        <w:rPr>
          <w:rFonts w:hint="eastAsia" w:ascii="仿宋" w:hAnsi="仿宋" w:eastAsia="仿宋" w:cs="仿宋"/>
          <w:color w:val="auto"/>
          <w:sz w:val="24"/>
          <w:highlight w:val="none"/>
          <w:lang w:val="en-US" w:eastAsia="zh-CN"/>
        </w:rPr>
        <w:t>6.以上所有招标要求及招标参数需明确写进合同中并执行。</w:t>
      </w:r>
    </w:p>
    <w:p w14:paraId="7E6183DB">
      <w:pPr>
        <w:pageBreakBefore w:val="0"/>
        <w:shd w:val="clear"/>
        <w:tabs>
          <w:tab w:val="left" w:pos="480"/>
        </w:tabs>
        <w:kinsoku/>
        <w:overflowPunct/>
        <w:topLinePunct w:val="0"/>
        <w:bidi w:val="0"/>
        <w:spacing w:line="400" w:lineRule="exact"/>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十一、合同争议解决的方式</w:t>
      </w:r>
    </w:p>
    <w:p w14:paraId="5907A1BE">
      <w:pPr>
        <w:pageBreakBefore w:val="0"/>
        <w:shd w:val="clear"/>
        <w:tabs>
          <w:tab w:val="left" w:pos="480"/>
        </w:tabs>
        <w:kinsoku/>
        <w:overflowPunct/>
        <w:topLinePunct w:val="0"/>
        <w:bidi w:val="0"/>
        <w:spacing w:line="40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本合同在履行过程中发生的争议，由甲、乙双方当事人协商解决，协商不成的依法向甲方所在地人民法院起诉。</w:t>
      </w:r>
    </w:p>
    <w:p w14:paraId="060FA1A1">
      <w:pPr>
        <w:pageBreakBefore w:val="0"/>
        <w:shd w:val="clear"/>
        <w:tabs>
          <w:tab w:val="left" w:pos="480"/>
        </w:tabs>
        <w:kinsoku/>
        <w:overflowPunct/>
        <w:topLinePunct w:val="0"/>
        <w:bidi w:val="0"/>
        <w:spacing w:line="400" w:lineRule="exact"/>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十二、合同生效</w:t>
      </w:r>
    </w:p>
    <w:p w14:paraId="77B90BD6">
      <w:pPr>
        <w:pageBreakBefore w:val="0"/>
        <w:shd w:val="clear"/>
        <w:tabs>
          <w:tab w:val="left" w:pos="480"/>
        </w:tabs>
        <w:kinsoku/>
        <w:overflowPunct/>
        <w:topLinePunct w:val="0"/>
        <w:bidi w:val="0"/>
        <w:spacing w:line="40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本合同一式陆份，甲方肆份，乙方、见证方各执壹份，本合同经甲方、乙方双方签字盖章</w:t>
      </w:r>
      <w:r>
        <w:rPr>
          <w:rFonts w:hint="eastAsia" w:ascii="仿宋" w:hAnsi="仿宋" w:eastAsia="仿宋" w:cs="仿宋"/>
          <w:color w:val="auto"/>
          <w:sz w:val="24"/>
          <w:highlight w:val="none"/>
          <w:lang w:val="en-US" w:eastAsia="zh-CN"/>
        </w:rPr>
        <w:t>且甲方收到预付款保函后</w:t>
      </w:r>
      <w:r>
        <w:rPr>
          <w:rFonts w:hint="eastAsia" w:ascii="仿宋" w:hAnsi="仿宋" w:eastAsia="仿宋" w:cs="仿宋"/>
          <w:color w:val="auto"/>
          <w:sz w:val="24"/>
          <w:highlight w:val="none"/>
        </w:rPr>
        <w:t>生效</w:t>
      </w:r>
      <w:r>
        <w:rPr>
          <w:rFonts w:hint="eastAsia" w:ascii="仿宋" w:hAnsi="仿宋" w:eastAsia="仿宋" w:cs="仿宋"/>
          <w:color w:val="auto"/>
          <w:sz w:val="24"/>
          <w:highlight w:val="none"/>
          <w:lang w:eastAsia="zh-CN"/>
        </w:rPr>
        <w:t>，</w:t>
      </w:r>
      <w:r>
        <w:rPr>
          <w:rFonts w:hint="eastAsia" w:ascii="仿宋" w:hAnsi="仿宋" w:eastAsia="仿宋" w:cs="仿宋"/>
          <w:color w:val="auto"/>
          <w:sz w:val="24"/>
          <w:highlight w:val="none"/>
        </w:rPr>
        <w:t>质保期结束后，自动终止（但合同的服务承诺除外）。</w:t>
      </w:r>
    </w:p>
    <w:p w14:paraId="091230C8">
      <w:pPr>
        <w:pageBreakBefore w:val="0"/>
        <w:shd w:val="clear"/>
        <w:tabs>
          <w:tab w:val="left" w:pos="480"/>
        </w:tabs>
        <w:kinsoku/>
        <w:overflowPunct/>
        <w:topLinePunct w:val="0"/>
        <w:bidi w:val="0"/>
        <w:spacing w:line="400" w:lineRule="exact"/>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十三、其他事项</w:t>
      </w:r>
    </w:p>
    <w:p w14:paraId="37C3E431">
      <w:pPr>
        <w:pageBreakBefore w:val="0"/>
        <w:shd w:val="clear"/>
        <w:tabs>
          <w:tab w:val="left" w:pos="480"/>
        </w:tabs>
        <w:kinsoku/>
        <w:overflowPunct/>
        <w:topLinePunct w:val="0"/>
        <w:bidi w:val="0"/>
        <w:spacing w:line="400" w:lineRule="exact"/>
        <w:rPr>
          <w:rFonts w:hint="eastAsia" w:ascii="仿宋" w:hAnsi="仿宋" w:eastAsia="仿宋" w:cs="仿宋"/>
          <w:color w:val="auto"/>
          <w:sz w:val="24"/>
          <w:highlight w:val="none"/>
        </w:rPr>
      </w:pPr>
      <w:r>
        <w:rPr>
          <w:rFonts w:hint="eastAsia" w:ascii="仿宋" w:hAnsi="仿宋" w:eastAsia="仿宋" w:cs="仿宋"/>
          <w:color w:val="auto"/>
          <w:sz w:val="24"/>
          <w:highlight w:val="none"/>
        </w:rPr>
        <w:t>（一）见证方作为政府集中采购代理机构对合同进行确认。</w:t>
      </w:r>
    </w:p>
    <w:p w14:paraId="3FB278A2">
      <w:pPr>
        <w:pageBreakBefore w:val="0"/>
        <w:shd w:val="clear"/>
        <w:tabs>
          <w:tab w:val="left" w:pos="480"/>
        </w:tabs>
        <w:kinsoku/>
        <w:overflowPunct/>
        <w:topLinePunct w:val="0"/>
        <w:bidi w:val="0"/>
        <w:spacing w:line="400" w:lineRule="exact"/>
        <w:rPr>
          <w:rFonts w:hint="eastAsia" w:ascii="仿宋" w:hAnsi="仿宋" w:eastAsia="仿宋" w:cs="仿宋"/>
          <w:color w:val="auto"/>
          <w:sz w:val="24"/>
          <w:highlight w:val="none"/>
        </w:rPr>
      </w:pPr>
      <w:r>
        <w:rPr>
          <w:rFonts w:hint="eastAsia" w:ascii="仿宋" w:hAnsi="仿宋" w:eastAsia="仿宋" w:cs="仿宋"/>
          <w:color w:val="auto"/>
          <w:sz w:val="24"/>
          <w:highlight w:val="none"/>
        </w:rPr>
        <w:t>（二）西安市财政局政府采购管理处在合同的履行期间以及履行期后，可以随时检查项目的执行情况，对采购内容、标准进行调查核实，并对发现的问题进行处理。</w:t>
      </w:r>
    </w:p>
    <w:p w14:paraId="035B31B7">
      <w:pPr>
        <w:pageBreakBefore w:val="0"/>
        <w:shd w:val="clear"/>
        <w:tabs>
          <w:tab w:val="left" w:pos="480"/>
        </w:tabs>
        <w:kinsoku/>
        <w:overflowPunct/>
        <w:topLinePunct w:val="0"/>
        <w:bidi w:val="0"/>
        <w:spacing w:line="400" w:lineRule="exact"/>
        <w:rPr>
          <w:rFonts w:hint="eastAsia" w:ascii="仿宋" w:hAnsi="仿宋" w:eastAsia="仿宋" w:cs="仿宋"/>
          <w:color w:val="auto"/>
          <w:sz w:val="24"/>
          <w:highlight w:val="none"/>
        </w:rPr>
      </w:pPr>
      <w:r>
        <w:rPr>
          <w:rFonts w:hint="eastAsia" w:ascii="仿宋" w:hAnsi="仿宋" w:eastAsia="仿宋" w:cs="仿宋"/>
          <w:color w:val="auto"/>
          <w:sz w:val="24"/>
          <w:highlight w:val="none"/>
        </w:rPr>
        <w:t>（三）招标文件、投标文件、澄清表（函）、中标通知书、合同附件均成为合同不可分割的部分。</w:t>
      </w:r>
    </w:p>
    <w:p w14:paraId="122EBBC3">
      <w:pPr>
        <w:pageBreakBefore w:val="0"/>
        <w:shd w:val="clear"/>
        <w:tabs>
          <w:tab w:val="left" w:pos="480"/>
        </w:tabs>
        <w:kinsoku/>
        <w:overflowPunct/>
        <w:topLinePunct w:val="0"/>
        <w:bidi w:val="0"/>
        <w:spacing w:line="400" w:lineRule="exact"/>
        <w:rPr>
          <w:rFonts w:hint="eastAsia" w:ascii="仿宋" w:hAnsi="仿宋" w:eastAsia="仿宋" w:cs="仿宋"/>
          <w:color w:val="auto"/>
          <w:sz w:val="24"/>
          <w:highlight w:val="none"/>
        </w:rPr>
      </w:pPr>
      <w:r>
        <w:rPr>
          <w:rFonts w:hint="eastAsia" w:ascii="仿宋" w:hAnsi="仿宋" w:eastAsia="仿宋" w:cs="仿宋"/>
          <w:color w:val="auto"/>
          <w:sz w:val="24"/>
          <w:highlight w:val="none"/>
        </w:rPr>
        <w:t>（四）合同未尽事宜，由甲、乙双方协商，经见证方确认后，签订补充协议，与原合同具有同等法律效力。</w:t>
      </w:r>
    </w:p>
    <w:p w14:paraId="2006D658">
      <w:pPr>
        <w:pageBreakBefore w:val="0"/>
        <w:shd w:val="clear"/>
        <w:tabs>
          <w:tab w:val="left" w:pos="480"/>
        </w:tabs>
        <w:kinsoku/>
        <w:overflowPunct/>
        <w:topLinePunct w:val="0"/>
        <w:bidi w:val="0"/>
        <w:spacing w:line="400" w:lineRule="exact"/>
        <w:rPr>
          <w:rFonts w:hint="eastAsia" w:ascii="仿宋" w:hAnsi="仿宋" w:eastAsia="仿宋" w:cs="仿宋"/>
          <w:color w:val="auto"/>
          <w:sz w:val="24"/>
          <w:highlight w:val="none"/>
        </w:rPr>
      </w:pPr>
      <w:r>
        <w:rPr>
          <w:rFonts w:hint="eastAsia" w:ascii="仿宋" w:hAnsi="仿宋" w:eastAsia="仿宋" w:cs="仿宋"/>
          <w:color w:val="auto"/>
          <w:sz w:val="24"/>
          <w:highlight w:val="none"/>
        </w:rPr>
        <w:t>（五）合同一经签订，不得擅自变更、中止或终止合同。对确需变更、调整或中止、终止合同的，有法律规定的按照法律规定，除合同约定外，由甲乙双方再行协商，协商一致前，原合同或条款继续履行。</w:t>
      </w:r>
    </w:p>
    <w:p w14:paraId="0D2BDBD2">
      <w:pPr>
        <w:pageBreakBefore w:val="0"/>
        <w:shd w:val="clear"/>
        <w:tabs>
          <w:tab w:val="left" w:pos="480"/>
        </w:tabs>
        <w:kinsoku/>
        <w:overflowPunct/>
        <w:topLinePunct w:val="0"/>
        <w:bidi w:val="0"/>
        <w:spacing w:line="400" w:lineRule="exact"/>
        <w:rPr>
          <w:rFonts w:hint="eastAsia" w:ascii="仿宋" w:hAnsi="仿宋" w:eastAsia="仿宋" w:cs="仿宋"/>
          <w:color w:val="auto"/>
          <w:sz w:val="24"/>
          <w:highlight w:val="none"/>
        </w:rPr>
      </w:pPr>
      <w:r>
        <w:rPr>
          <w:rFonts w:hint="eastAsia" w:ascii="仿宋" w:hAnsi="仿宋" w:eastAsia="仿宋" w:cs="仿宋"/>
          <w:color w:val="auto"/>
          <w:sz w:val="24"/>
          <w:highlight w:val="none"/>
        </w:rPr>
        <w:t>（六）本合同按照中华人民共和国的现行法律进行解释。</w:t>
      </w:r>
    </w:p>
    <w:p w14:paraId="2C44532F">
      <w:pPr>
        <w:pageBreakBefore w:val="0"/>
        <w:shd w:val="clear"/>
        <w:tabs>
          <w:tab w:val="left" w:pos="480"/>
        </w:tabs>
        <w:kinsoku/>
        <w:overflowPunct/>
        <w:topLinePunct w:val="0"/>
        <w:bidi w:val="0"/>
        <w:spacing w:line="400" w:lineRule="exact"/>
        <w:rPr>
          <w:rFonts w:hint="eastAsia" w:ascii="仿宋" w:hAnsi="仿宋" w:eastAsia="仿宋" w:cs="仿宋"/>
          <w:color w:val="auto"/>
          <w:sz w:val="24"/>
          <w:highlight w:val="none"/>
        </w:rPr>
      </w:pPr>
      <w:r>
        <w:rPr>
          <w:rFonts w:hint="eastAsia" w:ascii="仿宋" w:hAnsi="仿宋" w:eastAsia="仿宋" w:cs="仿宋"/>
          <w:color w:val="auto"/>
          <w:sz w:val="24"/>
          <w:highlight w:val="none"/>
        </w:rPr>
        <w:t>（七）本合同附件作为本合同的组成部分，与本合同具有同等法律效力。</w:t>
      </w:r>
    </w:p>
    <w:p w14:paraId="127C6EB8">
      <w:pPr>
        <w:pageBreakBefore w:val="0"/>
        <w:shd w:val="clear"/>
        <w:tabs>
          <w:tab w:val="left" w:pos="480"/>
        </w:tabs>
        <w:kinsoku/>
        <w:overflowPunct/>
        <w:topLinePunct w:val="0"/>
        <w:bidi w:val="0"/>
        <w:spacing w:line="400" w:lineRule="exact"/>
        <w:rPr>
          <w:rFonts w:hint="eastAsia" w:ascii="仿宋" w:hAnsi="仿宋" w:eastAsia="仿宋" w:cs="仿宋"/>
          <w:color w:val="auto"/>
          <w:sz w:val="24"/>
          <w:highlight w:val="none"/>
        </w:rPr>
      </w:pPr>
      <w:r>
        <w:rPr>
          <w:rFonts w:hint="eastAsia" w:ascii="仿宋" w:hAnsi="仿宋" w:eastAsia="仿宋" w:cs="仿宋"/>
          <w:color w:val="auto"/>
          <w:sz w:val="24"/>
          <w:highlight w:val="none"/>
        </w:rPr>
        <w:t>（以下无正文）</w:t>
      </w:r>
    </w:p>
    <w:p w14:paraId="76BDCBB1">
      <w:pPr>
        <w:pStyle w:val="4"/>
        <w:pageBreakBefore w:val="0"/>
        <w:shd w:val="clear"/>
        <w:kinsoku/>
        <w:overflowPunct/>
        <w:topLinePunct w:val="0"/>
        <w:bidi w:val="0"/>
        <w:spacing w:line="400" w:lineRule="exact"/>
        <w:rPr>
          <w:rFonts w:hint="eastAsia" w:ascii="仿宋" w:hAnsi="仿宋" w:eastAsia="仿宋" w:cs="仿宋"/>
          <w:color w:val="auto"/>
          <w:sz w:val="24"/>
          <w:szCs w:val="24"/>
          <w:highlight w:val="none"/>
        </w:rPr>
      </w:pPr>
    </w:p>
    <w:p w14:paraId="6754E007">
      <w:pPr>
        <w:pageBreakBefore w:val="0"/>
        <w:shd w:val="clear"/>
        <w:tabs>
          <w:tab w:val="left" w:pos="480"/>
        </w:tabs>
        <w:kinsoku/>
        <w:overflowPunct/>
        <w:topLinePunct w:val="0"/>
        <w:bidi w:val="0"/>
        <w:spacing w:line="400" w:lineRule="exact"/>
        <w:rPr>
          <w:rFonts w:hint="eastAsia" w:ascii="仿宋" w:hAnsi="仿宋" w:eastAsia="仿宋" w:cs="仿宋"/>
          <w:color w:val="auto"/>
          <w:sz w:val="24"/>
          <w:highlight w:val="none"/>
        </w:rPr>
      </w:pPr>
      <w:r>
        <w:rPr>
          <w:rFonts w:hint="eastAsia" w:ascii="仿宋" w:hAnsi="仿宋" w:eastAsia="仿宋" w:cs="仿宋"/>
          <w:color w:val="auto"/>
          <w:sz w:val="24"/>
          <w:highlight w:val="none"/>
        </w:rPr>
        <w:t>甲  方（法人公章）                          乙  方（法人公章）</w:t>
      </w:r>
    </w:p>
    <w:p w14:paraId="601DF47C">
      <w:pPr>
        <w:pageBreakBefore w:val="0"/>
        <w:shd w:val="clear"/>
        <w:tabs>
          <w:tab w:val="left" w:pos="480"/>
        </w:tabs>
        <w:kinsoku/>
        <w:overflowPunct/>
        <w:topLinePunct w:val="0"/>
        <w:bidi w:val="0"/>
        <w:spacing w:line="400" w:lineRule="exact"/>
        <w:rPr>
          <w:rFonts w:hint="eastAsia" w:ascii="仿宋" w:hAnsi="仿宋" w:eastAsia="仿宋" w:cs="仿宋"/>
          <w:color w:val="auto"/>
          <w:sz w:val="24"/>
          <w:highlight w:val="none"/>
        </w:rPr>
      </w:pPr>
      <w:r>
        <w:rPr>
          <w:rFonts w:hint="eastAsia" w:ascii="仿宋" w:hAnsi="仿宋" w:eastAsia="仿宋" w:cs="仿宋"/>
          <w:color w:val="auto"/>
          <w:sz w:val="24"/>
          <w:highlight w:val="none"/>
        </w:rPr>
        <w:t>单位名称：</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 xml:space="preserve">                   单位名称:xxxx</w:t>
      </w:r>
    </w:p>
    <w:p w14:paraId="3113D495">
      <w:pPr>
        <w:pageBreakBefore w:val="0"/>
        <w:shd w:val="clear"/>
        <w:tabs>
          <w:tab w:val="left" w:pos="480"/>
        </w:tabs>
        <w:kinsoku/>
        <w:overflowPunct/>
        <w:topLinePunct w:val="0"/>
        <w:bidi w:val="0"/>
        <w:spacing w:line="400" w:lineRule="exact"/>
        <w:rPr>
          <w:rFonts w:hint="eastAsia" w:ascii="仿宋" w:hAnsi="仿宋" w:eastAsia="仿宋" w:cs="仿宋"/>
          <w:color w:val="auto"/>
          <w:sz w:val="24"/>
          <w:highlight w:val="none"/>
        </w:rPr>
      </w:pPr>
      <w:r>
        <w:rPr>
          <w:rFonts w:hint="eastAsia" w:ascii="仿宋" w:hAnsi="仿宋" w:eastAsia="仿宋" w:cs="仿宋"/>
          <w:color w:val="auto"/>
          <w:sz w:val="24"/>
          <w:highlight w:val="none"/>
        </w:rPr>
        <w:t>地  址：                                    地  址：xxxx</w:t>
      </w:r>
    </w:p>
    <w:p w14:paraId="0943A45C">
      <w:pPr>
        <w:pageBreakBefore w:val="0"/>
        <w:shd w:val="clear"/>
        <w:tabs>
          <w:tab w:val="left" w:pos="480"/>
        </w:tabs>
        <w:kinsoku/>
        <w:overflowPunct/>
        <w:topLinePunct w:val="0"/>
        <w:bidi w:val="0"/>
        <w:spacing w:line="400" w:lineRule="exact"/>
        <w:rPr>
          <w:rFonts w:hint="eastAsia" w:ascii="仿宋" w:hAnsi="仿宋" w:eastAsia="仿宋" w:cs="仿宋"/>
          <w:color w:val="auto"/>
          <w:sz w:val="24"/>
          <w:highlight w:val="none"/>
        </w:rPr>
      </w:pPr>
      <w:r>
        <w:rPr>
          <w:rFonts w:hint="eastAsia" w:ascii="仿宋" w:hAnsi="仿宋" w:eastAsia="仿宋" w:cs="仿宋"/>
          <w:color w:val="auto"/>
          <w:sz w:val="24"/>
          <w:highlight w:val="none"/>
        </w:rPr>
        <w:t xml:space="preserve">法定代表人：（签字）                        法定代表人：（签字） </w:t>
      </w:r>
    </w:p>
    <w:p w14:paraId="39039DF5">
      <w:pPr>
        <w:pageBreakBefore w:val="0"/>
        <w:shd w:val="clear"/>
        <w:tabs>
          <w:tab w:val="left" w:pos="480"/>
        </w:tabs>
        <w:kinsoku/>
        <w:overflowPunct/>
        <w:topLinePunct w:val="0"/>
        <w:bidi w:val="0"/>
        <w:spacing w:line="400" w:lineRule="exact"/>
        <w:rPr>
          <w:rFonts w:hint="eastAsia" w:ascii="仿宋" w:hAnsi="仿宋" w:eastAsia="仿宋" w:cs="仿宋"/>
          <w:color w:val="auto"/>
          <w:sz w:val="24"/>
          <w:highlight w:val="none"/>
        </w:rPr>
      </w:pPr>
      <w:r>
        <w:rPr>
          <w:rFonts w:hint="eastAsia" w:ascii="仿宋" w:hAnsi="仿宋" w:eastAsia="仿宋" w:cs="仿宋"/>
          <w:color w:val="auto"/>
          <w:sz w:val="24"/>
          <w:highlight w:val="none"/>
        </w:rPr>
        <w:t>代理人：（签字）                            代理人：（签字）</w:t>
      </w:r>
    </w:p>
    <w:p w14:paraId="07344384">
      <w:pPr>
        <w:pageBreakBefore w:val="0"/>
        <w:shd w:val="clear"/>
        <w:tabs>
          <w:tab w:val="left" w:pos="480"/>
        </w:tabs>
        <w:kinsoku/>
        <w:overflowPunct/>
        <w:topLinePunct w:val="0"/>
        <w:bidi w:val="0"/>
        <w:spacing w:line="400" w:lineRule="exact"/>
        <w:rPr>
          <w:rFonts w:hint="eastAsia" w:ascii="仿宋" w:hAnsi="仿宋" w:eastAsia="仿宋" w:cs="仿宋"/>
          <w:color w:val="auto"/>
          <w:sz w:val="24"/>
          <w:highlight w:val="none"/>
        </w:rPr>
      </w:pPr>
      <w:r>
        <w:rPr>
          <w:rFonts w:hint="eastAsia" w:ascii="仿宋" w:hAnsi="仿宋" w:eastAsia="仿宋" w:cs="仿宋"/>
          <w:color w:val="auto"/>
          <w:sz w:val="24"/>
          <w:highlight w:val="none"/>
        </w:rPr>
        <w:t>经办人：                                   开户银行:xxxx</w:t>
      </w:r>
    </w:p>
    <w:p w14:paraId="703DF7A5">
      <w:pPr>
        <w:pageBreakBefore w:val="0"/>
        <w:shd w:val="clear"/>
        <w:tabs>
          <w:tab w:val="left" w:pos="480"/>
        </w:tabs>
        <w:kinsoku/>
        <w:overflowPunct/>
        <w:topLinePunct w:val="0"/>
        <w:bidi w:val="0"/>
        <w:spacing w:line="400" w:lineRule="exact"/>
        <w:ind w:firstLine="5160" w:firstLineChars="2150"/>
        <w:rPr>
          <w:rFonts w:hint="eastAsia" w:ascii="仿宋" w:hAnsi="仿宋" w:eastAsia="仿宋" w:cs="仿宋"/>
          <w:color w:val="auto"/>
          <w:sz w:val="24"/>
          <w:highlight w:val="none"/>
        </w:rPr>
      </w:pPr>
      <w:r>
        <w:rPr>
          <w:rFonts w:hint="eastAsia" w:ascii="仿宋" w:hAnsi="仿宋" w:eastAsia="仿宋" w:cs="仿宋"/>
          <w:color w:val="auto"/>
          <w:sz w:val="24"/>
          <w:highlight w:val="none"/>
        </w:rPr>
        <w:t>帐    号：xxxx</w:t>
      </w:r>
    </w:p>
    <w:p w14:paraId="64332C79">
      <w:pPr>
        <w:pageBreakBefore w:val="0"/>
        <w:shd w:val="clear"/>
        <w:tabs>
          <w:tab w:val="left" w:pos="480"/>
        </w:tabs>
        <w:kinsoku/>
        <w:overflowPunct/>
        <w:topLinePunct w:val="0"/>
        <w:bidi w:val="0"/>
        <w:spacing w:line="400" w:lineRule="exact"/>
        <w:rPr>
          <w:rFonts w:hint="eastAsia" w:ascii="仿宋" w:hAnsi="仿宋" w:eastAsia="仿宋" w:cs="仿宋"/>
          <w:color w:val="auto"/>
          <w:sz w:val="24"/>
          <w:highlight w:val="none"/>
        </w:rPr>
      </w:pPr>
      <w:r>
        <w:rPr>
          <w:rFonts w:hint="eastAsia" w:ascii="仿宋" w:hAnsi="仿宋" w:eastAsia="仿宋" w:cs="仿宋"/>
          <w:color w:val="auto"/>
          <w:sz w:val="24"/>
          <w:highlight w:val="none"/>
        </w:rPr>
        <w:t>签订日期：202</w:t>
      </w:r>
      <w:r>
        <w:rPr>
          <w:rFonts w:hint="eastAsia" w:ascii="仿宋" w:hAnsi="仿宋" w:eastAsia="仿宋" w:cs="仿宋"/>
          <w:color w:val="auto"/>
          <w:sz w:val="24"/>
          <w:highlight w:val="none"/>
          <w:lang w:val="en-US" w:eastAsia="zh-CN"/>
        </w:rPr>
        <w:t>5</w:t>
      </w:r>
      <w:r>
        <w:rPr>
          <w:rFonts w:hint="eastAsia" w:ascii="仿宋" w:hAnsi="仿宋" w:eastAsia="仿宋" w:cs="仿宋"/>
          <w:color w:val="auto"/>
          <w:sz w:val="24"/>
          <w:highlight w:val="none"/>
        </w:rPr>
        <w:t>年  月  日                   签订日期：202</w:t>
      </w:r>
      <w:r>
        <w:rPr>
          <w:rFonts w:hint="eastAsia" w:ascii="仿宋" w:hAnsi="仿宋" w:eastAsia="仿宋" w:cs="仿宋"/>
          <w:color w:val="auto"/>
          <w:sz w:val="24"/>
          <w:highlight w:val="none"/>
          <w:lang w:val="en-US" w:eastAsia="zh-CN"/>
        </w:rPr>
        <w:t>5</w:t>
      </w:r>
      <w:r>
        <w:rPr>
          <w:rFonts w:hint="eastAsia" w:ascii="仿宋" w:hAnsi="仿宋" w:eastAsia="仿宋" w:cs="仿宋"/>
          <w:color w:val="auto"/>
          <w:sz w:val="24"/>
          <w:highlight w:val="none"/>
        </w:rPr>
        <w:t>年  月  日</w:t>
      </w:r>
    </w:p>
    <w:p w14:paraId="32726475">
      <w:pPr>
        <w:pStyle w:val="7"/>
        <w:shd w:val="clear"/>
        <w:rPr>
          <w:rFonts w:hint="eastAsia"/>
          <w:color w:val="auto"/>
          <w:highlight w:val="none"/>
          <w:lang w:val="en-US" w:eastAsia="zh-Hans"/>
        </w:rPr>
      </w:pPr>
    </w:p>
    <w:p w14:paraId="3B22CE30">
      <w:pPr>
        <w:shd w:val="clear"/>
        <w:rPr>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1678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annotation text"/>
    <w:basedOn w:val="1"/>
    <w:qFormat/>
    <w:uiPriority w:val="99"/>
    <w:pPr>
      <w:jc w:val="left"/>
    </w:pPr>
  </w:style>
  <w:style w:type="paragraph" w:styleId="3">
    <w:name w:val="Body Text"/>
    <w:basedOn w:val="1"/>
    <w:next w:val="1"/>
    <w:qFormat/>
    <w:uiPriority w:val="0"/>
    <w:pPr>
      <w:tabs>
        <w:tab w:val="left" w:pos="567"/>
      </w:tabs>
      <w:spacing w:before="120" w:line="22" w:lineRule="atLeast"/>
    </w:pPr>
    <w:rPr>
      <w:rFonts w:ascii="宋体" w:hAnsi="宋体"/>
      <w:sz w:val="24"/>
    </w:rPr>
  </w:style>
  <w:style w:type="paragraph" w:styleId="4">
    <w:name w:val="footer"/>
    <w:basedOn w:val="1"/>
    <w:qFormat/>
    <w:uiPriority w:val="0"/>
    <w:pPr>
      <w:tabs>
        <w:tab w:val="center" w:pos="4153"/>
        <w:tab w:val="right" w:pos="8306"/>
      </w:tabs>
      <w:snapToGrid w:val="0"/>
      <w:jc w:val="left"/>
    </w:pPr>
    <w:rPr>
      <w:sz w:val="18"/>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2025-12-24T10:50:43Z</dcterms:created>
  <dc:creator>Administrator</dc:creator>
  <cp:lastModifiedBy>WPS_1526284077</cp:lastModifiedBy>
  <dcterms:modified xsi:type="dcterms:W3CDTF">2025-12-24T10:51:17Z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eyJoZGlkIjoiN2M0NTdjYmM1YjY4OGU5YTNhODc4MDEyNDYzOWU1MWQiLCJ1c2VySWQiOiIzNzA0MjM3MzgifQ==</vt:lpwstr>
  </property>
  <property fmtid="{D5CDD505-2E9C-101B-9397-08002B2CF9AE}" pid="4" name="ICV">
    <vt:lpwstr>DCDC3FEDE1EA4D75AA127337C1A6F896_12</vt:lpwstr>
  </property>
</Properties>
</file>