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696395">
      <w:pPr>
        <w:rPr>
          <w:rFonts w:hint="eastAsia" w:ascii="黑体" w:eastAsia="黑体"/>
          <w:sz w:val="30"/>
          <w:szCs w:val="30"/>
        </w:rPr>
      </w:pPr>
      <w:r>
        <w:rPr>
          <w:rFonts w:hint="eastAsia" w:ascii="黑体" w:eastAsia="黑体"/>
          <w:sz w:val="30"/>
          <w:szCs w:val="30"/>
        </w:rPr>
        <w:t>政府采购项目</w:t>
      </w:r>
    </w:p>
    <w:p w14:paraId="009B2EFC">
      <w:pPr>
        <w:jc w:val="center"/>
        <w:rPr>
          <w:rFonts w:hint="eastAsia" w:ascii="黑体" w:eastAsia="黑体"/>
          <w:sz w:val="44"/>
          <w:szCs w:val="44"/>
        </w:rPr>
      </w:pPr>
    </w:p>
    <w:p w14:paraId="25795948">
      <w:pPr>
        <w:jc w:val="center"/>
        <w:rPr>
          <w:rFonts w:hint="eastAsia" w:ascii="宋体" w:hAnsi="宋体" w:eastAsia="宋体"/>
          <w:b/>
          <w:sz w:val="44"/>
          <w:szCs w:val="44"/>
          <w:lang w:eastAsia="zh-CN"/>
        </w:rPr>
      </w:pPr>
      <w:r>
        <w:rPr>
          <w:rFonts w:hint="eastAsia" w:ascii="宋体" w:hAnsi="宋体"/>
          <w:b/>
          <w:sz w:val="44"/>
          <w:szCs w:val="44"/>
          <w:lang w:eastAsia="zh-CN"/>
        </w:rPr>
        <w:t>治安信息系统硬件、通用软件和基础环境运维项目</w:t>
      </w:r>
    </w:p>
    <w:p w14:paraId="65FA3F70">
      <w:pPr>
        <w:jc w:val="center"/>
        <w:rPr>
          <w:rFonts w:hint="eastAsia" w:ascii="宋体" w:hAnsi="宋体"/>
          <w:b/>
          <w:sz w:val="30"/>
          <w:szCs w:val="30"/>
        </w:rPr>
      </w:pPr>
      <w:r>
        <w:rPr>
          <w:rFonts w:hint="eastAsia" w:ascii="宋体" w:hAnsi="宋体"/>
          <w:b/>
          <w:sz w:val="30"/>
          <w:szCs w:val="30"/>
        </w:rPr>
        <w:t>（项目编号：</w:t>
      </w:r>
      <w:r>
        <w:rPr>
          <w:rFonts w:hint="eastAsia" w:ascii="宋体" w:hAnsi="宋体"/>
          <w:b/>
          <w:sz w:val="30"/>
          <w:szCs w:val="30"/>
          <w:lang w:eastAsia="zh-CN"/>
        </w:rPr>
        <w:t>SX-JSZB(2025)-021</w:t>
      </w:r>
      <w:r>
        <w:rPr>
          <w:rFonts w:hint="eastAsia" w:ascii="宋体" w:hAnsi="宋体"/>
          <w:b/>
          <w:sz w:val="30"/>
          <w:szCs w:val="30"/>
        </w:rPr>
        <w:t>）</w:t>
      </w:r>
    </w:p>
    <w:p w14:paraId="289CF4A4">
      <w:pPr>
        <w:jc w:val="center"/>
        <w:outlineLvl w:val="0"/>
        <w:rPr>
          <w:rFonts w:hint="eastAsia" w:ascii="黑体" w:eastAsia="黑体"/>
          <w:b/>
          <w:sz w:val="72"/>
          <w:szCs w:val="72"/>
        </w:rPr>
      </w:pPr>
    </w:p>
    <w:p w14:paraId="631548A3">
      <w:pPr>
        <w:jc w:val="center"/>
        <w:outlineLvl w:val="0"/>
        <w:rPr>
          <w:rFonts w:hint="eastAsia" w:ascii="黑体" w:eastAsia="黑体"/>
          <w:b/>
          <w:sz w:val="72"/>
          <w:szCs w:val="72"/>
        </w:rPr>
      </w:pPr>
      <w:r>
        <w:rPr>
          <w:rFonts w:hint="eastAsia" w:ascii="黑体" w:eastAsia="黑体"/>
          <w:b/>
          <w:sz w:val="72"/>
          <w:szCs w:val="72"/>
        </w:rPr>
        <w:t>合 同</w:t>
      </w:r>
    </w:p>
    <w:p w14:paraId="5645CC9D">
      <w:pPr>
        <w:jc w:val="center"/>
        <w:rPr>
          <w:rFonts w:hint="eastAsia" w:ascii="黑体" w:eastAsia="黑体"/>
          <w:b/>
          <w:sz w:val="30"/>
          <w:szCs w:val="30"/>
        </w:rPr>
      </w:pPr>
    </w:p>
    <w:p w14:paraId="474E5F87">
      <w:pPr>
        <w:jc w:val="center"/>
        <w:rPr>
          <w:rFonts w:hint="eastAsia" w:ascii="黑体" w:eastAsia="黑体"/>
          <w:b/>
          <w:sz w:val="30"/>
          <w:szCs w:val="30"/>
        </w:rPr>
      </w:pPr>
    </w:p>
    <w:p w14:paraId="40C1AFC0">
      <w:pPr>
        <w:jc w:val="center"/>
        <w:rPr>
          <w:rFonts w:hint="eastAsia" w:ascii="黑体" w:eastAsia="黑体"/>
          <w:sz w:val="30"/>
          <w:szCs w:val="30"/>
        </w:rPr>
      </w:pPr>
    </w:p>
    <w:p w14:paraId="1FDB422E">
      <w:pPr>
        <w:jc w:val="center"/>
        <w:rPr>
          <w:rFonts w:hint="eastAsia" w:ascii="黑体" w:eastAsia="黑体"/>
          <w:sz w:val="30"/>
          <w:szCs w:val="30"/>
        </w:rPr>
      </w:pPr>
    </w:p>
    <w:p w14:paraId="2B6D9477">
      <w:pPr>
        <w:tabs>
          <w:tab w:val="left" w:pos="480"/>
        </w:tabs>
        <w:ind w:firstLine="1920" w:firstLineChars="600"/>
        <w:rPr>
          <w:rFonts w:hint="eastAsia" w:ascii="黑体" w:eastAsia="黑体"/>
          <w:sz w:val="32"/>
          <w:szCs w:val="32"/>
        </w:rPr>
      </w:pPr>
      <w:r>
        <w:rPr>
          <w:rFonts w:hint="eastAsia" w:ascii="黑体" w:eastAsia="黑体"/>
          <w:sz w:val="32"/>
          <w:szCs w:val="32"/>
        </w:rPr>
        <w:t xml:space="preserve">甲  方：陕西省公安厅 </w:t>
      </w:r>
    </w:p>
    <w:p w14:paraId="0A98D002">
      <w:pPr>
        <w:tabs>
          <w:tab w:val="left" w:pos="480"/>
        </w:tabs>
        <w:ind w:firstLine="640" w:firstLineChars="200"/>
        <w:rPr>
          <w:rFonts w:hint="eastAsia" w:ascii="黑体" w:eastAsia="黑体"/>
          <w:sz w:val="32"/>
          <w:szCs w:val="32"/>
          <w:lang w:eastAsia="zh-CN"/>
        </w:rPr>
      </w:pPr>
      <w:r>
        <w:rPr>
          <w:rFonts w:hint="eastAsia" w:ascii="黑体" w:eastAsia="黑体"/>
          <w:sz w:val="32"/>
          <w:szCs w:val="32"/>
        </w:rPr>
        <w:t xml:space="preserve">        乙  方：</w:t>
      </w:r>
    </w:p>
    <w:p w14:paraId="1983AAD2">
      <w:pPr>
        <w:jc w:val="center"/>
        <w:rPr>
          <w:rFonts w:hint="eastAsia" w:ascii="黑体" w:eastAsia="黑体"/>
          <w:sz w:val="32"/>
          <w:szCs w:val="32"/>
        </w:rPr>
      </w:pPr>
      <w:r>
        <w:rPr>
          <w:rFonts w:hint="eastAsia" w:ascii="黑体" w:eastAsia="黑体"/>
          <w:sz w:val="32"/>
          <w:szCs w:val="32"/>
        </w:rPr>
        <w:t xml:space="preserve">  </w:t>
      </w:r>
    </w:p>
    <w:p w14:paraId="5EFAA528">
      <w:pPr>
        <w:jc w:val="center"/>
        <w:rPr>
          <w:rFonts w:hint="eastAsia" w:ascii="黑体" w:eastAsia="黑体"/>
          <w:sz w:val="32"/>
          <w:szCs w:val="32"/>
        </w:rPr>
      </w:pPr>
    </w:p>
    <w:p w14:paraId="6E785812">
      <w:pPr>
        <w:jc w:val="center"/>
        <w:rPr>
          <w:rFonts w:hint="eastAsia" w:ascii="黑体" w:eastAsia="黑体"/>
          <w:sz w:val="32"/>
          <w:szCs w:val="32"/>
        </w:rPr>
      </w:pPr>
    </w:p>
    <w:p w14:paraId="0C0BAB48">
      <w:pPr>
        <w:jc w:val="center"/>
        <w:rPr>
          <w:rFonts w:hint="eastAsia" w:ascii="黑体" w:eastAsia="黑体"/>
          <w:sz w:val="32"/>
          <w:szCs w:val="32"/>
        </w:rPr>
      </w:pPr>
      <w:r>
        <w:rPr>
          <w:rFonts w:hint="eastAsia" w:ascii="黑体" w:eastAsia="黑体"/>
          <w:sz w:val="32"/>
          <w:szCs w:val="32"/>
        </w:rPr>
        <w:t xml:space="preserve"> </w:t>
      </w:r>
    </w:p>
    <w:p w14:paraId="1CB2E279">
      <w:pPr>
        <w:jc w:val="center"/>
        <w:rPr>
          <w:rFonts w:hint="eastAsia" w:ascii="黑体" w:eastAsia="黑体"/>
          <w:sz w:val="32"/>
          <w:szCs w:val="32"/>
        </w:rPr>
      </w:pPr>
      <w:r>
        <w:rPr>
          <w:rFonts w:hint="eastAsia" w:ascii="黑体" w:eastAsia="黑体"/>
          <w:sz w:val="32"/>
          <w:szCs w:val="32"/>
        </w:rPr>
        <w:t xml:space="preserve">      </w:t>
      </w:r>
    </w:p>
    <w:p w14:paraId="42BB7C6E">
      <w:pPr>
        <w:rPr>
          <w:rFonts w:hint="eastAsia" w:ascii="黑体" w:eastAsia="黑体"/>
          <w:sz w:val="32"/>
          <w:szCs w:val="32"/>
        </w:rPr>
      </w:pPr>
      <w:r>
        <w:rPr>
          <w:rFonts w:hint="eastAsia" w:ascii="黑体" w:eastAsia="黑体"/>
          <w:sz w:val="32"/>
          <w:szCs w:val="32"/>
        </w:rPr>
        <w:t xml:space="preserve"> </w:t>
      </w:r>
    </w:p>
    <w:p w14:paraId="39F87538">
      <w:pPr>
        <w:jc w:val="center"/>
        <w:rPr>
          <w:rFonts w:hint="eastAsia" w:ascii="黑体" w:eastAsia="黑体"/>
          <w:sz w:val="32"/>
          <w:szCs w:val="32"/>
        </w:rPr>
      </w:pPr>
      <w:r>
        <w:rPr>
          <w:rFonts w:hint="eastAsia" w:ascii="黑体" w:eastAsia="黑体"/>
          <w:sz w:val="32"/>
          <w:szCs w:val="32"/>
          <w:lang w:val="en-US" w:eastAsia="zh-CN"/>
        </w:rPr>
        <w:t xml:space="preserve">    </w:t>
      </w:r>
      <w:r>
        <w:rPr>
          <w:rFonts w:hint="eastAsia" w:ascii="黑体" w:eastAsia="黑体"/>
          <w:sz w:val="32"/>
          <w:szCs w:val="32"/>
        </w:rPr>
        <w:t>年</w:t>
      </w:r>
      <w:r>
        <w:rPr>
          <w:rFonts w:hint="eastAsia" w:ascii="黑体" w:eastAsia="黑体"/>
          <w:sz w:val="32"/>
          <w:szCs w:val="32"/>
          <w:lang w:val="en-US" w:eastAsia="zh-CN"/>
        </w:rPr>
        <w:t xml:space="preserve">   </w:t>
      </w:r>
      <w:r>
        <w:rPr>
          <w:rFonts w:hint="eastAsia" w:ascii="黑体" w:eastAsia="黑体"/>
          <w:sz w:val="32"/>
          <w:szCs w:val="32"/>
        </w:rPr>
        <w:t>月</w:t>
      </w:r>
    </w:p>
    <w:p w14:paraId="4ADE53ED">
      <w:pPr>
        <w:jc w:val="center"/>
        <w:rPr>
          <w:rFonts w:hint="eastAsia" w:ascii="黑体" w:eastAsia="黑体"/>
          <w:sz w:val="32"/>
          <w:szCs w:val="32"/>
        </w:rPr>
      </w:pPr>
      <w:r>
        <w:rPr>
          <w:rFonts w:hint="eastAsia" w:ascii="黑体" w:eastAsia="黑体"/>
          <w:sz w:val="32"/>
          <w:szCs w:val="32"/>
        </w:rPr>
        <w:t>中国  西安</w:t>
      </w:r>
    </w:p>
    <w:p w14:paraId="20A2DA8D">
      <w:pPr>
        <w:jc w:val="center"/>
        <w:outlineLvl w:val="0"/>
        <w:rPr>
          <w:rFonts w:hint="eastAsia" w:ascii="黑体" w:eastAsia="黑体"/>
          <w:b/>
          <w:sz w:val="44"/>
          <w:szCs w:val="44"/>
        </w:rPr>
      </w:pPr>
      <w:r>
        <w:rPr>
          <w:rFonts w:hint="eastAsia" w:ascii="黑体" w:eastAsia="黑体"/>
          <w:b/>
          <w:sz w:val="44"/>
          <w:szCs w:val="44"/>
        </w:rPr>
        <w:br w:type="page"/>
      </w:r>
      <w:r>
        <w:rPr>
          <w:rFonts w:hint="eastAsia" w:ascii="黑体" w:eastAsia="黑体"/>
          <w:b/>
          <w:sz w:val="44"/>
          <w:szCs w:val="44"/>
        </w:rPr>
        <w:t>运维服务合同</w:t>
      </w:r>
    </w:p>
    <w:p w14:paraId="585402D6">
      <w:pPr>
        <w:pStyle w:val="9"/>
        <w:ind w:firstLine="560" w:firstLineChars="200"/>
        <w:jc w:val="left"/>
        <w:rPr>
          <w:rFonts w:hint="eastAsia"/>
          <w:sz w:val="28"/>
          <w:szCs w:val="28"/>
        </w:rPr>
      </w:pPr>
      <w:r>
        <w:rPr>
          <w:rFonts w:hint="eastAsia"/>
          <w:sz w:val="28"/>
          <w:szCs w:val="28"/>
          <w:u w:val="single"/>
          <w:lang w:eastAsia="zh-CN"/>
        </w:rPr>
        <w:t>治安信息系统硬件、通用软件和基础环境运维项目</w:t>
      </w:r>
      <w:r>
        <w:rPr>
          <w:rFonts w:hint="eastAsia"/>
          <w:sz w:val="28"/>
          <w:szCs w:val="28"/>
          <w:u w:val="single"/>
        </w:rPr>
        <w:t>，</w:t>
      </w:r>
      <w:r>
        <w:rPr>
          <w:rFonts w:hint="eastAsia"/>
          <w:sz w:val="28"/>
          <w:szCs w:val="28"/>
        </w:rPr>
        <w:t>由</w:t>
      </w:r>
      <w:r>
        <w:rPr>
          <w:rFonts w:hint="eastAsia"/>
          <w:sz w:val="28"/>
          <w:szCs w:val="28"/>
          <w:u w:val="single"/>
          <w:lang w:val="en-US" w:eastAsia="zh-CN"/>
        </w:rPr>
        <w:t>陕西巨思项目管理有限公司</w:t>
      </w:r>
      <w:r>
        <w:rPr>
          <w:rFonts w:hint="eastAsia"/>
          <w:sz w:val="28"/>
          <w:szCs w:val="28"/>
        </w:rPr>
        <w:t>按照政府采购流程组织招标，确定为该项目的中标单位。根据《中华人民共和国民法典》、《中华人民共和国政府采购法》、《中华人民共和国招标投标法》等法律法规以及本项目招投标有关文件，陕西省公安厅（以下简称甲方）与（以下简称乙方），经充分协商，本着诚实信用的原则签订本合同。</w:t>
      </w:r>
    </w:p>
    <w:p w14:paraId="70BF0C86">
      <w:pPr>
        <w:tabs>
          <w:tab w:val="left" w:pos="480"/>
        </w:tabs>
        <w:ind w:firstLine="640" w:firstLineChars="200"/>
        <w:outlineLvl w:val="0"/>
        <w:rPr>
          <w:rFonts w:hint="eastAsia" w:ascii="宋体" w:hAnsi="宋体"/>
          <w:b/>
          <w:sz w:val="32"/>
          <w:szCs w:val="32"/>
        </w:rPr>
      </w:pPr>
      <w:r>
        <w:rPr>
          <w:rFonts w:hint="eastAsia" w:ascii="宋体" w:hAnsi="宋体"/>
          <w:b/>
          <w:sz w:val="32"/>
          <w:szCs w:val="32"/>
        </w:rPr>
        <w:t>一、合同内容</w:t>
      </w:r>
    </w:p>
    <w:p w14:paraId="3D09C4C9">
      <w:pPr>
        <w:ind w:left="210" w:leftChars="100" w:firstLine="420"/>
        <w:rPr>
          <w:rFonts w:hint="default" w:hAnsi="宋体" w:eastAsia="宋体"/>
          <w:sz w:val="28"/>
          <w:szCs w:val="28"/>
          <w:lang w:val="en-US" w:eastAsia="zh-CN"/>
        </w:rPr>
      </w:pPr>
      <w:r>
        <w:rPr>
          <w:rFonts w:hint="eastAsia" w:hAnsi="宋体"/>
          <w:sz w:val="28"/>
          <w:szCs w:val="28"/>
        </w:rPr>
        <w:t>该项目全面提升陕西省公安厅治安管理局户籍及居民身份证系统的整体效能，提升基础环境、硬件和基础软件的可靠性、稳定性，降低系统整体风险，达到系统状态可知、故障及时处理，为业务系统提供有效基础支撑，确保各业务系统安全、稳定、高效运行。项目合同编号为：</w:t>
      </w:r>
      <w:r>
        <w:rPr>
          <w:rFonts w:hint="eastAsia" w:hAnsi="宋体"/>
          <w:sz w:val="28"/>
          <w:szCs w:val="28"/>
          <w:lang w:eastAsia="zh-CN"/>
        </w:rPr>
        <w:t>SX-JSZB(2025)-021</w:t>
      </w:r>
      <w:r>
        <w:rPr>
          <w:rFonts w:hint="eastAsia" w:hAnsi="宋体"/>
          <w:sz w:val="28"/>
          <w:szCs w:val="28"/>
        </w:rPr>
        <w:t>，乙方统一社会信用代码：</w:t>
      </w:r>
      <w:r>
        <w:rPr>
          <w:rFonts w:hint="eastAsia" w:hAnsi="宋体"/>
          <w:sz w:val="28"/>
          <w:szCs w:val="28"/>
          <w:lang w:val="en-US" w:eastAsia="zh-CN"/>
        </w:rPr>
        <w:t xml:space="preserve">  </w:t>
      </w:r>
    </w:p>
    <w:p w14:paraId="2578CDD5">
      <w:pPr>
        <w:numPr>
          <w:ilvl w:val="0"/>
          <w:numId w:val="1"/>
        </w:numPr>
        <w:tabs>
          <w:tab w:val="left" w:pos="480"/>
        </w:tabs>
        <w:outlineLvl w:val="0"/>
        <w:rPr>
          <w:rFonts w:hint="eastAsia" w:ascii="宋体" w:hAnsi="宋体"/>
          <w:b/>
          <w:sz w:val="32"/>
          <w:szCs w:val="32"/>
        </w:rPr>
      </w:pPr>
      <w:r>
        <w:rPr>
          <w:rFonts w:hint="eastAsia" w:ascii="宋体" w:hAnsi="宋体"/>
          <w:b/>
          <w:sz w:val="32"/>
          <w:szCs w:val="32"/>
        </w:rPr>
        <w:t>合同价款</w:t>
      </w:r>
    </w:p>
    <w:p w14:paraId="36664344">
      <w:pPr>
        <w:tabs>
          <w:tab w:val="left" w:pos="0"/>
        </w:tabs>
        <w:adjustRightInd w:val="0"/>
        <w:snapToGrid w:val="0"/>
        <w:spacing w:line="360" w:lineRule="auto"/>
        <w:ind w:firstLine="560" w:firstLineChars="200"/>
        <w:rPr>
          <w:rFonts w:hint="eastAsia" w:ascii="宋体" w:hAnsi="宋体"/>
          <w:sz w:val="28"/>
          <w:szCs w:val="28"/>
        </w:rPr>
      </w:pPr>
      <w:r>
        <w:rPr>
          <w:rFonts w:hint="eastAsia" w:ascii="宋体" w:hAnsi="宋体"/>
          <w:sz w:val="28"/>
          <w:szCs w:val="28"/>
        </w:rPr>
        <w:t>1、合同价款（含税）为</w:t>
      </w:r>
      <w:r>
        <w:rPr>
          <w:rFonts w:hint="eastAsia" w:ascii="宋体" w:hAnsi="宋体"/>
          <w:b/>
          <w:sz w:val="28"/>
          <w:szCs w:val="28"/>
          <w:u w:val="single"/>
        </w:rPr>
        <w:t>人民币大写：</w:t>
      </w:r>
      <w:r>
        <w:rPr>
          <w:rFonts w:hint="eastAsia" w:ascii="宋体" w:hAnsi="宋体"/>
          <w:b/>
          <w:sz w:val="28"/>
          <w:szCs w:val="28"/>
          <w:u w:val="single"/>
          <w:lang w:val="en-US" w:eastAsia="zh-CN"/>
        </w:rPr>
        <w:t xml:space="preserve">    </w:t>
      </w:r>
      <w:r>
        <w:rPr>
          <w:rFonts w:hint="eastAsia" w:ascii="宋体" w:hAnsi="宋体"/>
          <w:b/>
          <w:sz w:val="28"/>
          <w:szCs w:val="28"/>
          <w:u w:val="single"/>
        </w:rPr>
        <w:t>，（小写：￥</w:t>
      </w:r>
      <w:r>
        <w:rPr>
          <w:rFonts w:hint="eastAsia" w:ascii="宋体" w:hAnsi="宋体"/>
          <w:b/>
          <w:sz w:val="28"/>
          <w:szCs w:val="28"/>
          <w:u w:val="single"/>
          <w:lang w:val="en-US" w:eastAsia="zh-CN"/>
        </w:rPr>
        <w:t xml:space="preserve">    </w:t>
      </w:r>
      <w:r>
        <w:rPr>
          <w:rFonts w:hint="eastAsia" w:ascii="宋体" w:hAnsi="宋体"/>
          <w:b/>
          <w:sz w:val="28"/>
          <w:szCs w:val="28"/>
          <w:u w:val="single"/>
        </w:rPr>
        <w:t>），税率比例</w:t>
      </w:r>
      <w:r>
        <w:rPr>
          <w:rFonts w:hint="eastAsia" w:ascii="宋体" w:hAnsi="宋体"/>
          <w:b/>
          <w:sz w:val="28"/>
          <w:szCs w:val="28"/>
          <w:u w:val="single"/>
          <w:lang w:val="en-US" w:eastAsia="zh-CN"/>
        </w:rPr>
        <w:t xml:space="preserve">   </w:t>
      </w:r>
      <w:r>
        <w:rPr>
          <w:rFonts w:hint="eastAsia" w:ascii="宋体" w:hAnsi="宋体"/>
          <w:b/>
          <w:sz w:val="28"/>
          <w:szCs w:val="28"/>
          <w:u w:val="single"/>
        </w:rPr>
        <w:t>%。</w:t>
      </w:r>
      <w:r>
        <w:rPr>
          <w:rFonts w:hint="eastAsia" w:ascii="宋体" w:hAnsi="宋体"/>
          <w:sz w:val="28"/>
          <w:szCs w:val="28"/>
        </w:rPr>
        <w:t>项目合同价款采用总价合同，即成交供应商的投标具体内容及其中标总金额不受市场和工作量变化的影响。</w:t>
      </w:r>
    </w:p>
    <w:p w14:paraId="646DB722">
      <w:pPr>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合同总价为</w:t>
      </w:r>
      <w:r>
        <w:rPr>
          <w:rFonts w:hint="eastAsia" w:ascii="宋体" w:hAnsi="宋体"/>
          <w:sz w:val="28"/>
          <w:szCs w:val="28"/>
        </w:rPr>
        <w:t>所有设备到达正常使用条件下的所有费用</w:t>
      </w:r>
      <w:r>
        <w:rPr>
          <w:rFonts w:ascii="宋体" w:hAnsi="宋体"/>
          <w:sz w:val="28"/>
          <w:szCs w:val="28"/>
        </w:rPr>
        <w:t>，包括：</w:t>
      </w:r>
      <w:r>
        <w:rPr>
          <w:rFonts w:hint="eastAsia" w:ascii="宋体" w:hAnsi="宋体"/>
          <w:sz w:val="28"/>
          <w:szCs w:val="28"/>
        </w:rPr>
        <w:t>项目的维保服务费、技术服务人员劳务及管理费、备品设备及材料</w:t>
      </w:r>
      <w:r>
        <w:rPr>
          <w:rFonts w:ascii="宋体" w:hAnsi="宋体"/>
          <w:sz w:val="28"/>
          <w:szCs w:val="28"/>
        </w:rPr>
        <w:t>供应费、运杂费（含仓储、保险、装卸费）、</w:t>
      </w:r>
      <w:r>
        <w:rPr>
          <w:rFonts w:hint="eastAsia" w:ascii="宋体" w:hAnsi="宋体"/>
          <w:sz w:val="28"/>
          <w:szCs w:val="28"/>
        </w:rPr>
        <w:t>培训费、</w:t>
      </w:r>
      <w:r>
        <w:rPr>
          <w:rFonts w:ascii="宋体" w:hAnsi="宋体"/>
          <w:sz w:val="28"/>
          <w:szCs w:val="28"/>
        </w:rPr>
        <w:t>安装调试费</w:t>
      </w:r>
      <w:r>
        <w:rPr>
          <w:rFonts w:hint="eastAsia" w:ascii="宋体" w:hAnsi="宋体"/>
          <w:sz w:val="28"/>
          <w:szCs w:val="28"/>
        </w:rPr>
        <w:t>等乙方完成本合同所需全部费用。</w:t>
      </w:r>
    </w:p>
    <w:p w14:paraId="1F564156">
      <w:pPr>
        <w:ind w:firstLine="560" w:firstLineChars="200"/>
        <w:rPr>
          <w:rFonts w:hint="eastAsia" w:ascii="宋体" w:hAnsi="宋体"/>
          <w:sz w:val="28"/>
          <w:szCs w:val="28"/>
        </w:rPr>
      </w:pPr>
      <w:r>
        <w:rPr>
          <w:rFonts w:hint="eastAsia" w:ascii="宋体" w:hAnsi="宋体"/>
          <w:sz w:val="28"/>
          <w:szCs w:val="28"/>
        </w:rPr>
        <w:t>3、合同总价一次性包死，不受市场价格等其它因素的影响。</w:t>
      </w:r>
    </w:p>
    <w:p w14:paraId="020EFD25">
      <w:pPr>
        <w:tabs>
          <w:tab w:val="left" w:pos="480"/>
        </w:tabs>
        <w:ind w:firstLine="640" w:firstLineChars="200"/>
        <w:outlineLvl w:val="0"/>
        <w:rPr>
          <w:rFonts w:hint="eastAsia" w:ascii="宋体" w:hAnsi="宋体"/>
          <w:b/>
          <w:sz w:val="32"/>
          <w:szCs w:val="32"/>
        </w:rPr>
      </w:pPr>
      <w:r>
        <w:rPr>
          <w:rFonts w:hint="eastAsia" w:ascii="宋体" w:hAnsi="宋体"/>
          <w:b/>
          <w:sz w:val="32"/>
          <w:szCs w:val="32"/>
        </w:rPr>
        <w:t>三、款项结算</w:t>
      </w:r>
    </w:p>
    <w:p w14:paraId="525CE7A2">
      <w:pPr>
        <w:ind w:firstLine="560" w:firstLineChars="200"/>
        <w:rPr>
          <w:rFonts w:hint="eastAsia"/>
          <w:sz w:val="28"/>
          <w:szCs w:val="28"/>
        </w:rPr>
      </w:pPr>
      <w:r>
        <w:rPr>
          <w:rFonts w:hint="eastAsia"/>
          <w:sz w:val="28"/>
          <w:szCs w:val="28"/>
        </w:rPr>
        <w:t>1、合同款项的支付：</w:t>
      </w:r>
    </w:p>
    <w:p w14:paraId="26E83D3C">
      <w:pPr>
        <w:ind w:firstLine="708" w:firstLineChars="253"/>
        <w:rPr>
          <w:rFonts w:hint="eastAsia"/>
          <w:sz w:val="28"/>
          <w:szCs w:val="28"/>
          <w:u w:val="single"/>
        </w:rPr>
      </w:pPr>
      <w:r>
        <w:rPr>
          <w:rFonts w:hint="eastAsia"/>
          <w:sz w:val="28"/>
          <w:szCs w:val="28"/>
        </w:rPr>
        <w:t>1.1、合同生效后，甲方在收到乙方开具的适格发票后15个工作日内支付合同总金额的 70%，即需要支付人民币（大写）：</w:t>
      </w:r>
      <w:r>
        <w:rPr>
          <w:rFonts w:hint="eastAsia"/>
          <w:sz w:val="28"/>
          <w:szCs w:val="28"/>
          <w:u w:val="single"/>
          <w:lang w:val="en-US" w:eastAsia="zh-CN"/>
        </w:rPr>
        <w:t xml:space="preserve">   </w:t>
      </w:r>
      <w:r>
        <w:rPr>
          <w:rFonts w:hint="eastAsia"/>
          <w:sz w:val="28"/>
          <w:szCs w:val="28"/>
          <w:u w:val="single"/>
        </w:rPr>
        <w:t>（￥</w:t>
      </w:r>
      <w:r>
        <w:rPr>
          <w:rFonts w:hint="eastAsia"/>
          <w:sz w:val="28"/>
          <w:szCs w:val="28"/>
          <w:u w:val="single"/>
          <w:lang w:val="en-US" w:eastAsia="zh-CN"/>
        </w:rPr>
        <w:t xml:space="preserve">  </w:t>
      </w:r>
      <w:r>
        <w:rPr>
          <w:rFonts w:hint="eastAsia"/>
          <w:sz w:val="28"/>
          <w:szCs w:val="28"/>
          <w:u w:val="single"/>
        </w:rPr>
        <w:t>万元）。</w:t>
      </w:r>
    </w:p>
    <w:p w14:paraId="35CFBFFC">
      <w:pPr>
        <w:ind w:firstLine="708" w:firstLineChars="253"/>
        <w:rPr>
          <w:rFonts w:hint="eastAsia"/>
          <w:sz w:val="28"/>
          <w:szCs w:val="28"/>
        </w:rPr>
      </w:pPr>
      <w:r>
        <w:rPr>
          <w:rFonts w:hint="eastAsia"/>
          <w:sz w:val="28"/>
          <w:szCs w:val="28"/>
        </w:rPr>
        <w:t>1.2、运维服务期满，甲方对乙方的运维服务工作出具书面验收合格材料并结算审计后，按照结算审计结果，甲方在收到乙方开具的适格发票后15个工作日内支付合同总金额的30%，即需要支付人民币（大写）：</w:t>
      </w:r>
    </w:p>
    <w:p w14:paraId="02DCDBCD">
      <w:pPr>
        <w:rPr>
          <w:rFonts w:hint="eastAsia"/>
          <w:sz w:val="28"/>
          <w:szCs w:val="28"/>
          <w:u w:val="single"/>
        </w:rPr>
      </w:pPr>
      <w:r>
        <w:rPr>
          <w:rFonts w:hint="eastAsia"/>
          <w:sz w:val="28"/>
          <w:szCs w:val="28"/>
          <w:u w:val="single"/>
          <w:lang w:val="en-US" w:eastAsia="zh-CN"/>
        </w:rPr>
        <w:t xml:space="preserve">      </w:t>
      </w:r>
      <w:r>
        <w:rPr>
          <w:rFonts w:hint="eastAsia"/>
          <w:sz w:val="28"/>
          <w:szCs w:val="28"/>
          <w:u w:val="single"/>
        </w:rPr>
        <w:t>（￥</w:t>
      </w:r>
      <w:r>
        <w:rPr>
          <w:rFonts w:hint="eastAsia"/>
          <w:sz w:val="28"/>
          <w:szCs w:val="28"/>
          <w:u w:val="single"/>
          <w:lang w:val="en-US" w:eastAsia="zh-CN"/>
        </w:rPr>
        <w:t xml:space="preserve">  </w:t>
      </w:r>
      <w:r>
        <w:rPr>
          <w:rFonts w:hint="eastAsia"/>
          <w:sz w:val="28"/>
          <w:szCs w:val="28"/>
          <w:u w:val="single"/>
        </w:rPr>
        <w:t>万元）。</w:t>
      </w:r>
    </w:p>
    <w:p w14:paraId="144D9E11">
      <w:pPr>
        <w:ind w:firstLine="560" w:firstLineChars="200"/>
        <w:rPr>
          <w:rFonts w:hint="eastAsia"/>
          <w:sz w:val="28"/>
          <w:szCs w:val="28"/>
        </w:rPr>
      </w:pPr>
      <w:r>
        <w:rPr>
          <w:rFonts w:hint="eastAsia"/>
          <w:sz w:val="28"/>
          <w:szCs w:val="28"/>
        </w:rPr>
        <w:t>2、支付方式：银行转帐/支票。</w:t>
      </w:r>
    </w:p>
    <w:p w14:paraId="43BB4B49">
      <w:pPr>
        <w:ind w:firstLine="560" w:firstLineChars="200"/>
        <w:rPr>
          <w:rFonts w:hint="eastAsia"/>
          <w:sz w:val="28"/>
          <w:szCs w:val="28"/>
        </w:rPr>
      </w:pPr>
      <w:r>
        <w:rPr>
          <w:rFonts w:hint="eastAsia"/>
          <w:sz w:val="28"/>
          <w:szCs w:val="28"/>
        </w:rPr>
        <w:t>3、结算方式：发票直开陕西省公安厅。乙方须根据付款条件及甲方要求开具项目发票。</w:t>
      </w:r>
    </w:p>
    <w:p w14:paraId="2D8EBEF0">
      <w:pPr>
        <w:ind w:firstLine="560" w:firstLineChars="200"/>
        <w:rPr>
          <w:rFonts w:hint="eastAsia"/>
          <w:sz w:val="28"/>
          <w:szCs w:val="28"/>
        </w:rPr>
      </w:pPr>
      <w:r>
        <w:rPr>
          <w:rFonts w:hint="eastAsia"/>
          <w:sz w:val="28"/>
          <w:szCs w:val="28"/>
        </w:rPr>
        <w:t>4、收款账户信息</w:t>
      </w:r>
    </w:p>
    <w:p w14:paraId="28C14FFB">
      <w:pPr>
        <w:ind w:firstLine="560" w:firstLineChars="200"/>
        <w:rPr>
          <w:rFonts w:hint="eastAsia" w:eastAsia="宋体"/>
          <w:sz w:val="28"/>
          <w:szCs w:val="28"/>
          <w:lang w:eastAsia="zh-CN"/>
        </w:rPr>
      </w:pPr>
      <w:r>
        <w:rPr>
          <w:rFonts w:hint="eastAsia"/>
          <w:sz w:val="28"/>
          <w:szCs w:val="28"/>
        </w:rPr>
        <w:t>账号名称：</w:t>
      </w:r>
    </w:p>
    <w:p w14:paraId="035FCF51">
      <w:pPr>
        <w:ind w:firstLine="560" w:firstLineChars="200"/>
        <w:rPr>
          <w:rFonts w:hint="eastAsia"/>
          <w:sz w:val="28"/>
          <w:szCs w:val="28"/>
        </w:rPr>
      </w:pPr>
      <w:r>
        <w:rPr>
          <w:rFonts w:hint="eastAsia"/>
          <w:sz w:val="28"/>
          <w:szCs w:val="28"/>
        </w:rPr>
        <w:t>账号号码：</w:t>
      </w:r>
    </w:p>
    <w:p w14:paraId="7C7CA40B">
      <w:pPr>
        <w:ind w:firstLine="560" w:firstLineChars="200"/>
        <w:rPr>
          <w:sz w:val="28"/>
          <w:szCs w:val="28"/>
          <w:u w:val="single"/>
        </w:rPr>
      </w:pPr>
      <w:r>
        <w:rPr>
          <w:rFonts w:hint="eastAsia"/>
          <w:sz w:val="28"/>
          <w:szCs w:val="28"/>
        </w:rPr>
        <w:t>账号开户行：</w:t>
      </w:r>
    </w:p>
    <w:p w14:paraId="4ED41CB1">
      <w:pPr>
        <w:numPr>
          <w:ilvl w:val="0"/>
          <w:numId w:val="2"/>
        </w:numPr>
        <w:ind w:firstLine="560" w:firstLineChars="200"/>
        <w:rPr>
          <w:rFonts w:hint="eastAsia"/>
          <w:sz w:val="28"/>
          <w:szCs w:val="28"/>
        </w:rPr>
      </w:pPr>
      <w:r>
        <w:rPr>
          <w:rFonts w:hint="eastAsia"/>
          <w:sz w:val="28"/>
          <w:szCs w:val="28"/>
        </w:rPr>
        <w:t>开票信息</w:t>
      </w:r>
    </w:p>
    <w:p w14:paraId="1E14CB02">
      <w:pPr>
        <w:ind w:firstLine="560" w:firstLineChars="200"/>
        <w:rPr>
          <w:rFonts w:hint="eastAsia"/>
          <w:sz w:val="28"/>
          <w:szCs w:val="28"/>
        </w:rPr>
      </w:pPr>
      <w:r>
        <w:rPr>
          <w:rFonts w:hint="eastAsia"/>
          <w:sz w:val="28"/>
          <w:szCs w:val="28"/>
        </w:rPr>
        <w:t>开票名称：</w:t>
      </w:r>
      <w:r>
        <w:rPr>
          <w:rFonts w:hint="eastAsia"/>
          <w:sz w:val="28"/>
          <w:szCs w:val="28"/>
          <w:u w:val="single"/>
        </w:rPr>
        <w:t>陕西省公安厅</w:t>
      </w:r>
    </w:p>
    <w:p w14:paraId="263F1AB9">
      <w:pPr>
        <w:ind w:firstLine="560" w:firstLineChars="200"/>
        <w:rPr>
          <w:rFonts w:hint="eastAsia"/>
          <w:sz w:val="28"/>
          <w:szCs w:val="28"/>
        </w:rPr>
      </w:pPr>
      <w:r>
        <w:rPr>
          <w:rFonts w:hint="eastAsia"/>
          <w:sz w:val="28"/>
          <w:szCs w:val="28"/>
        </w:rPr>
        <w:t>开票地址：</w:t>
      </w:r>
      <w:r>
        <w:rPr>
          <w:rFonts w:hint="eastAsia"/>
          <w:sz w:val="28"/>
          <w:szCs w:val="28"/>
          <w:u w:val="single"/>
        </w:rPr>
        <w:t>西安市未央区凤城二路</w:t>
      </w:r>
    </w:p>
    <w:p w14:paraId="2B4352D2">
      <w:pPr>
        <w:tabs>
          <w:tab w:val="left" w:pos="480"/>
        </w:tabs>
        <w:ind w:firstLine="640" w:firstLineChars="200"/>
        <w:outlineLvl w:val="0"/>
        <w:rPr>
          <w:rFonts w:hint="eastAsia" w:ascii="宋体" w:hAnsi="宋体"/>
          <w:b/>
          <w:sz w:val="32"/>
          <w:szCs w:val="32"/>
        </w:rPr>
      </w:pPr>
      <w:r>
        <w:rPr>
          <w:rFonts w:hint="eastAsia" w:ascii="宋体" w:hAnsi="宋体"/>
          <w:b/>
          <w:sz w:val="32"/>
          <w:szCs w:val="32"/>
        </w:rPr>
        <w:t>四、交货条件</w:t>
      </w:r>
    </w:p>
    <w:p w14:paraId="34F6BD5A">
      <w:pPr>
        <w:numPr>
          <w:ilvl w:val="0"/>
          <w:numId w:val="3"/>
        </w:numPr>
        <w:ind w:left="643" w:firstLine="66"/>
        <w:rPr>
          <w:sz w:val="28"/>
          <w:szCs w:val="28"/>
        </w:rPr>
      </w:pPr>
      <w:r>
        <w:rPr>
          <w:rFonts w:hint="eastAsia"/>
          <w:sz w:val="28"/>
          <w:szCs w:val="28"/>
        </w:rPr>
        <w:t>服务地点：甲方指定地点。</w:t>
      </w:r>
    </w:p>
    <w:p w14:paraId="1EEA1CF5">
      <w:pPr>
        <w:numPr>
          <w:ilvl w:val="0"/>
          <w:numId w:val="3"/>
        </w:numPr>
        <w:ind w:left="643" w:firstLine="66"/>
        <w:rPr>
          <w:rFonts w:hint="eastAsia"/>
          <w:sz w:val="28"/>
          <w:szCs w:val="28"/>
        </w:rPr>
      </w:pPr>
      <w:r>
        <w:rPr>
          <w:rFonts w:hint="eastAsia"/>
          <w:sz w:val="28"/>
          <w:szCs w:val="28"/>
          <w:lang w:val="en-US" w:eastAsia="zh-CN"/>
        </w:rPr>
        <w:t>服务期限：2026年1月27日-2027年1月26日</w:t>
      </w:r>
      <w:r>
        <w:rPr>
          <w:rFonts w:hint="eastAsia"/>
          <w:sz w:val="28"/>
          <w:szCs w:val="28"/>
        </w:rPr>
        <w:t>。</w:t>
      </w:r>
    </w:p>
    <w:p w14:paraId="5DFABF36">
      <w:pPr>
        <w:tabs>
          <w:tab w:val="left" w:pos="480"/>
        </w:tabs>
        <w:ind w:firstLine="640" w:firstLineChars="200"/>
        <w:outlineLvl w:val="0"/>
        <w:rPr>
          <w:rFonts w:hint="eastAsia" w:ascii="宋体" w:hAnsi="宋体"/>
          <w:b/>
          <w:sz w:val="32"/>
          <w:szCs w:val="32"/>
        </w:rPr>
      </w:pPr>
      <w:r>
        <w:rPr>
          <w:rFonts w:hint="eastAsia" w:ascii="宋体" w:hAnsi="宋体"/>
          <w:b/>
          <w:sz w:val="32"/>
          <w:szCs w:val="32"/>
        </w:rPr>
        <w:t>五、服务</w:t>
      </w:r>
      <w:r>
        <w:rPr>
          <w:rFonts w:hint="eastAsia" w:ascii="宋体" w:hAnsi="宋体"/>
          <w:b/>
          <w:color w:val="000000"/>
          <w:sz w:val="32"/>
          <w:szCs w:val="32"/>
        </w:rPr>
        <w:t>内容</w:t>
      </w:r>
    </w:p>
    <w:p w14:paraId="7C9D227D">
      <w:pPr>
        <w:spacing w:line="500" w:lineRule="exact"/>
        <w:ind w:left="210" w:leftChars="100" w:firstLine="420" w:firstLineChars="150"/>
        <w:rPr>
          <w:rFonts w:hint="eastAsia"/>
          <w:sz w:val="28"/>
          <w:szCs w:val="28"/>
        </w:rPr>
      </w:pPr>
      <w:r>
        <w:rPr>
          <w:rFonts w:hint="eastAsia"/>
          <w:sz w:val="28"/>
          <w:szCs w:val="28"/>
        </w:rPr>
        <w:t>本年度治安局服务</w:t>
      </w:r>
      <w:r>
        <w:rPr>
          <w:rFonts w:hint="eastAsia"/>
          <w:color w:val="000000"/>
          <w:sz w:val="28"/>
          <w:szCs w:val="28"/>
        </w:rPr>
        <w:t>内容</w:t>
      </w:r>
      <w:r>
        <w:rPr>
          <w:rFonts w:hint="eastAsia"/>
          <w:sz w:val="28"/>
          <w:szCs w:val="28"/>
        </w:rPr>
        <w:t>如下：</w:t>
      </w:r>
    </w:p>
    <w:p w14:paraId="69D13040">
      <w:pPr>
        <w:spacing w:line="500" w:lineRule="exact"/>
        <w:ind w:left="210" w:leftChars="100" w:firstLine="420" w:firstLineChars="150"/>
        <w:rPr>
          <w:rFonts w:hint="eastAsia"/>
          <w:sz w:val="28"/>
          <w:szCs w:val="28"/>
        </w:rPr>
      </w:pPr>
      <w:r>
        <w:rPr>
          <w:rFonts w:hint="eastAsia"/>
          <w:sz w:val="28"/>
          <w:szCs w:val="28"/>
        </w:rPr>
        <w:t xml:space="preserve">该项目将全面提升陕西省公安厅治安管理总队户籍及居民身份证系统的整体效能，优化完善系统管理和应用服务功能，为实现信息资源共享和应用服务提供有效支撑。 </w:t>
      </w:r>
    </w:p>
    <w:p w14:paraId="23DA877C">
      <w:pPr>
        <w:spacing w:line="500" w:lineRule="exact"/>
        <w:ind w:left="210" w:leftChars="100" w:firstLine="420" w:firstLineChars="150"/>
        <w:rPr>
          <w:rFonts w:hint="eastAsia"/>
          <w:sz w:val="28"/>
          <w:szCs w:val="28"/>
        </w:rPr>
      </w:pPr>
      <w:r>
        <w:rPr>
          <w:rFonts w:hint="eastAsia"/>
          <w:sz w:val="28"/>
          <w:szCs w:val="28"/>
        </w:rPr>
        <w:t>提高信息化平台整体服务水平和能力，实现系统资源的综合监控、管理，通过保证主机资源、存储资源、网络资源、数据库等平台资源的可靠性、可用性和安全性，达到提高服务器、存储、网络利用率，提高运行维护效率和业务系统可靠性，降低业务系统整体风险的目的。通过运维服务外包，可以达到系统状态实时可知、故障预防、故障及时处理，从而提高业务系统的可靠性、稳定性以及快速响应和恢复能力。</w:t>
      </w:r>
    </w:p>
    <w:p w14:paraId="1E1C857F">
      <w:pPr>
        <w:spacing w:line="500" w:lineRule="exact"/>
        <w:ind w:left="210" w:leftChars="100" w:firstLine="420" w:firstLineChars="150"/>
        <w:rPr>
          <w:rFonts w:hint="eastAsia"/>
          <w:sz w:val="28"/>
          <w:szCs w:val="28"/>
        </w:rPr>
      </w:pPr>
      <w:r>
        <w:rPr>
          <w:rFonts w:hint="eastAsia"/>
          <w:sz w:val="28"/>
          <w:szCs w:val="28"/>
        </w:rPr>
        <w:t>运维涉及硬件设备，操作系统、数据库、备份软件等通用（基础）软件，配电系统、空调系统、安防系统等基础环境设施设备。</w:t>
      </w:r>
    </w:p>
    <w:p w14:paraId="527A39A6">
      <w:pPr>
        <w:spacing w:line="500" w:lineRule="exact"/>
        <w:ind w:left="210" w:leftChars="100" w:firstLine="420" w:firstLineChars="150"/>
        <w:rPr>
          <w:rFonts w:hint="eastAsia"/>
          <w:sz w:val="28"/>
          <w:szCs w:val="28"/>
        </w:rPr>
      </w:pPr>
      <w:r>
        <w:rPr>
          <w:rFonts w:hint="eastAsia"/>
          <w:sz w:val="28"/>
          <w:szCs w:val="28"/>
        </w:rPr>
        <w:t>运维服务的目标是保障户籍及居民身份证业务的稳定运行，计划将被动响应变为主动响应，使系统当前任何状态细节都了如指掌，日常维护和故障处理都在可撑控的范围内，并且以“专业技术服务+标准服务流程+自动化监控工具”的架构实现系统融合，从而保障业务的连续性和使用者的满意度。</w:t>
      </w:r>
    </w:p>
    <w:p w14:paraId="7249BB46">
      <w:pPr>
        <w:spacing w:line="500" w:lineRule="exact"/>
        <w:ind w:left="210" w:leftChars="100" w:firstLine="420" w:firstLineChars="150"/>
        <w:rPr>
          <w:rFonts w:hint="eastAsia"/>
          <w:sz w:val="28"/>
          <w:szCs w:val="28"/>
        </w:rPr>
      </w:pPr>
      <w:r>
        <w:rPr>
          <w:rFonts w:hint="eastAsia"/>
          <w:sz w:val="28"/>
          <w:szCs w:val="28"/>
        </w:rPr>
        <w:t>该项目以保证陕西省公安厅治安总队户籍及居民身份证系统的可用性和安全性，需对治安总队支撑户籍及居民身份证业务系统的基础设施及各软件、操作系统、数据库、中间件，以及基础硬件平台中的服务器、存储、网络、安全等共计1070台设备及软件（基础环境139台、硬件设备575台及通用（基础）软件356套）进行集中化和专业化的运营和维护管理。</w:t>
      </w:r>
    </w:p>
    <w:p w14:paraId="23D7F46B">
      <w:pPr>
        <w:spacing w:line="500" w:lineRule="exact"/>
        <w:ind w:left="210" w:leftChars="100" w:firstLine="420" w:firstLineChars="150"/>
        <w:rPr>
          <w:rFonts w:hint="eastAsia"/>
          <w:sz w:val="28"/>
          <w:szCs w:val="28"/>
        </w:rPr>
      </w:pPr>
      <w:bookmarkStart w:id="0" w:name="_Toc209605309"/>
      <w:r>
        <w:rPr>
          <w:rFonts w:hint="eastAsia"/>
          <w:sz w:val="28"/>
          <w:szCs w:val="28"/>
        </w:rPr>
        <w:t>1、基础环境运维服务</w:t>
      </w:r>
      <w:bookmarkEnd w:id="0"/>
    </w:p>
    <w:p w14:paraId="281D95BD">
      <w:pPr>
        <w:spacing w:line="500" w:lineRule="exact"/>
        <w:ind w:left="210" w:leftChars="100" w:firstLine="420" w:firstLineChars="150"/>
        <w:rPr>
          <w:rFonts w:hint="eastAsia"/>
          <w:sz w:val="28"/>
          <w:szCs w:val="28"/>
        </w:rPr>
      </w:pPr>
      <w:r>
        <w:rPr>
          <w:rFonts w:hint="eastAsia"/>
          <w:sz w:val="28"/>
          <w:szCs w:val="28"/>
        </w:rPr>
        <w:t>1.1机房设备巡检及常规服务</w:t>
      </w:r>
    </w:p>
    <w:p w14:paraId="20924952">
      <w:pPr>
        <w:spacing w:line="500" w:lineRule="exact"/>
        <w:ind w:left="210" w:leftChars="100" w:firstLine="420" w:firstLineChars="150"/>
        <w:rPr>
          <w:rFonts w:hint="eastAsia"/>
          <w:sz w:val="28"/>
          <w:szCs w:val="28"/>
        </w:rPr>
      </w:pPr>
      <w:r>
        <w:rPr>
          <w:rFonts w:hint="eastAsia"/>
          <w:sz w:val="28"/>
          <w:szCs w:val="28"/>
        </w:rPr>
        <w:t>由中级工程师对机房UPS、空调、电池、配电柜139台基础环境设备提供巡检服务，每天不少于2次。包括检查UPS各项参数（包括输入电压、电流、频率、输出电压、电流、频率，充电电压、充电电流）的测量及校正；UPS机内灰尘的清理及功率模块的静态检测；UPS输出到负载设备的整个供电路径上的接线定期检查紧固；电池带载放电，单体电池电压的测量。停电后，检查UPS供电系统是否正常运行，并检查系统相关部分是否运行正常。以及检查检查空调系统的各项功能及参数是否正常；如有报警的情况要检查报警记录，并分析报警原因；检查温度、湿度传感器等的工作状态正常；检查空调压缩机内压情况。</w:t>
      </w:r>
    </w:p>
    <w:p w14:paraId="40B994C6">
      <w:pPr>
        <w:spacing w:line="500" w:lineRule="exact"/>
        <w:ind w:left="210" w:leftChars="100" w:firstLine="420" w:firstLineChars="150"/>
        <w:rPr>
          <w:rFonts w:hint="eastAsia"/>
          <w:sz w:val="28"/>
          <w:szCs w:val="28"/>
        </w:rPr>
      </w:pPr>
      <w:r>
        <w:rPr>
          <w:rFonts w:hint="eastAsia"/>
          <w:sz w:val="28"/>
          <w:szCs w:val="28"/>
        </w:rPr>
        <w:t>1.2机房设备事件驱动及请求服务</w:t>
      </w:r>
    </w:p>
    <w:p w14:paraId="3D4E0FDD">
      <w:pPr>
        <w:spacing w:line="500" w:lineRule="exact"/>
        <w:ind w:left="210" w:leftChars="100" w:firstLine="420" w:firstLineChars="150"/>
        <w:rPr>
          <w:rFonts w:hint="eastAsia"/>
          <w:sz w:val="28"/>
          <w:szCs w:val="28"/>
        </w:rPr>
      </w:pPr>
      <w:r>
        <w:rPr>
          <w:rFonts w:hint="eastAsia"/>
          <w:sz w:val="28"/>
          <w:szCs w:val="28"/>
        </w:rPr>
        <w:t>依据事件情况由高级工程师对机房UPS、空调、电池、配电柜等139台基础环境设备提供技术支持服务。</w:t>
      </w:r>
    </w:p>
    <w:p w14:paraId="259B8563">
      <w:pPr>
        <w:spacing w:line="500" w:lineRule="exact"/>
        <w:ind w:left="210" w:leftChars="100" w:firstLine="420" w:firstLineChars="150"/>
        <w:rPr>
          <w:rFonts w:hint="eastAsia"/>
          <w:sz w:val="28"/>
          <w:szCs w:val="28"/>
        </w:rPr>
      </w:pPr>
      <w:r>
        <w:rPr>
          <w:rFonts w:hint="eastAsia"/>
          <w:sz w:val="28"/>
          <w:szCs w:val="28"/>
        </w:rPr>
        <w:t>1.3机房设备优化服务</w:t>
      </w:r>
    </w:p>
    <w:p w14:paraId="43EC2479">
      <w:pPr>
        <w:spacing w:line="500" w:lineRule="exact"/>
        <w:ind w:left="210" w:leftChars="100" w:firstLine="420" w:firstLineChars="150"/>
        <w:rPr>
          <w:rFonts w:hint="eastAsia"/>
          <w:sz w:val="28"/>
          <w:szCs w:val="28"/>
        </w:rPr>
      </w:pPr>
      <w:bookmarkStart w:id="1" w:name="_Hlk116643568"/>
      <w:r>
        <w:rPr>
          <w:rFonts w:hint="eastAsia"/>
          <w:sz w:val="28"/>
          <w:szCs w:val="28"/>
        </w:rPr>
        <w:t>由高级工程师对机房基础环境提供优化服务,提供适应性改善、增强性改进、预防性改进服务，年度不少于4次</w:t>
      </w:r>
      <w:bookmarkEnd w:id="1"/>
      <w:r>
        <w:rPr>
          <w:rFonts w:hint="eastAsia"/>
          <w:sz w:val="28"/>
          <w:szCs w:val="28"/>
        </w:rPr>
        <w:t>。</w:t>
      </w:r>
    </w:p>
    <w:p w14:paraId="3FC68C1E">
      <w:pPr>
        <w:spacing w:line="500" w:lineRule="exact"/>
        <w:ind w:left="210" w:leftChars="100" w:firstLine="420" w:firstLineChars="150"/>
        <w:rPr>
          <w:rFonts w:hint="eastAsia"/>
          <w:sz w:val="28"/>
          <w:szCs w:val="28"/>
        </w:rPr>
      </w:pPr>
      <w:bookmarkStart w:id="2" w:name="_Toc209605310"/>
      <w:r>
        <w:rPr>
          <w:rFonts w:hint="eastAsia"/>
          <w:sz w:val="28"/>
          <w:szCs w:val="28"/>
        </w:rPr>
        <w:t>2、硬件运维服务</w:t>
      </w:r>
      <w:bookmarkEnd w:id="2"/>
    </w:p>
    <w:p w14:paraId="47EAFF9A">
      <w:pPr>
        <w:spacing w:line="500" w:lineRule="exact"/>
        <w:ind w:left="210" w:leftChars="100" w:firstLine="420" w:firstLineChars="150"/>
        <w:rPr>
          <w:rFonts w:hint="eastAsia"/>
          <w:sz w:val="28"/>
          <w:szCs w:val="28"/>
        </w:rPr>
      </w:pPr>
      <w:r>
        <w:rPr>
          <w:rFonts w:hint="eastAsia"/>
          <w:sz w:val="28"/>
          <w:szCs w:val="28"/>
        </w:rPr>
        <w:t>2.1网络运维服务</w:t>
      </w:r>
    </w:p>
    <w:p w14:paraId="683D7A4C">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1、由中级工程师对机房159台网络设备提供巡检服务，每天不少于2次。</w:t>
      </w:r>
    </w:p>
    <w:p w14:paraId="55AC28B8">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2、依据事件情况由高级工程师针对159台网络设备提供故障响应及技术支持服务。</w:t>
      </w:r>
    </w:p>
    <w:p w14:paraId="5C30FB8F">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3、由高级工程师对机房159台网络设备提供优化服务,年度不少于4次。</w:t>
      </w:r>
    </w:p>
    <w:p w14:paraId="0A658092">
      <w:pPr>
        <w:spacing w:line="500" w:lineRule="exact"/>
        <w:ind w:left="210" w:leftChars="100" w:firstLine="420" w:firstLineChars="150"/>
        <w:rPr>
          <w:rFonts w:hint="eastAsia"/>
          <w:sz w:val="28"/>
          <w:szCs w:val="28"/>
          <w:lang w:val="en-US" w:eastAsia="zh-CN"/>
        </w:rPr>
      </w:pPr>
      <w:r>
        <w:rPr>
          <w:rFonts w:hint="eastAsia"/>
          <w:sz w:val="28"/>
          <w:szCs w:val="28"/>
        </w:rPr>
        <w:t>2.2主机</w:t>
      </w:r>
      <w:r>
        <w:rPr>
          <w:rFonts w:hint="eastAsia"/>
          <w:sz w:val="28"/>
          <w:szCs w:val="28"/>
          <w:lang w:val="en-US" w:eastAsia="zh-CN"/>
        </w:rPr>
        <w:t>运维服务</w:t>
      </w:r>
    </w:p>
    <w:p w14:paraId="788F7C90">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（1）由中级工程师对机房344台主机设备提供巡检服务，每天不少于2次。检查服务器的关键指标，如CPU峰值、内存占用、硬盘I/O读写、系统可用磁盘空间、网络情况等，完成报告。每天不少于2次。</w:t>
      </w:r>
    </w:p>
    <w:p w14:paraId="026D20BD">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（2）依据事件情况由高级工程师对机房344台主机设备提供技术支持服务。</w:t>
      </w:r>
    </w:p>
    <w:p w14:paraId="1E00F3D8">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（3）由高级工程师对机房344台主机设备提供优化服务,年度不少于4次。 检查当前系统性能，并结合应用系统特点和需求，对服务器进行调优，如：清理垃圾数据、调整交换分区容量、系统内核参数优化调整、文件系统使用空间调整等。年度不少于4次。</w:t>
      </w:r>
    </w:p>
    <w:p w14:paraId="3061A0B9">
      <w:pPr>
        <w:spacing w:line="500" w:lineRule="exact"/>
        <w:ind w:left="210" w:leftChars="100" w:firstLine="420" w:firstLineChars="150"/>
        <w:rPr>
          <w:rFonts w:hint="eastAsia"/>
          <w:sz w:val="28"/>
          <w:szCs w:val="28"/>
        </w:rPr>
      </w:pPr>
      <w:r>
        <w:rPr>
          <w:rFonts w:hint="eastAsia"/>
          <w:sz w:val="28"/>
          <w:szCs w:val="28"/>
        </w:rPr>
        <w:t>2.3存储运维服务</w:t>
      </w:r>
    </w:p>
    <w:p w14:paraId="13B91E72">
      <w:pPr>
        <w:spacing w:line="500" w:lineRule="exact"/>
        <w:ind w:left="210" w:leftChars="100" w:firstLine="420" w:firstLineChars="150"/>
        <w:rPr>
          <w:rFonts w:hint="eastAsia"/>
          <w:sz w:val="28"/>
          <w:szCs w:val="28"/>
        </w:rPr>
      </w:pPr>
      <w:r>
        <w:rPr>
          <w:rFonts w:hint="eastAsia"/>
          <w:sz w:val="28"/>
          <w:szCs w:val="28"/>
          <w:lang w:val="en-US" w:eastAsia="zh-CN"/>
        </w:rPr>
        <w:t>（1）</w:t>
      </w:r>
      <w:r>
        <w:rPr>
          <w:rFonts w:hint="eastAsia"/>
          <w:sz w:val="28"/>
          <w:szCs w:val="28"/>
        </w:rPr>
        <w:t>由中级工程师对机房33台存储设备提供巡检服务，每天不少于2次。</w:t>
      </w:r>
    </w:p>
    <w:p w14:paraId="72313322">
      <w:pPr>
        <w:spacing w:line="500" w:lineRule="exact"/>
        <w:ind w:left="210" w:leftChars="100" w:firstLine="420" w:firstLineChars="150"/>
        <w:rPr>
          <w:rFonts w:hint="eastAsia"/>
          <w:sz w:val="28"/>
          <w:szCs w:val="28"/>
        </w:rPr>
      </w:pPr>
      <w:r>
        <w:rPr>
          <w:rFonts w:hint="eastAsia"/>
          <w:sz w:val="28"/>
          <w:szCs w:val="28"/>
          <w:lang w:val="en-US" w:eastAsia="zh-CN"/>
        </w:rPr>
        <w:t>（2）</w:t>
      </w:r>
      <w:r>
        <w:rPr>
          <w:rFonts w:hint="eastAsia"/>
          <w:sz w:val="28"/>
          <w:szCs w:val="28"/>
        </w:rPr>
        <w:t>依据事件情况由高级工程师对机房33台存储设备提供技术支持服务。</w:t>
      </w:r>
    </w:p>
    <w:p w14:paraId="29CF8883">
      <w:pPr>
        <w:spacing w:line="500" w:lineRule="exact"/>
        <w:ind w:left="210" w:leftChars="100" w:firstLine="420" w:firstLineChars="150"/>
        <w:rPr>
          <w:rFonts w:hint="eastAsia"/>
          <w:sz w:val="28"/>
          <w:szCs w:val="28"/>
        </w:rPr>
      </w:pPr>
      <w:r>
        <w:rPr>
          <w:rFonts w:hint="eastAsia"/>
          <w:sz w:val="28"/>
          <w:szCs w:val="28"/>
          <w:lang w:val="en-US" w:eastAsia="zh-CN"/>
        </w:rPr>
        <w:t>（3）</w:t>
      </w:r>
      <w:r>
        <w:rPr>
          <w:rFonts w:hint="eastAsia"/>
          <w:sz w:val="28"/>
          <w:szCs w:val="28"/>
        </w:rPr>
        <w:t>由高级工程师对机房33台存储设备提供优化服务,年度不少于4次。</w:t>
      </w:r>
    </w:p>
    <w:p w14:paraId="635FFE2A">
      <w:pPr>
        <w:spacing w:line="500" w:lineRule="exact"/>
        <w:ind w:left="210" w:leftChars="100" w:firstLine="420" w:firstLineChars="150"/>
        <w:rPr>
          <w:rFonts w:hint="eastAsia"/>
          <w:sz w:val="28"/>
          <w:szCs w:val="28"/>
        </w:rPr>
      </w:pPr>
      <w:r>
        <w:rPr>
          <w:rFonts w:hint="eastAsia"/>
          <w:sz w:val="28"/>
          <w:szCs w:val="28"/>
        </w:rPr>
        <w:t>2.4桌面运维服务</w:t>
      </w:r>
    </w:p>
    <w:p w14:paraId="32FD8A56">
      <w:pPr>
        <w:spacing w:line="500" w:lineRule="exact"/>
        <w:ind w:left="210" w:leftChars="100" w:firstLine="420" w:firstLineChars="150"/>
        <w:rPr>
          <w:rFonts w:hint="eastAsia"/>
          <w:sz w:val="28"/>
          <w:szCs w:val="28"/>
        </w:rPr>
      </w:pPr>
      <w:r>
        <w:rPr>
          <w:rFonts w:hint="eastAsia"/>
          <w:sz w:val="28"/>
          <w:szCs w:val="28"/>
        </w:rPr>
        <w:t>依据事件情况由高级工程师对110台桌面终端设备提供技术支持服务。</w:t>
      </w:r>
    </w:p>
    <w:p w14:paraId="3B99832F">
      <w:pPr>
        <w:spacing w:line="500" w:lineRule="exact"/>
        <w:ind w:left="210" w:leftChars="100" w:firstLine="420" w:firstLineChars="150"/>
        <w:rPr>
          <w:rFonts w:hint="eastAsia"/>
          <w:sz w:val="28"/>
          <w:szCs w:val="28"/>
        </w:rPr>
      </w:pPr>
      <w:r>
        <w:rPr>
          <w:rFonts w:hint="eastAsia"/>
          <w:sz w:val="28"/>
          <w:szCs w:val="28"/>
        </w:rPr>
        <w:t>2.5其他硬件运维服务</w:t>
      </w:r>
    </w:p>
    <w:p w14:paraId="373A901B">
      <w:pPr>
        <w:spacing w:line="500" w:lineRule="exact"/>
        <w:ind w:left="210" w:leftChars="100" w:firstLine="420" w:firstLineChars="150"/>
        <w:rPr>
          <w:rFonts w:hint="eastAsia"/>
          <w:sz w:val="28"/>
          <w:szCs w:val="28"/>
        </w:rPr>
      </w:pPr>
      <w:r>
        <w:rPr>
          <w:rFonts w:hint="eastAsia"/>
          <w:sz w:val="28"/>
          <w:szCs w:val="28"/>
        </w:rPr>
        <w:t>依据事件情况由高级工程师对视频会议36台设备提供技术支持服务。</w:t>
      </w:r>
    </w:p>
    <w:p w14:paraId="39479935">
      <w:pPr>
        <w:spacing w:line="500" w:lineRule="exact"/>
        <w:ind w:left="210" w:leftChars="100" w:firstLine="420" w:firstLineChars="150"/>
        <w:rPr>
          <w:rFonts w:hint="eastAsia"/>
          <w:sz w:val="28"/>
          <w:szCs w:val="28"/>
        </w:rPr>
      </w:pPr>
      <w:bookmarkStart w:id="3" w:name="_Toc209605311"/>
      <w:r>
        <w:rPr>
          <w:rFonts w:hint="eastAsia"/>
          <w:sz w:val="28"/>
          <w:szCs w:val="28"/>
        </w:rPr>
        <w:t>3、通用（基础）软件运维服务</w:t>
      </w:r>
      <w:bookmarkEnd w:id="3"/>
    </w:p>
    <w:p w14:paraId="5321CEB3">
      <w:pPr>
        <w:spacing w:line="500" w:lineRule="exact"/>
        <w:ind w:left="210" w:leftChars="100" w:firstLine="420" w:firstLineChars="150"/>
        <w:rPr>
          <w:rFonts w:hint="eastAsia"/>
          <w:sz w:val="28"/>
          <w:szCs w:val="28"/>
        </w:rPr>
      </w:pPr>
      <w:r>
        <w:rPr>
          <w:rFonts w:hint="eastAsia"/>
          <w:sz w:val="28"/>
          <w:szCs w:val="28"/>
        </w:rPr>
        <w:t>3.1操作系统运维服务</w:t>
      </w:r>
    </w:p>
    <w:p w14:paraId="79B71A33">
      <w:pPr>
        <w:spacing w:line="500" w:lineRule="exact"/>
        <w:ind w:left="210" w:leftChars="100" w:firstLine="420" w:firstLineChars="150"/>
        <w:rPr>
          <w:rFonts w:hint="eastAsia"/>
          <w:sz w:val="28"/>
          <w:szCs w:val="28"/>
        </w:rPr>
      </w:pPr>
      <w:r>
        <w:rPr>
          <w:rFonts w:hint="eastAsia"/>
          <w:sz w:val="28"/>
          <w:szCs w:val="28"/>
          <w:lang w:val="en-US" w:eastAsia="zh-CN"/>
        </w:rPr>
        <w:t>（1）</w:t>
      </w:r>
      <w:r>
        <w:rPr>
          <w:rFonts w:hint="eastAsia"/>
          <w:sz w:val="28"/>
          <w:szCs w:val="28"/>
        </w:rPr>
        <w:t>由中级工程师对341套操作系统提供巡检服务，每天不少于2 次。检查和分析操作系统运行状态，如磁盘空间使用情况、内存使用率、CPU使用率、交换空间使用情况、错误日志等信息，并完成检查和分析报告。每天不少于2次。</w:t>
      </w:r>
    </w:p>
    <w:p w14:paraId="0575A404">
      <w:pPr>
        <w:spacing w:line="500" w:lineRule="exact"/>
        <w:ind w:left="210" w:leftChars="100" w:firstLine="420" w:firstLineChars="150"/>
        <w:rPr>
          <w:rFonts w:hint="eastAsia"/>
          <w:sz w:val="28"/>
          <w:szCs w:val="28"/>
        </w:rPr>
      </w:pPr>
      <w:r>
        <w:rPr>
          <w:rFonts w:hint="eastAsia"/>
          <w:sz w:val="28"/>
          <w:szCs w:val="28"/>
          <w:lang w:val="en-US" w:eastAsia="zh-CN"/>
        </w:rPr>
        <w:t>（2）</w:t>
      </w:r>
      <w:r>
        <w:rPr>
          <w:rFonts w:hint="eastAsia"/>
          <w:sz w:val="28"/>
          <w:szCs w:val="28"/>
        </w:rPr>
        <w:t>依据事件情况由高级工程师对操作系统提供故障处理服务。</w:t>
      </w:r>
    </w:p>
    <w:p w14:paraId="087154EE">
      <w:pPr>
        <w:spacing w:line="500" w:lineRule="exact"/>
        <w:ind w:left="210" w:leftChars="100" w:firstLine="420" w:firstLineChars="150"/>
        <w:rPr>
          <w:rFonts w:hint="eastAsia"/>
          <w:sz w:val="28"/>
          <w:szCs w:val="28"/>
        </w:rPr>
      </w:pPr>
      <w:r>
        <w:rPr>
          <w:rFonts w:hint="eastAsia"/>
          <w:sz w:val="28"/>
          <w:szCs w:val="28"/>
          <w:lang w:val="en-US" w:eastAsia="zh-CN"/>
        </w:rPr>
        <w:t>（3）</w:t>
      </w:r>
      <w:r>
        <w:rPr>
          <w:rFonts w:hint="eastAsia"/>
          <w:sz w:val="28"/>
          <w:szCs w:val="28"/>
        </w:rPr>
        <w:t>由高级工程师对操作系统提供优化服务,年度不少于2次。针对操作系统运行状态提供性能优化服务，使用系统资源达到最大化利用，提交操作系统调优报告。如：服务器交换分区大小调整、磁盘保护级别调整、文件系统使用空间调整划分，关闭闲置服务。年度不少于2次。</w:t>
      </w:r>
    </w:p>
    <w:p w14:paraId="1C239DE6">
      <w:pPr>
        <w:spacing w:line="500" w:lineRule="exact"/>
        <w:ind w:left="210" w:leftChars="100" w:firstLine="420" w:firstLineChars="150"/>
        <w:rPr>
          <w:rFonts w:hint="eastAsia"/>
          <w:sz w:val="28"/>
          <w:szCs w:val="28"/>
        </w:rPr>
      </w:pPr>
      <w:r>
        <w:rPr>
          <w:rFonts w:hint="eastAsia"/>
          <w:sz w:val="28"/>
          <w:szCs w:val="28"/>
        </w:rPr>
        <w:t>3.2数据库运维服务</w:t>
      </w:r>
    </w:p>
    <w:p w14:paraId="3BE5D5CF">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1）由中级工程师对9套数据库提供巡检服务，每天不少于2次。检查和分析数据库运行状态，如数据库启动状态、监听运行状态、SGA参数设置、内存使用情况，表空间状态、碎片状态、备份情况、错误日志等信息，并完成检查和分析报告。每天不少于2次。</w:t>
      </w:r>
    </w:p>
    <w:p w14:paraId="6B27E806">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（2）依据事件情况由高级工程师对9套数据库提供故障处理服务。</w:t>
      </w:r>
    </w:p>
    <w:p w14:paraId="153872E5">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3）由高级工程师对9套数据库提供优化服务,年度不少于4次。针对数据库资源使用调整、数据库执行SQL计划调整、数据表参数调整、数据库对象的调整、主机操作系统内核参数调整、数据库参数调整、临时表空间、用户表空间调整、数据库物理部署的调整、数据库字符集调整、调整数据库备份策略。年度不少于4次。</w:t>
      </w:r>
    </w:p>
    <w:p w14:paraId="7698140B">
      <w:pPr>
        <w:spacing w:line="500" w:lineRule="exact"/>
        <w:ind w:left="210" w:leftChars="100" w:firstLine="420" w:firstLineChars="150"/>
        <w:rPr>
          <w:rFonts w:hint="eastAsia"/>
          <w:sz w:val="28"/>
          <w:szCs w:val="28"/>
        </w:rPr>
      </w:pPr>
      <w:r>
        <w:rPr>
          <w:rFonts w:hint="eastAsia"/>
          <w:sz w:val="28"/>
          <w:szCs w:val="28"/>
        </w:rPr>
        <w:t>3.3中间件运维服务</w:t>
      </w:r>
    </w:p>
    <w:p w14:paraId="6444BFDF">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1）由中级工程师对6套中间件提供巡检服务，每天不少于2次。检查和分析中间件运行状态，如应用服务运行状态、java进程运行状态、网络连通性、数据库连接情况、CPU和内存使用峰值、业务连接会话数、错误日志等信息，并完成检查和分析报告。每天不少于2次。</w:t>
      </w:r>
    </w:p>
    <w:p w14:paraId="40AC2779">
      <w:pPr>
        <w:spacing w:line="500" w:lineRule="exact"/>
        <w:ind w:left="210" w:leftChars="100" w:firstLine="420" w:firstLineChars="150"/>
        <w:rPr>
          <w:rFonts w:hint="eastAsia"/>
          <w:sz w:val="28"/>
          <w:szCs w:val="28"/>
          <w:lang w:val="en-US" w:eastAsia="zh-CN"/>
        </w:rPr>
      </w:pPr>
      <w:r>
        <w:rPr>
          <w:rFonts w:hint="eastAsia"/>
          <w:sz w:val="28"/>
          <w:szCs w:val="28"/>
          <w:lang w:val="en-US" w:eastAsia="zh-CN"/>
        </w:rPr>
        <w:t>（2）依据事件情况由高级工程师对6套中间件提供故障处理服务。</w:t>
      </w:r>
    </w:p>
    <w:p w14:paraId="53B38550">
      <w:pPr>
        <w:spacing w:line="500" w:lineRule="exact"/>
        <w:ind w:left="210" w:leftChars="100" w:firstLine="420" w:firstLineChars="150"/>
        <w:rPr>
          <w:rFonts w:hint="eastAsia"/>
          <w:sz w:val="28"/>
          <w:szCs w:val="28"/>
        </w:rPr>
      </w:pPr>
      <w:bookmarkStart w:id="4" w:name="_Toc209605312"/>
      <w:r>
        <w:rPr>
          <w:rFonts w:hint="eastAsia"/>
          <w:sz w:val="28"/>
          <w:szCs w:val="28"/>
        </w:rPr>
        <w:t>4、安全运维服务</w:t>
      </w:r>
      <w:bookmarkEnd w:id="4"/>
    </w:p>
    <w:p w14:paraId="45F93E3E">
      <w:pPr>
        <w:spacing w:line="500" w:lineRule="exact"/>
        <w:ind w:left="210" w:leftChars="100" w:firstLine="420" w:firstLineChars="150"/>
        <w:rPr>
          <w:rFonts w:hint="eastAsia"/>
          <w:sz w:val="28"/>
          <w:szCs w:val="28"/>
        </w:rPr>
      </w:pPr>
      <w:r>
        <w:rPr>
          <w:rFonts w:hint="eastAsia"/>
          <w:sz w:val="28"/>
          <w:szCs w:val="28"/>
        </w:rPr>
        <w:t>由高级工程师使用漏洞扫描工具对机房网络设备、操作系统、数据库提开展漏洞扫描，通过人工分析验证扫描结果中漏洞，排除误报，针对存在漏洞提供整改建议并对网络设备、操作系统、数据库的安全漏洞进行修补，加强安全配置、安全加固处理服务。并提供安全基线检查，即检测操作系统和数据库的弱口令、账号权限、身份鉴别、密码策略、访问控制、安全审计和入侵防范等安全配置，并提供检测结果，针对存在的风险配置给出加固建议，年度不少于4次。</w:t>
      </w:r>
    </w:p>
    <w:p w14:paraId="6761BC9C">
      <w:pPr>
        <w:spacing w:line="500" w:lineRule="exact"/>
        <w:ind w:left="210" w:leftChars="100" w:firstLine="420" w:firstLineChars="150"/>
        <w:rPr>
          <w:rFonts w:hint="eastAsia"/>
          <w:sz w:val="28"/>
          <w:szCs w:val="28"/>
        </w:rPr>
      </w:pPr>
      <w:bookmarkStart w:id="5" w:name="_Toc209605313"/>
      <w:r>
        <w:rPr>
          <w:rFonts w:hint="eastAsia"/>
          <w:sz w:val="28"/>
          <w:szCs w:val="28"/>
        </w:rPr>
        <w:t>5、其他运行运维服务</w:t>
      </w:r>
      <w:bookmarkEnd w:id="5"/>
    </w:p>
    <w:p w14:paraId="4FD5DF24">
      <w:pPr>
        <w:spacing w:line="500" w:lineRule="exact"/>
        <w:ind w:left="210" w:leftChars="100" w:firstLine="420" w:firstLineChars="150"/>
        <w:rPr>
          <w:rFonts w:hint="eastAsia"/>
          <w:sz w:val="28"/>
          <w:szCs w:val="28"/>
        </w:rPr>
      </w:pPr>
      <w:bookmarkStart w:id="6" w:name="_Hlk116723252"/>
      <w:r>
        <w:rPr>
          <w:rFonts w:hint="eastAsia"/>
          <w:sz w:val="28"/>
          <w:szCs w:val="28"/>
        </w:rPr>
        <w:t>由中级工程师在特殊时段提供保障服务，包含专项工作、重点时间节点、元旦、春节、清明节、劳动节、端午节、中秋节及国庆节等法定节假日等特殊期间提供现场保障服务共计31人天</w:t>
      </w:r>
      <w:bookmarkEnd w:id="6"/>
      <w:r>
        <w:rPr>
          <w:rFonts w:hint="eastAsia"/>
          <w:sz w:val="28"/>
          <w:szCs w:val="28"/>
        </w:rPr>
        <w:t>。</w:t>
      </w:r>
    </w:p>
    <w:p w14:paraId="552CDF27">
      <w:pPr>
        <w:spacing w:line="500" w:lineRule="exact"/>
        <w:ind w:left="210" w:leftChars="100" w:firstLine="420" w:firstLineChars="150"/>
        <w:rPr>
          <w:rFonts w:hint="eastAsia"/>
          <w:sz w:val="28"/>
          <w:szCs w:val="28"/>
        </w:rPr>
      </w:pPr>
      <w:r>
        <w:rPr>
          <w:rFonts w:hint="eastAsia"/>
          <w:sz w:val="28"/>
          <w:szCs w:val="28"/>
          <w:lang w:val="en-US" w:eastAsia="zh-CN"/>
        </w:rPr>
        <w:t>每年至少提供一次应急演练服务。</w:t>
      </w:r>
    </w:p>
    <w:p w14:paraId="2881BB53">
      <w:pPr>
        <w:tabs>
          <w:tab w:val="left" w:pos="480"/>
        </w:tabs>
        <w:ind w:firstLine="640" w:firstLineChars="200"/>
        <w:outlineLvl w:val="0"/>
        <w:rPr>
          <w:rFonts w:hint="eastAsia" w:ascii="宋体" w:hAnsi="宋体"/>
          <w:b/>
          <w:sz w:val="32"/>
          <w:szCs w:val="32"/>
        </w:rPr>
      </w:pPr>
      <w:r>
        <w:rPr>
          <w:rFonts w:hint="eastAsia" w:ascii="宋体" w:hAnsi="宋体"/>
          <w:b/>
          <w:sz w:val="32"/>
          <w:szCs w:val="32"/>
        </w:rPr>
        <w:t>六、服务验收</w:t>
      </w:r>
    </w:p>
    <w:p w14:paraId="71FB527E">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1、本合同约定服务期限届满，乙方申请甲方进行验收；验收合格的，交接服务的全部资料，完成项目验收报告作为对服务的最终认可。</w:t>
      </w:r>
    </w:p>
    <w:p w14:paraId="677333A5">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在得到乙方验收要求通知后，甲方应积极准备验收，在得到乙方的书面验收申请后，甲方须在15个工作日内完成项目的验收，作为项目服务终结依据。</w:t>
      </w:r>
    </w:p>
    <w:p w14:paraId="5E441A61">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2、乙方向甲方提交服务实施过程中的所有资料。以便甲方日后管理和维护。</w:t>
      </w:r>
    </w:p>
    <w:p w14:paraId="4FCAE9F8">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3、验收依据：本项目验收应满足初设方案、招投标文件、合同文本、合同附件、乙方招标文件承诺事宜、国家、陕西省及等相关法律法规、规范性文件要求以及现行的国家、行业以及地方相关标准和规范要求，实施期间有最新标准的应当按照最新标准执行。</w:t>
      </w:r>
    </w:p>
    <w:p w14:paraId="1E8FE019">
      <w:pPr>
        <w:spacing w:line="500" w:lineRule="exact"/>
        <w:ind w:left="210" w:leftChars="100" w:firstLine="480" w:firstLineChars="150"/>
        <w:outlineLvl w:val="0"/>
        <w:rPr>
          <w:rFonts w:ascii="宋体" w:hAnsi="宋体"/>
          <w:b/>
          <w:sz w:val="32"/>
          <w:szCs w:val="32"/>
        </w:rPr>
      </w:pPr>
      <w:r>
        <w:rPr>
          <w:rFonts w:hint="eastAsia" w:ascii="宋体" w:hAnsi="宋体"/>
          <w:b/>
          <w:sz w:val="32"/>
          <w:szCs w:val="32"/>
        </w:rPr>
        <w:t>七、服务实现</w:t>
      </w:r>
    </w:p>
    <w:p w14:paraId="72883038">
      <w:pPr>
        <w:ind w:firstLine="560" w:firstLineChars="200"/>
        <w:rPr>
          <w:sz w:val="28"/>
          <w:szCs w:val="28"/>
        </w:rPr>
      </w:pPr>
      <w:r>
        <w:rPr>
          <w:rFonts w:hint="eastAsia" w:ascii="Times New Roman" w:hAnsi="Times New Roman"/>
          <w:kern w:val="2"/>
          <w:sz w:val="28"/>
          <w:szCs w:val="28"/>
        </w:rPr>
        <w:t>1、服务人员：</w:t>
      </w:r>
    </w:p>
    <w:p w14:paraId="3E16AC7D">
      <w:pPr>
        <w:pStyle w:val="11"/>
        <w:spacing w:line="500" w:lineRule="exact"/>
        <w:ind w:firstLine="560"/>
        <w:rPr>
          <w:rFonts w:ascii="Times New Roman" w:hAnsi="Times New Roman"/>
          <w:kern w:val="2"/>
          <w:sz w:val="28"/>
          <w:szCs w:val="28"/>
        </w:rPr>
      </w:pPr>
      <w:r>
        <w:rPr>
          <w:rFonts w:hint="eastAsia" w:ascii="Times New Roman" w:hAnsi="Times New Roman"/>
          <w:kern w:val="2"/>
          <w:sz w:val="28"/>
          <w:szCs w:val="28"/>
        </w:rPr>
        <w:t>2、服务方式</w:t>
      </w:r>
    </w:p>
    <w:p w14:paraId="49086DC3">
      <w:pPr>
        <w:pStyle w:val="11"/>
        <w:spacing w:line="500" w:lineRule="exact"/>
        <w:ind w:firstLine="560"/>
        <w:rPr>
          <w:rFonts w:ascii="Times New Roman" w:hAnsi="Times New Roman"/>
          <w:kern w:val="2"/>
          <w:sz w:val="28"/>
          <w:szCs w:val="28"/>
        </w:rPr>
      </w:pPr>
      <w:r>
        <w:rPr>
          <w:rFonts w:hint="eastAsia" w:ascii="Times New Roman" w:hAnsi="Times New Roman"/>
          <w:kern w:val="2"/>
          <w:sz w:val="28"/>
          <w:szCs w:val="28"/>
        </w:rPr>
        <w:t>驻场服务：</w:t>
      </w:r>
      <w:r>
        <w:rPr>
          <w:rFonts w:hint="eastAsia"/>
          <w:sz w:val="28"/>
          <w:szCs w:val="28"/>
        </w:rPr>
        <w:t>乙方</w:t>
      </w:r>
      <w:r>
        <w:rPr>
          <w:rFonts w:hint="eastAsia" w:ascii="Times New Roman" w:hAnsi="Times New Roman"/>
          <w:kern w:val="2"/>
          <w:sz w:val="28"/>
          <w:szCs w:val="28"/>
        </w:rPr>
        <w:t>将提供2人7*8小时驻场运维服务，驻场服务人员具备</w:t>
      </w:r>
      <w:r>
        <w:rPr>
          <w:rFonts w:ascii="Times New Roman" w:hAnsi="Times New Roman"/>
          <w:kern w:val="2"/>
          <w:sz w:val="28"/>
          <w:szCs w:val="28"/>
        </w:rPr>
        <w:t>RHCE</w:t>
      </w:r>
      <w:r>
        <w:rPr>
          <w:rFonts w:hint="eastAsia" w:ascii="Times New Roman" w:hAnsi="Times New Roman"/>
          <w:kern w:val="2"/>
          <w:sz w:val="28"/>
          <w:szCs w:val="28"/>
        </w:rPr>
        <w:t>、</w:t>
      </w:r>
      <w:r>
        <w:rPr>
          <w:rFonts w:ascii="Times New Roman" w:hAnsi="Times New Roman"/>
          <w:kern w:val="2"/>
          <w:sz w:val="28"/>
          <w:szCs w:val="28"/>
        </w:rPr>
        <w:t>HCIE-STORAGE</w:t>
      </w:r>
      <w:r>
        <w:rPr>
          <w:rFonts w:hint="eastAsia" w:ascii="Times New Roman" w:hAnsi="Times New Roman"/>
          <w:kern w:val="2"/>
          <w:sz w:val="28"/>
          <w:szCs w:val="28"/>
        </w:rPr>
        <w:t>、</w:t>
      </w:r>
      <w:r>
        <w:rPr>
          <w:rFonts w:ascii="Times New Roman" w:hAnsi="Times New Roman"/>
          <w:kern w:val="2"/>
          <w:sz w:val="28"/>
          <w:szCs w:val="28"/>
        </w:rPr>
        <w:t>HCIP- Datacom</w:t>
      </w:r>
      <w:r>
        <w:rPr>
          <w:rFonts w:hint="eastAsia" w:ascii="Times New Roman" w:hAnsi="Times New Roman"/>
          <w:kern w:val="2"/>
          <w:sz w:val="28"/>
          <w:szCs w:val="28"/>
        </w:rPr>
        <w:t>资质证书。</w:t>
      </w:r>
    </w:p>
    <w:p w14:paraId="547190B3">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二线服务：</w:t>
      </w:r>
      <w:r>
        <w:rPr>
          <w:rFonts w:hint="eastAsia"/>
          <w:sz w:val="28"/>
          <w:szCs w:val="28"/>
        </w:rPr>
        <w:t>乙方二线工程师</w:t>
      </w:r>
      <w:r>
        <w:rPr>
          <w:rFonts w:hint="eastAsia" w:ascii="Times New Roman" w:hAnsi="Times New Roman"/>
          <w:kern w:val="2"/>
          <w:sz w:val="28"/>
          <w:szCs w:val="28"/>
        </w:rPr>
        <w:t>对本项目提供远程或现场支持服务，主要技术服务人员获得相关专业认证，包括但不限于：ITSS服务项目经理、IBM AIX、HCIE-Datacom、HCIP-Datacom、OCM、数据中心基础环境工程师证书、CISP、安防从业合格证书、低压电工证等。</w:t>
      </w:r>
    </w:p>
    <w:p w14:paraId="0ECED984">
      <w:pPr>
        <w:ind w:firstLine="560"/>
        <w:rPr>
          <w:sz w:val="28"/>
          <w:szCs w:val="28"/>
        </w:rPr>
      </w:pPr>
      <w:r>
        <w:rPr>
          <w:rFonts w:hint="eastAsia"/>
          <w:sz w:val="28"/>
          <w:szCs w:val="28"/>
        </w:rPr>
        <w:t>3、响应时间</w:t>
      </w:r>
    </w:p>
    <w:p w14:paraId="166795C6">
      <w:pPr>
        <w:ind w:firstLine="560"/>
        <w:rPr>
          <w:rFonts w:hint="eastAsia"/>
          <w:sz w:val="28"/>
          <w:szCs w:val="28"/>
        </w:rPr>
      </w:pPr>
      <w:r>
        <w:rPr>
          <w:rFonts w:hint="eastAsia"/>
          <w:sz w:val="28"/>
          <w:szCs w:val="28"/>
        </w:rPr>
        <w:t>乙方将根据事件的影响度及紧急度对事件进行分级，按事件级别调配相应的技术资源对甲方予以支持。乙方若未能按照服务响应时间提供技术服务，视为乙方违约。</w:t>
      </w:r>
    </w:p>
    <w:p w14:paraId="22699A38">
      <w:pPr>
        <w:ind w:firstLine="562"/>
        <w:rPr>
          <w:rFonts w:hint="eastAsia" w:ascii="宋体" w:hAnsi="宋体" w:eastAsia="宋体" w:cs="宋体"/>
          <w:b/>
          <w:sz w:val="24"/>
          <w:szCs w:val="24"/>
        </w:rPr>
      </w:pPr>
      <w:r>
        <w:rPr>
          <w:rFonts w:hint="eastAsia" w:ascii="宋体" w:hAnsi="宋体" w:eastAsia="宋体" w:cs="宋体"/>
          <w:b/>
          <w:sz w:val="24"/>
          <w:szCs w:val="24"/>
        </w:rPr>
        <w:t>先确定事件影响度</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26"/>
        <w:gridCol w:w="6534"/>
      </w:tblGrid>
      <w:tr w14:paraId="0B992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1394" w:type="pct"/>
            <w:noWrap w:val="0"/>
            <w:vAlign w:val="top"/>
          </w:tcPr>
          <w:p w14:paraId="3451C3D4">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影响度</w:t>
            </w:r>
          </w:p>
        </w:tc>
        <w:tc>
          <w:tcPr>
            <w:tcW w:w="3606" w:type="pct"/>
            <w:noWrap w:val="0"/>
            <w:vAlign w:val="top"/>
          </w:tcPr>
          <w:p w14:paraId="22F5BAD6">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w:t>
            </w:r>
          </w:p>
        </w:tc>
      </w:tr>
      <w:tr w14:paraId="0C4A52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pct"/>
            <w:noWrap w:val="0"/>
            <w:vAlign w:val="top"/>
          </w:tcPr>
          <w:p w14:paraId="3E56AF7E">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高</w:t>
            </w:r>
          </w:p>
        </w:tc>
        <w:tc>
          <w:tcPr>
            <w:tcW w:w="3606" w:type="pct"/>
            <w:noWrap w:val="0"/>
            <w:vAlign w:val="top"/>
          </w:tcPr>
          <w:p w14:paraId="1D5F575D">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所有系统用户无法正常工作</w:t>
            </w:r>
          </w:p>
        </w:tc>
      </w:tr>
      <w:tr w14:paraId="490A0F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pct"/>
            <w:noWrap w:val="0"/>
            <w:vAlign w:val="top"/>
          </w:tcPr>
          <w:p w14:paraId="32E34B10">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w:t>
            </w:r>
          </w:p>
        </w:tc>
        <w:tc>
          <w:tcPr>
            <w:tcW w:w="3606" w:type="pct"/>
            <w:noWrap w:val="0"/>
            <w:vAlign w:val="top"/>
          </w:tcPr>
          <w:p w14:paraId="235D08DC">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部分系统用户无法正常工作（包含单个VIP客户）</w:t>
            </w:r>
          </w:p>
        </w:tc>
      </w:tr>
      <w:tr w14:paraId="6D1293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pct"/>
            <w:noWrap w:val="0"/>
            <w:vAlign w:val="top"/>
          </w:tcPr>
          <w:p w14:paraId="4C8A2C79">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低</w:t>
            </w:r>
          </w:p>
        </w:tc>
        <w:tc>
          <w:tcPr>
            <w:tcW w:w="3606" w:type="pct"/>
            <w:noWrap w:val="0"/>
            <w:vAlign w:val="top"/>
          </w:tcPr>
          <w:p w14:paraId="37AFA2CB">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单个系统用户无法正常工作（VIP客户除外）</w:t>
            </w:r>
          </w:p>
        </w:tc>
      </w:tr>
    </w:tbl>
    <w:p w14:paraId="2941B835">
      <w:pPr>
        <w:ind w:firstLine="562"/>
        <w:rPr>
          <w:rFonts w:hint="eastAsia" w:ascii="宋体" w:hAnsi="宋体" w:eastAsia="宋体" w:cs="宋体"/>
          <w:b/>
          <w:sz w:val="24"/>
          <w:szCs w:val="24"/>
        </w:rPr>
      </w:pPr>
      <w:r>
        <w:rPr>
          <w:rFonts w:hint="eastAsia" w:ascii="宋体" w:hAnsi="宋体" w:eastAsia="宋体" w:cs="宋体"/>
          <w:b/>
          <w:sz w:val="24"/>
          <w:szCs w:val="24"/>
        </w:rPr>
        <w:t>再确定事件紧急度</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526"/>
        <w:gridCol w:w="6534"/>
      </w:tblGrid>
      <w:tr w14:paraId="4E447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pct"/>
            <w:noWrap w:val="0"/>
            <w:vAlign w:val="top"/>
          </w:tcPr>
          <w:p w14:paraId="4948AEEA">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紧急度</w:t>
            </w:r>
          </w:p>
        </w:tc>
        <w:tc>
          <w:tcPr>
            <w:tcW w:w="3606" w:type="pct"/>
            <w:noWrap w:val="0"/>
            <w:vAlign w:val="top"/>
          </w:tcPr>
          <w:p w14:paraId="4577291D">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w:t>
            </w:r>
          </w:p>
        </w:tc>
      </w:tr>
      <w:tr w14:paraId="5A495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pct"/>
            <w:noWrap w:val="0"/>
            <w:vAlign w:val="top"/>
          </w:tcPr>
          <w:p w14:paraId="18699172">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高</w:t>
            </w:r>
          </w:p>
        </w:tc>
        <w:tc>
          <w:tcPr>
            <w:tcW w:w="3606" w:type="pct"/>
            <w:noWrap w:val="0"/>
            <w:vAlign w:val="top"/>
          </w:tcPr>
          <w:p w14:paraId="20E4FD47">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实时业务系统中断</w:t>
            </w:r>
          </w:p>
        </w:tc>
      </w:tr>
      <w:tr w14:paraId="3F5EB2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pct"/>
            <w:noWrap w:val="0"/>
            <w:vAlign w:val="top"/>
          </w:tcPr>
          <w:p w14:paraId="23E9A1A4">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w:t>
            </w:r>
          </w:p>
        </w:tc>
        <w:tc>
          <w:tcPr>
            <w:tcW w:w="3606" w:type="pct"/>
            <w:noWrap w:val="0"/>
            <w:vAlign w:val="top"/>
          </w:tcPr>
          <w:p w14:paraId="69FF128C">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实时业务系统性能下降或非实时业务系统中断</w:t>
            </w:r>
          </w:p>
        </w:tc>
      </w:tr>
      <w:tr w14:paraId="6DC6F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94" w:type="pct"/>
            <w:noWrap w:val="0"/>
            <w:vAlign w:val="top"/>
          </w:tcPr>
          <w:p w14:paraId="7F85EAC5">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低</w:t>
            </w:r>
          </w:p>
        </w:tc>
        <w:tc>
          <w:tcPr>
            <w:tcW w:w="3606" w:type="pct"/>
            <w:noWrap w:val="0"/>
            <w:vAlign w:val="top"/>
          </w:tcPr>
          <w:p w14:paraId="4572BF44">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系统部分IT组件/配置项出现故障，但不影响业务系统</w:t>
            </w:r>
          </w:p>
        </w:tc>
      </w:tr>
    </w:tbl>
    <w:p w14:paraId="128B4F9C">
      <w:pPr>
        <w:ind w:firstLine="560"/>
        <w:rPr>
          <w:rFonts w:hint="eastAsia" w:ascii="宋体" w:hAnsi="宋体" w:eastAsia="宋体" w:cs="宋体"/>
          <w:sz w:val="24"/>
          <w:szCs w:val="24"/>
        </w:rPr>
      </w:pPr>
      <w:r>
        <w:rPr>
          <w:rFonts w:hint="eastAsia" w:ascii="宋体" w:hAnsi="宋体" w:eastAsia="宋体" w:cs="宋体"/>
          <w:sz w:val="24"/>
          <w:szCs w:val="24"/>
        </w:rPr>
        <w:t>最后根据事件的影响度和紧急度确定事件的优先级，事件优先级分为四级</w:t>
      </w:r>
    </w:p>
    <w:tbl>
      <w:tblPr>
        <w:tblStyle w:val="6"/>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75"/>
        <w:gridCol w:w="1776"/>
        <w:gridCol w:w="1776"/>
        <w:gridCol w:w="1776"/>
        <w:gridCol w:w="1957"/>
      </w:tblGrid>
      <w:tr w14:paraId="534AB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9" w:type="pct"/>
            <w:gridSpan w:val="2"/>
            <w:vMerge w:val="restart"/>
            <w:noWrap w:val="0"/>
            <w:vAlign w:val="center"/>
          </w:tcPr>
          <w:p w14:paraId="1E3EFCB5">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优先级</w:t>
            </w:r>
          </w:p>
        </w:tc>
        <w:tc>
          <w:tcPr>
            <w:tcW w:w="3041" w:type="pct"/>
            <w:gridSpan w:val="3"/>
            <w:noWrap w:val="0"/>
            <w:vAlign w:val="center"/>
          </w:tcPr>
          <w:p w14:paraId="7310C5B4">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影响度</w:t>
            </w:r>
          </w:p>
        </w:tc>
      </w:tr>
      <w:tr w14:paraId="23A02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959" w:type="pct"/>
            <w:gridSpan w:val="2"/>
            <w:vMerge w:val="continue"/>
            <w:noWrap w:val="0"/>
            <w:vAlign w:val="center"/>
          </w:tcPr>
          <w:p w14:paraId="62122FC3">
            <w:pPr>
              <w:widowControl/>
              <w:ind w:firstLine="400"/>
              <w:jc w:val="center"/>
              <w:rPr>
                <w:rFonts w:hint="eastAsia" w:ascii="宋体" w:hAnsi="宋体" w:eastAsia="宋体" w:cs="宋体"/>
                <w:color w:val="000000"/>
                <w:kern w:val="0"/>
                <w:sz w:val="24"/>
                <w:szCs w:val="24"/>
              </w:rPr>
            </w:pPr>
          </w:p>
        </w:tc>
        <w:tc>
          <w:tcPr>
            <w:tcW w:w="980" w:type="pct"/>
            <w:noWrap w:val="0"/>
            <w:vAlign w:val="center"/>
          </w:tcPr>
          <w:p w14:paraId="0169377C">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高</w:t>
            </w:r>
          </w:p>
        </w:tc>
        <w:tc>
          <w:tcPr>
            <w:tcW w:w="980" w:type="pct"/>
            <w:noWrap w:val="0"/>
            <w:vAlign w:val="center"/>
          </w:tcPr>
          <w:p w14:paraId="18ACAAD0">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w:t>
            </w:r>
          </w:p>
        </w:tc>
        <w:tc>
          <w:tcPr>
            <w:tcW w:w="1081" w:type="pct"/>
            <w:noWrap w:val="0"/>
            <w:vAlign w:val="center"/>
          </w:tcPr>
          <w:p w14:paraId="2FAB627F">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低</w:t>
            </w:r>
          </w:p>
        </w:tc>
      </w:tr>
      <w:tr w14:paraId="6A074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0" w:type="pct"/>
            <w:vMerge w:val="restart"/>
            <w:noWrap w:val="0"/>
            <w:vAlign w:val="center"/>
          </w:tcPr>
          <w:p w14:paraId="087CF9D6">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紧急度</w:t>
            </w:r>
          </w:p>
        </w:tc>
        <w:tc>
          <w:tcPr>
            <w:tcW w:w="980" w:type="pct"/>
            <w:noWrap w:val="0"/>
            <w:vAlign w:val="center"/>
          </w:tcPr>
          <w:p w14:paraId="7D66AF3B">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高</w:t>
            </w:r>
          </w:p>
        </w:tc>
        <w:tc>
          <w:tcPr>
            <w:tcW w:w="980" w:type="pct"/>
            <w:noWrap w:val="0"/>
            <w:vAlign w:val="center"/>
          </w:tcPr>
          <w:p w14:paraId="71F56697">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1级</w:t>
            </w:r>
          </w:p>
        </w:tc>
        <w:tc>
          <w:tcPr>
            <w:tcW w:w="980" w:type="pct"/>
            <w:noWrap w:val="0"/>
            <w:vAlign w:val="center"/>
          </w:tcPr>
          <w:p w14:paraId="5EDFB5A0">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2级</w:t>
            </w:r>
          </w:p>
        </w:tc>
        <w:tc>
          <w:tcPr>
            <w:tcW w:w="1081" w:type="pct"/>
            <w:noWrap w:val="0"/>
            <w:vAlign w:val="center"/>
          </w:tcPr>
          <w:p w14:paraId="4D375F34">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3级</w:t>
            </w:r>
          </w:p>
        </w:tc>
      </w:tr>
      <w:tr w14:paraId="5A607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0" w:type="pct"/>
            <w:vMerge w:val="continue"/>
            <w:noWrap w:val="0"/>
            <w:vAlign w:val="center"/>
          </w:tcPr>
          <w:p w14:paraId="3C53674B">
            <w:pPr>
              <w:widowControl/>
              <w:ind w:firstLine="400"/>
              <w:jc w:val="center"/>
              <w:rPr>
                <w:rFonts w:hint="eastAsia" w:ascii="宋体" w:hAnsi="宋体" w:eastAsia="宋体" w:cs="宋体"/>
                <w:color w:val="000000"/>
                <w:kern w:val="0"/>
                <w:sz w:val="24"/>
                <w:szCs w:val="24"/>
              </w:rPr>
            </w:pPr>
          </w:p>
        </w:tc>
        <w:tc>
          <w:tcPr>
            <w:tcW w:w="980" w:type="pct"/>
            <w:noWrap w:val="0"/>
            <w:vAlign w:val="center"/>
          </w:tcPr>
          <w:p w14:paraId="30719A60">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中</w:t>
            </w:r>
          </w:p>
        </w:tc>
        <w:tc>
          <w:tcPr>
            <w:tcW w:w="980" w:type="pct"/>
            <w:noWrap w:val="0"/>
            <w:vAlign w:val="center"/>
          </w:tcPr>
          <w:p w14:paraId="3FC52395">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2级</w:t>
            </w:r>
          </w:p>
        </w:tc>
        <w:tc>
          <w:tcPr>
            <w:tcW w:w="980" w:type="pct"/>
            <w:noWrap w:val="0"/>
            <w:vAlign w:val="center"/>
          </w:tcPr>
          <w:p w14:paraId="7A32E89D">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3级</w:t>
            </w:r>
          </w:p>
        </w:tc>
        <w:tc>
          <w:tcPr>
            <w:tcW w:w="1081" w:type="pct"/>
            <w:noWrap w:val="0"/>
            <w:vAlign w:val="center"/>
          </w:tcPr>
          <w:p w14:paraId="5CE95623">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4级</w:t>
            </w:r>
          </w:p>
        </w:tc>
      </w:tr>
      <w:tr w14:paraId="4594E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0" w:type="pct"/>
            <w:vMerge w:val="continue"/>
            <w:noWrap w:val="0"/>
            <w:vAlign w:val="center"/>
          </w:tcPr>
          <w:p w14:paraId="78C31127">
            <w:pPr>
              <w:widowControl/>
              <w:ind w:firstLine="400"/>
              <w:jc w:val="center"/>
              <w:rPr>
                <w:rFonts w:hint="eastAsia" w:ascii="宋体" w:hAnsi="宋体" w:eastAsia="宋体" w:cs="宋体"/>
                <w:color w:val="000000"/>
                <w:kern w:val="0"/>
                <w:sz w:val="24"/>
                <w:szCs w:val="24"/>
              </w:rPr>
            </w:pPr>
          </w:p>
        </w:tc>
        <w:tc>
          <w:tcPr>
            <w:tcW w:w="980" w:type="pct"/>
            <w:noWrap w:val="0"/>
            <w:vAlign w:val="center"/>
          </w:tcPr>
          <w:p w14:paraId="382F62A3">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低</w:t>
            </w:r>
          </w:p>
        </w:tc>
        <w:tc>
          <w:tcPr>
            <w:tcW w:w="980" w:type="pct"/>
            <w:noWrap w:val="0"/>
            <w:vAlign w:val="center"/>
          </w:tcPr>
          <w:p w14:paraId="53754557">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3级</w:t>
            </w:r>
          </w:p>
        </w:tc>
        <w:tc>
          <w:tcPr>
            <w:tcW w:w="980" w:type="pct"/>
            <w:noWrap w:val="0"/>
            <w:vAlign w:val="center"/>
          </w:tcPr>
          <w:p w14:paraId="1D1CA822">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4级</w:t>
            </w:r>
          </w:p>
        </w:tc>
        <w:tc>
          <w:tcPr>
            <w:tcW w:w="1081" w:type="pct"/>
            <w:noWrap w:val="0"/>
            <w:vAlign w:val="center"/>
          </w:tcPr>
          <w:p w14:paraId="66611C96">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4级</w:t>
            </w:r>
          </w:p>
        </w:tc>
      </w:tr>
    </w:tbl>
    <w:p w14:paraId="3B73EC82">
      <w:pPr>
        <w:ind w:firstLine="560"/>
        <w:rPr>
          <w:rFonts w:hint="eastAsia" w:ascii="宋体" w:hAnsi="宋体" w:eastAsia="宋体" w:cs="宋体"/>
          <w:sz w:val="24"/>
          <w:szCs w:val="24"/>
        </w:rPr>
      </w:pPr>
      <w:r>
        <w:rPr>
          <w:rFonts w:hint="eastAsia" w:ascii="宋体" w:hAnsi="宋体" w:eastAsia="宋体" w:cs="宋体"/>
          <w:sz w:val="24"/>
          <w:szCs w:val="24"/>
        </w:rPr>
        <w:t>事件等级：S1级、S2级、S3级、S4级。</w:t>
      </w:r>
    </w:p>
    <w:p w14:paraId="227A5C70">
      <w:pPr>
        <w:ind w:firstLine="560"/>
        <w:rPr>
          <w:rFonts w:hint="eastAsia" w:ascii="宋体" w:hAnsi="宋体" w:eastAsia="宋体" w:cs="宋体"/>
          <w:sz w:val="24"/>
          <w:szCs w:val="24"/>
        </w:rPr>
      </w:pPr>
      <w:r>
        <w:rPr>
          <w:rFonts w:hint="eastAsia" w:ascii="宋体" w:hAnsi="宋体" w:eastAsia="宋体" w:cs="宋体"/>
          <w:sz w:val="24"/>
          <w:szCs w:val="24"/>
        </w:rPr>
        <w:t>S1级：关键业务系统整体中断，全部用户无法访问</w:t>
      </w:r>
    </w:p>
    <w:p w14:paraId="6467134A">
      <w:pPr>
        <w:ind w:firstLine="560"/>
        <w:rPr>
          <w:rFonts w:hint="eastAsia" w:ascii="宋体" w:hAnsi="宋体" w:eastAsia="宋体" w:cs="宋体"/>
          <w:sz w:val="24"/>
          <w:szCs w:val="24"/>
        </w:rPr>
      </w:pPr>
      <w:r>
        <w:rPr>
          <w:rFonts w:hint="eastAsia" w:ascii="宋体" w:hAnsi="宋体" w:eastAsia="宋体" w:cs="宋体"/>
          <w:sz w:val="24"/>
          <w:szCs w:val="24"/>
        </w:rPr>
        <w:t>S2级：关键业务系统部分中段或出现性能下降，非关键业务系统业务全部中断</w:t>
      </w:r>
    </w:p>
    <w:p w14:paraId="65193D50">
      <w:pPr>
        <w:ind w:firstLine="560"/>
        <w:rPr>
          <w:rFonts w:hint="eastAsia" w:ascii="宋体" w:hAnsi="宋体" w:eastAsia="宋体" w:cs="宋体"/>
          <w:sz w:val="24"/>
          <w:szCs w:val="24"/>
        </w:rPr>
      </w:pPr>
      <w:r>
        <w:rPr>
          <w:rFonts w:hint="eastAsia" w:ascii="宋体" w:hAnsi="宋体" w:eastAsia="宋体" w:cs="宋体"/>
          <w:sz w:val="24"/>
          <w:szCs w:val="24"/>
        </w:rPr>
        <w:t>S3级：非关键业务系统部分中断或出现性能下降</w:t>
      </w:r>
    </w:p>
    <w:p w14:paraId="21E63969">
      <w:pPr>
        <w:ind w:firstLine="560"/>
        <w:rPr>
          <w:rFonts w:hint="eastAsia" w:ascii="宋体" w:hAnsi="宋体" w:eastAsia="宋体" w:cs="宋体"/>
          <w:sz w:val="24"/>
          <w:szCs w:val="24"/>
        </w:rPr>
      </w:pPr>
      <w:r>
        <w:rPr>
          <w:rFonts w:hint="eastAsia" w:ascii="宋体" w:hAnsi="宋体" w:eastAsia="宋体" w:cs="宋体"/>
          <w:sz w:val="24"/>
          <w:szCs w:val="24"/>
        </w:rPr>
        <w:t>S4级：个别配件/配置项失效，不影响正常业务</w:t>
      </w:r>
    </w:p>
    <w:p w14:paraId="3A33670D">
      <w:pPr>
        <w:ind w:firstLine="562"/>
        <w:rPr>
          <w:rFonts w:hint="eastAsia" w:ascii="宋体" w:hAnsi="宋体" w:eastAsia="宋体" w:cs="宋体"/>
          <w:b/>
          <w:sz w:val="24"/>
          <w:szCs w:val="24"/>
        </w:rPr>
      </w:pPr>
      <w:r>
        <w:rPr>
          <w:rFonts w:hint="eastAsia" w:ascii="宋体" w:hAnsi="宋体" w:eastAsia="宋体" w:cs="宋体"/>
          <w:b/>
          <w:sz w:val="24"/>
          <w:szCs w:val="24"/>
        </w:rPr>
        <w:t>服务响应级别</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0"/>
        <w:gridCol w:w="2595"/>
        <w:gridCol w:w="3995"/>
      </w:tblGrid>
      <w:tr w14:paraId="3EE93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3" w:type="pct"/>
            <w:noWrap w:val="0"/>
            <w:vAlign w:val="center"/>
          </w:tcPr>
          <w:p w14:paraId="50E219D7">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故障级别</w:t>
            </w:r>
          </w:p>
        </w:tc>
        <w:tc>
          <w:tcPr>
            <w:tcW w:w="1432" w:type="pct"/>
            <w:noWrap w:val="0"/>
            <w:vAlign w:val="center"/>
          </w:tcPr>
          <w:p w14:paraId="2ED0310E">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响应时间</w:t>
            </w:r>
          </w:p>
        </w:tc>
        <w:tc>
          <w:tcPr>
            <w:tcW w:w="2205" w:type="pct"/>
            <w:noWrap w:val="0"/>
            <w:vAlign w:val="center"/>
          </w:tcPr>
          <w:p w14:paraId="36EDC918">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工程师到场时间</w:t>
            </w:r>
          </w:p>
        </w:tc>
      </w:tr>
      <w:tr w14:paraId="549A6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3" w:type="pct"/>
            <w:noWrap w:val="0"/>
            <w:vAlign w:val="center"/>
          </w:tcPr>
          <w:p w14:paraId="5D6602C5">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S1</w:t>
            </w:r>
          </w:p>
        </w:tc>
        <w:tc>
          <w:tcPr>
            <w:tcW w:w="1432" w:type="pct"/>
            <w:noWrap w:val="0"/>
            <w:vAlign w:val="center"/>
          </w:tcPr>
          <w:p w14:paraId="6BA5E7A5">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5分钟</w:t>
            </w:r>
          </w:p>
        </w:tc>
        <w:tc>
          <w:tcPr>
            <w:tcW w:w="2205" w:type="pct"/>
            <w:noWrap w:val="0"/>
            <w:vAlign w:val="center"/>
          </w:tcPr>
          <w:p w14:paraId="3E37C254">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1小时内</w:t>
            </w:r>
          </w:p>
        </w:tc>
      </w:tr>
      <w:tr w14:paraId="49B9C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3" w:type="pct"/>
            <w:noWrap w:val="0"/>
            <w:vAlign w:val="center"/>
          </w:tcPr>
          <w:p w14:paraId="455131E0">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S2</w:t>
            </w:r>
          </w:p>
        </w:tc>
        <w:tc>
          <w:tcPr>
            <w:tcW w:w="1432" w:type="pct"/>
            <w:noWrap w:val="0"/>
            <w:vAlign w:val="center"/>
          </w:tcPr>
          <w:p w14:paraId="6E8E24E6">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5分钟</w:t>
            </w:r>
          </w:p>
        </w:tc>
        <w:tc>
          <w:tcPr>
            <w:tcW w:w="2205" w:type="pct"/>
            <w:noWrap w:val="0"/>
            <w:vAlign w:val="center"/>
          </w:tcPr>
          <w:p w14:paraId="6D0FF96C">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2小时内</w:t>
            </w:r>
          </w:p>
        </w:tc>
      </w:tr>
      <w:tr w14:paraId="3E1F3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3" w:type="pct"/>
            <w:noWrap w:val="0"/>
            <w:vAlign w:val="center"/>
          </w:tcPr>
          <w:p w14:paraId="57059B15">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S3</w:t>
            </w:r>
          </w:p>
        </w:tc>
        <w:tc>
          <w:tcPr>
            <w:tcW w:w="1432" w:type="pct"/>
            <w:noWrap w:val="0"/>
            <w:vAlign w:val="center"/>
          </w:tcPr>
          <w:p w14:paraId="7A27473D">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15分钟</w:t>
            </w:r>
          </w:p>
        </w:tc>
        <w:tc>
          <w:tcPr>
            <w:tcW w:w="2205" w:type="pct"/>
            <w:noWrap w:val="0"/>
            <w:vAlign w:val="center"/>
          </w:tcPr>
          <w:p w14:paraId="1506B13B">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24小时内</w:t>
            </w:r>
          </w:p>
        </w:tc>
      </w:tr>
      <w:tr w14:paraId="3942E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3" w:type="pct"/>
            <w:noWrap w:val="0"/>
            <w:vAlign w:val="center"/>
          </w:tcPr>
          <w:p w14:paraId="5F4CFC24">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S4</w:t>
            </w:r>
          </w:p>
        </w:tc>
        <w:tc>
          <w:tcPr>
            <w:tcW w:w="1432" w:type="pct"/>
            <w:noWrap w:val="0"/>
            <w:vAlign w:val="center"/>
          </w:tcPr>
          <w:p w14:paraId="4D41D6FF">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15分钟</w:t>
            </w:r>
          </w:p>
        </w:tc>
        <w:tc>
          <w:tcPr>
            <w:tcW w:w="2205" w:type="pct"/>
            <w:noWrap w:val="0"/>
            <w:vAlign w:val="center"/>
          </w:tcPr>
          <w:p w14:paraId="7F3430B9">
            <w:pPr>
              <w:widowControl/>
              <w:ind w:firstLine="400"/>
              <w:jc w:val="cente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48小时内</w:t>
            </w:r>
          </w:p>
        </w:tc>
      </w:tr>
    </w:tbl>
    <w:p w14:paraId="0F1F17EE">
      <w:pPr>
        <w:ind w:firstLine="562"/>
        <w:rPr>
          <w:sz w:val="28"/>
          <w:szCs w:val="28"/>
        </w:rPr>
      </w:pPr>
      <w:r>
        <w:rPr>
          <w:rFonts w:hint="eastAsia"/>
          <w:sz w:val="28"/>
          <w:szCs w:val="28"/>
        </w:rPr>
        <w:t>4、人员更换</w:t>
      </w:r>
    </w:p>
    <w:p w14:paraId="2E818160">
      <w:pPr>
        <w:ind w:firstLine="562"/>
        <w:rPr>
          <w:sz w:val="28"/>
          <w:szCs w:val="28"/>
        </w:rPr>
      </w:pPr>
      <w:r>
        <w:rPr>
          <w:rFonts w:hint="eastAsia"/>
          <w:sz w:val="28"/>
          <w:szCs w:val="28"/>
        </w:rPr>
        <w:t>乙方驻场人员应遵守甲方的工作制度，合同期内维保服务方应确保人员稳定，不得随意更换驻场人员，驻场人员应与甲方签订保密协议，不得泄密。如果需要对驻场人员进行更换，甲乙双方需共同认可并更换同等技术资格的工程师。</w:t>
      </w:r>
    </w:p>
    <w:p w14:paraId="0A925F85">
      <w:pPr>
        <w:ind w:firstLine="562"/>
        <w:rPr>
          <w:rFonts w:hint="eastAsia"/>
          <w:sz w:val="28"/>
          <w:szCs w:val="28"/>
        </w:rPr>
      </w:pPr>
      <w:r>
        <w:rPr>
          <w:rFonts w:hint="eastAsia"/>
          <w:sz w:val="28"/>
          <w:szCs w:val="28"/>
        </w:rPr>
        <w:t>5、服务考核：详见附件</w:t>
      </w:r>
      <w:r>
        <w:rPr>
          <w:sz w:val="28"/>
          <w:szCs w:val="28"/>
        </w:rPr>
        <w:t>2.</w:t>
      </w:r>
    </w:p>
    <w:p w14:paraId="63896A6D">
      <w:pPr>
        <w:spacing w:line="500" w:lineRule="exact"/>
        <w:ind w:left="210" w:leftChars="100" w:firstLine="480" w:firstLineChars="150"/>
        <w:outlineLvl w:val="0"/>
        <w:rPr>
          <w:rFonts w:hint="eastAsia" w:ascii="宋体" w:hAnsi="宋体"/>
          <w:b/>
          <w:sz w:val="32"/>
          <w:szCs w:val="32"/>
        </w:rPr>
      </w:pPr>
      <w:r>
        <w:rPr>
          <w:rFonts w:hint="eastAsia" w:ascii="宋体" w:hAnsi="宋体"/>
          <w:b/>
          <w:sz w:val="32"/>
          <w:szCs w:val="32"/>
        </w:rPr>
        <w:t>八、不可抗力</w:t>
      </w:r>
    </w:p>
    <w:p w14:paraId="73249D4D">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1、不可抗力是指合同一方无法预见、无法避免并且无法克服和控制的客观情况，包括但不限于水灾、火灾、地震、台风及其他自然灾害、政府行为、法律变化、战争等。</w:t>
      </w:r>
    </w:p>
    <w:p w14:paraId="5C18E7D7">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2、任何一方由于不可抗力的原因不能履行合同时，应及时通知对方，并提供书面证明。因不可抗力事件导致任何一方不能履行或不能完全履行、迟延履行本合同项下有关义务时，必须设法及时通知对方，并在不可抗力发生之日起15日内向对方提供有关证明，由于不可抗力导致合同无法继续履行，双方均不承担责任。如不可抗力的影响持续30天以上时，双方应通过友好协商解决合同履行问题，并尽快达成合同。</w:t>
      </w:r>
    </w:p>
    <w:p w14:paraId="1D1AFDF5">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3、在不可抗力事件影响消除后的合理时间内，双方应协商决定是否修改、终止或继续履行本合同。</w:t>
      </w:r>
    </w:p>
    <w:p w14:paraId="731BE916">
      <w:pPr>
        <w:spacing w:line="500" w:lineRule="exact"/>
        <w:ind w:left="210" w:leftChars="100" w:firstLine="480" w:firstLineChars="150"/>
        <w:outlineLvl w:val="0"/>
        <w:rPr>
          <w:rFonts w:hint="eastAsia" w:ascii="宋体" w:hAnsi="宋体"/>
          <w:b/>
          <w:sz w:val="32"/>
          <w:szCs w:val="32"/>
        </w:rPr>
      </w:pPr>
      <w:r>
        <w:rPr>
          <w:rFonts w:hint="eastAsia" w:ascii="宋体" w:hAnsi="宋体"/>
          <w:b/>
          <w:sz w:val="32"/>
          <w:szCs w:val="32"/>
        </w:rPr>
        <w:t>九、合同的变更、终止与取消</w:t>
      </w:r>
    </w:p>
    <w:p w14:paraId="7D462A37">
      <w:pPr>
        <w:pStyle w:val="11"/>
        <w:spacing w:line="500" w:lineRule="exact"/>
        <w:ind w:firstLine="560"/>
        <w:rPr>
          <w:rFonts w:hint="eastAsia" w:ascii="Times New Roman" w:hAnsi="Times New Roman"/>
          <w:kern w:val="2"/>
          <w:sz w:val="28"/>
          <w:szCs w:val="28"/>
        </w:rPr>
      </w:pPr>
      <w:r>
        <w:rPr>
          <w:rFonts w:hint="eastAsia" w:ascii="Times New Roman" w:hAnsi="Times New Roman"/>
          <w:kern w:val="2"/>
          <w:sz w:val="28"/>
          <w:szCs w:val="28"/>
        </w:rPr>
        <w:t>在合同执行期内，双方均不得随意变更、终止与取消合同。如一方确需变更合同，须经另一方书面同意并就变更事项达成一致意见后方可变更。若双方就变更事项不能达成一致意见的，提议变更方仍应依本合同约定继续履行，否则视为违约。</w:t>
      </w:r>
    </w:p>
    <w:p w14:paraId="0AB3504E">
      <w:pPr>
        <w:ind w:left="210" w:leftChars="100" w:firstLine="420"/>
        <w:outlineLvl w:val="0"/>
        <w:rPr>
          <w:rFonts w:ascii="宋体" w:hAnsi="宋体"/>
          <w:b/>
          <w:sz w:val="32"/>
          <w:szCs w:val="32"/>
        </w:rPr>
      </w:pPr>
      <w:r>
        <w:rPr>
          <w:rFonts w:hint="eastAsia" w:ascii="宋体" w:hAnsi="宋体"/>
          <w:b/>
          <w:sz w:val="32"/>
          <w:szCs w:val="32"/>
        </w:rPr>
        <w:t>十、保密和安全</w:t>
      </w:r>
    </w:p>
    <w:p w14:paraId="6570A632">
      <w:pPr>
        <w:ind w:firstLine="560" w:firstLineChars="200"/>
        <w:rPr>
          <w:sz w:val="28"/>
          <w:szCs w:val="28"/>
        </w:rPr>
      </w:pPr>
      <w:r>
        <w:rPr>
          <w:rFonts w:hint="eastAsia"/>
          <w:sz w:val="28"/>
          <w:szCs w:val="28"/>
        </w:rPr>
        <w:t>1、乙方应当严格遵守国家有关保密法律、法规，确保在运行维护中所涉及的保密信息及资料的安全。合同终止或解除后，乙方应按甲方的要求处理履行合同中获得的一切文件和资料，如因乙方原因发生泄密事故，由乙方承担因此造成的直接损失和间接损失，且甲方将保留追究乙方及乙方相关工作人员的法律责任。</w:t>
      </w:r>
    </w:p>
    <w:p w14:paraId="791E702F">
      <w:pPr>
        <w:ind w:firstLine="560" w:firstLineChars="200"/>
        <w:rPr>
          <w:sz w:val="28"/>
          <w:szCs w:val="28"/>
        </w:rPr>
      </w:pPr>
      <w:r>
        <w:rPr>
          <w:rFonts w:hint="eastAsia"/>
          <w:sz w:val="28"/>
          <w:szCs w:val="28"/>
        </w:rPr>
        <w:t>2、乙方应与甲方签订保密协议，并严格执行保密协议所约定的保密职责。乙方应对维护过程中接触到的甲方信息、设备运行中收集的数据等予以保密；除履行本合同目的以外，乙方不得擅自使用、提供或泄露给任何第三方。乙方违反约定给甲方造成损失的，应当根据要求予以赔偿。</w:t>
      </w:r>
    </w:p>
    <w:p w14:paraId="7953BE65">
      <w:pPr>
        <w:ind w:firstLine="560" w:firstLineChars="200"/>
        <w:rPr>
          <w:sz w:val="28"/>
          <w:szCs w:val="28"/>
        </w:rPr>
      </w:pPr>
      <w:r>
        <w:rPr>
          <w:sz w:val="28"/>
          <w:szCs w:val="28"/>
        </w:rPr>
        <w:t>3</w:t>
      </w:r>
      <w:r>
        <w:rPr>
          <w:rFonts w:hint="eastAsia"/>
          <w:sz w:val="28"/>
          <w:szCs w:val="28"/>
        </w:rPr>
        <w:t>、乙方需与参与运行维护的乙方工作人员签订保密责任书，规定工作人员必须履行保密责任，并加强保密教育和管理。</w:t>
      </w:r>
    </w:p>
    <w:p w14:paraId="6B38946A">
      <w:pPr>
        <w:ind w:firstLine="560" w:firstLineChars="200"/>
        <w:rPr>
          <w:sz w:val="28"/>
          <w:szCs w:val="28"/>
        </w:rPr>
      </w:pPr>
      <w:r>
        <w:rPr>
          <w:sz w:val="28"/>
          <w:szCs w:val="28"/>
        </w:rPr>
        <w:t>4</w:t>
      </w:r>
      <w:r>
        <w:rPr>
          <w:rFonts w:hint="eastAsia"/>
          <w:sz w:val="28"/>
          <w:szCs w:val="28"/>
        </w:rPr>
        <w:t>、乙方不得转包分包，驻场运维人员需是乙方公司正式员工（以劳动合同为依据，乙方须将驻场人员劳动合同作为本合同附件向甲方提交），具备机房运维专业能力及保密安全常识。乙方不得采取从社会临聘或从其他公司借调的方式安排，甲方与乙方驻场服务人员不存在任何劳动关系，不负责乙方人员的薪资、食宿及人事管理，对于合同期间驻场技术人员发生的劳资纠纷、工伤意外、刑事民事等纠纷均有乙方自行解决，甲方不承担责任，如因此给甲方造成损失，乙方须向甲方承担赔偿责任。</w:t>
      </w:r>
    </w:p>
    <w:p w14:paraId="6FF73CF0">
      <w:pPr>
        <w:ind w:firstLine="560" w:firstLineChars="200"/>
        <w:rPr>
          <w:sz w:val="28"/>
          <w:szCs w:val="28"/>
        </w:rPr>
      </w:pPr>
      <w:r>
        <w:rPr>
          <w:sz w:val="28"/>
          <w:szCs w:val="28"/>
        </w:rPr>
        <w:t>5</w:t>
      </w:r>
      <w:r>
        <w:rPr>
          <w:rFonts w:hint="eastAsia"/>
          <w:sz w:val="28"/>
          <w:szCs w:val="28"/>
        </w:rPr>
        <w:t>、驻场运维人员需是中国国籍，无犯罪记录及不良诚信记录。</w:t>
      </w:r>
    </w:p>
    <w:p w14:paraId="7BB0F4C1">
      <w:pPr>
        <w:ind w:firstLine="560" w:firstLineChars="200"/>
        <w:rPr>
          <w:rFonts w:hint="eastAsia"/>
          <w:sz w:val="28"/>
          <w:szCs w:val="28"/>
        </w:rPr>
      </w:pPr>
      <w:r>
        <w:rPr>
          <w:sz w:val="28"/>
          <w:szCs w:val="28"/>
        </w:rPr>
        <w:t>6</w:t>
      </w:r>
      <w:r>
        <w:rPr>
          <w:rFonts w:hint="eastAsia"/>
          <w:sz w:val="28"/>
          <w:szCs w:val="28"/>
        </w:rPr>
        <w:t>、驻场运维人员需遵循甲方单位的规章制度。</w:t>
      </w:r>
    </w:p>
    <w:p w14:paraId="441DE387">
      <w:pPr>
        <w:ind w:firstLine="560" w:firstLineChars="200"/>
        <w:rPr>
          <w:sz w:val="28"/>
          <w:szCs w:val="28"/>
        </w:rPr>
      </w:pPr>
      <w:r>
        <w:rPr>
          <w:rFonts w:hint="eastAsia"/>
          <w:sz w:val="28"/>
          <w:szCs w:val="28"/>
        </w:rPr>
        <w:t>7、协助甲方进行安全保密检查工作。</w:t>
      </w:r>
    </w:p>
    <w:p w14:paraId="48EED1FA">
      <w:pPr>
        <w:ind w:firstLine="560" w:firstLineChars="200"/>
        <w:rPr>
          <w:rFonts w:hint="eastAsia"/>
          <w:sz w:val="28"/>
          <w:szCs w:val="28"/>
        </w:rPr>
      </w:pPr>
      <w:r>
        <w:rPr>
          <w:rFonts w:hint="eastAsia"/>
          <w:sz w:val="28"/>
          <w:szCs w:val="28"/>
        </w:rPr>
        <w:t>如乙方因违反上述规定造成甲方信息泄露或被窃取的，甲方有权对乙方处以合同金额300%的罚款，并视情上报国家保密行政管理部门和市场监督管理部门，吊销乙方涉密资质和营业执照。涉嫌犯罪的依法追究相关人员刑事责任。</w:t>
      </w:r>
    </w:p>
    <w:p w14:paraId="03C98C5E">
      <w:pPr>
        <w:ind w:firstLine="560" w:firstLineChars="200"/>
        <w:rPr>
          <w:rFonts w:hint="eastAsia"/>
          <w:sz w:val="28"/>
          <w:szCs w:val="28"/>
        </w:rPr>
      </w:pPr>
      <w:r>
        <w:rPr>
          <w:rFonts w:hint="eastAsia"/>
          <w:sz w:val="28"/>
          <w:szCs w:val="28"/>
        </w:rPr>
        <w:t>8、若乙方人员在为甲方提供服务时侵犯了第三人的权利，致使甲方受到索赔或起诉，由此给甲方造成的一切损失由乙方承担（包括但不限于：直接损失、间接损失、公证费、诉讼费用、律师费用以及因此而支付的其他合理费用。）同时甲方有权解除合同，同时乙方及时消除不良影响。</w:t>
      </w:r>
    </w:p>
    <w:p w14:paraId="5292B662">
      <w:pPr>
        <w:tabs>
          <w:tab w:val="left" w:pos="480"/>
        </w:tabs>
        <w:ind w:firstLine="640" w:firstLineChars="200"/>
        <w:outlineLvl w:val="0"/>
        <w:rPr>
          <w:rFonts w:hint="eastAsia" w:ascii="宋体" w:hAnsi="宋体"/>
          <w:b/>
          <w:sz w:val="32"/>
          <w:szCs w:val="32"/>
        </w:rPr>
      </w:pPr>
      <w:r>
        <w:rPr>
          <w:rFonts w:hint="eastAsia" w:ascii="宋体" w:hAnsi="宋体"/>
          <w:b/>
          <w:sz w:val="32"/>
          <w:szCs w:val="32"/>
        </w:rPr>
        <w:t>十一、双方的权利和义务</w:t>
      </w:r>
    </w:p>
    <w:p w14:paraId="4C07194D">
      <w:pPr>
        <w:ind w:firstLine="560" w:firstLineChars="200"/>
        <w:rPr>
          <w:rFonts w:hint="eastAsia"/>
          <w:sz w:val="28"/>
          <w:szCs w:val="28"/>
        </w:rPr>
      </w:pPr>
      <w:r>
        <w:rPr>
          <w:rFonts w:hint="eastAsia"/>
          <w:sz w:val="28"/>
          <w:szCs w:val="28"/>
        </w:rPr>
        <w:t>1、甲方应提供项目实施所需的外部环境，如维护区域，维护主机等。</w:t>
      </w:r>
    </w:p>
    <w:p w14:paraId="35B00B5B">
      <w:pPr>
        <w:ind w:firstLine="560" w:firstLineChars="200"/>
        <w:rPr>
          <w:rFonts w:hint="eastAsia"/>
          <w:sz w:val="28"/>
          <w:szCs w:val="28"/>
        </w:rPr>
      </w:pPr>
      <w:r>
        <w:rPr>
          <w:sz w:val="28"/>
          <w:szCs w:val="28"/>
        </w:rPr>
        <w:t>2</w:t>
      </w:r>
      <w:r>
        <w:rPr>
          <w:rFonts w:hint="eastAsia"/>
          <w:sz w:val="28"/>
          <w:szCs w:val="28"/>
        </w:rPr>
        <w:t>、乙方有责任对该项目设备安装调试的运行环境条件提出要求或建议。</w:t>
      </w:r>
    </w:p>
    <w:p w14:paraId="1582832F">
      <w:pPr>
        <w:ind w:firstLine="560" w:firstLineChars="200"/>
        <w:rPr>
          <w:sz w:val="28"/>
          <w:szCs w:val="28"/>
        </w:rPr>
      </w:pPr>
      <w:r>
        <w:rPr>
          <w:sz w:val="28"/>
          <w:szCs w:val="28"/>
        </w:rPr>
        <w:t>3</w:t>
      </w:r>
      <w:r>
        <w:rPr>
          <w:rFonts w:hint="eastAsia"/>
          <w:sz w:val="28"/>
          <w:szCs w:val="28"/>
        </w:rPr>
        <w:t>、乙方按照本合同要求保质保量按时完成运维服务项目。</w:t>
      </w:r>
    </w:p>
    <w:p w14:paraId="256DDDD8">
      <w:pPr>
        <w:ind w:firstLine="560" w:firstLineChars="200"/>
        <w:rPr>
          <w:sz w:val="28"/>
          <w:szCs w:val="28"/>
        </w:rPr>
      </w:pPr>
      <w:r>
        <w:rPr>
          <w:sz w:val="28"/>
          <w:szCs w:val="28"/>
        </w:rPr>
        <w:t>4</w:t>
      </w:r>
      <w:r>
        <w:rPr>
          <w:rFonts w:hint="eastAsia"/>
          <w:sz w:val="28"/>
          <w:szCs w:val="28"/>
        </w:rPr>
        <w:t>、甲方应指派专人负责协调乙方与甲方内外部相关部门之间的关系，协调解决乙方在维护过程中的有关问题。</w:t>
      </w:r>
    </w:p>
    <w:p w14:paraId="6415A5DB">
      <w:pPr>
        <w:ind w:firstLine="560" w:firstLineChars="200"/>
        <w:rPr>
          <w:sz w:val="28"/>
          <w:szCs w:val="28"/>
        </w:rPr>
      </w:pPr>
      <w:r>
        <w:rPr>
          <w:sz w:val="28"/>
          <w:szCs w:val="28"/>
        </w:rPr>
        <w:t>5</w:t>
      </w:r>
      <w:r>
        <w:rPr>
          <w:rFonts w:hint="eastAsia"/>
          <w:sz w:val="28"/>
          <w:szCs w:val="28"/>
        </w:rPr>
        <w:t>、乙方在做好维保工作的同时应向甲方提供系统的技术咨询及建议协助甲方做好系统的建设及稳定运行工作。</w:t>
      </w:r>
    </w:p>
    <w:p w14:paraId="2DFBF483">
      <w:pPr>
        <w:ind w:firstLine="560" w:firstLineChars="200"/>
        <w:rPr>
          <w:sz w:val="28"/>
          <w:szCs w:val="28"/>
        </w:rPr>
      </w:pPr>
      <w:r>
        <w:rPr>
          <w:sz w:val="28"/>
          <w:szCs w:val="28"/>
        </w:rPr>
        <w:t>6</w:t>
      </w:r>
      <w:r>
        <w:rPr>
          <w:rFonts w:hint="eastAsia"/>
          <w:sz w:val="28"/>
          <w:szCs w:val="28"/>
        </w:rPr>
        <w:t>、甲方有义务按照本合同相应条款支付合同款项。</w:t>
      </w:r>
    </w:p>
    <w:p w14:paraId="39DBD98A">
      <w:pPr>
        <w:ind w:firstLine="560" w:firstLineChars="200"/>
        <w:rPr>
          <w:sz w:val="28"/>
          <w:szCs w:val="28"/>
        </w:rPr>
      </w:pPr>
      <w:r>
        <w:rPr>
          <w:rFonts w:hint="eastAsia"/>
          <w:sz w:val="28"/>
          <w:szCs w:val="28"/>
        </w:rPr>
        <w:t>7、在相应甲方需求之外，乙方还应定期对设备进行巡视，发现问题和隐患的，应及时解决并形成书面记录交付甲方。避免因未及时处理小问题而导致甲方设备遭受更大的损失，同时也可减少乙方的维保支出。</w:t>
      </w:r>
    </w:p>
    <w:p w14:paraId="16A6FBC5">
      <w:pPr>
        <w:ind w:firstLine="560" w:firstLineChars="200"/>
        <w:rPr>
          <w:rFonts w:hint="eastAsia"/>
          <w:sz w:val="28"/>
          <w:szCs w:val="28"/>
        </w:rPr>
      </w:pPr>
      <w:r>
        <w:rPr>
          <w:rFonts w:hint="eastAsia"/>
          <w:sz w:val="28"/>
          <w:szCs w:val="28"/>
        </w:rPr>
        <w:t>8、若乙方人员在为甲方提供服务时侵犯了第三人的权利，致使甲方受到索赔或起诉，由此给甲方造成的一切损失由乙方承担（包括但不限于：直接损失、间接损失、公证费、诉讼费用、律师费用以及因此而支付的其他合理费用。）同时甲方有权解除合同，同时乙方及时消除不良影响。</w:t>
      </w:r>
    </w:p>
    <w:p w14:paraId="307F216C">
      <w:pPr>
        <w:ind w:left="210" w:leftChars="100" w:firstLine="420"/>
        <w:outlineLvl w:val="0"/>
        <w:rPr>
          <w:rFonts w:hint="eastAsia" w:ascii="宋体" w:hAnsi="宋体"/>
          <w:b/>
          <w:sz w:val="32"/>
          <w:szCs w:val="32"/>
        </w:rPr>
      </w:pPr>
      <w:r>
        <w:rPr>
          <w:rFonts w:hint="eastAsia" w:ascii="宋体" w:hAnsi="宋体"/>
          <w:b/>
          <w:sz w:val="32"/>
          <w:szCs w:val="32"/>
        </w:rPr>
        <w:t>十二、违约责任</w:t>
      </w:r>
    </w:p>
    <w:p w14:paraId="6FF3D9A9">
      <w:pPr>
        <w:tabs>
          <w:tab w:val="left" w:pos="480"/>
        </w:tabs>
        <w:ind w:firstLine="560" w:firstLineChars="200"/>
        <w:rPr>
          <w:rFonts w:hint="eastAsia"/>
          <w:sz w:val="28"/>
          <w:szCs w:val="28"/>
        </w:rPr>
      </w:pPr>
      <w:r>
        <w:rPr>
          <w:sz w:val="28"/>
          <w:szCs w:val="28"/>
        </w:rPr>
        <w:t>1</w:t>
      </w:r>
      <w:r>
        <w:rPr>
          <w:rFonts w:hint="eastAsia"/>
          <w:sz w:val="28"/>
          <w:szCs w:val="28"/>
        </w:rPr>
        <w:t>、</w:t>
      </w:r>
      <w:r>
        <w:rPr>
          <w:rFonts w:hint="eastAsia"/>
          <w:sz w:val="28"/>
          <w:szCs w:val="28"/>
          <w:lang w:val="en-US" w:eastAsia="zh-CN"/>
        </w:rPr>
        <w:t>乙方交付的提供的服务不符合磋商文件、响应文件或本合同规定的，甲方有权拒收，并且乙方须向甲方支付本合同总价5%的违约金；经整改后仍不符合磋商文件、响应文件或本合同规定的，甲方有权解除合同，乙方应退还甲方已支付的合同价款。</w:t>
      </w:r>
      <w:r>
        <w:rPr>
          <w:rFonts w:hint="eastAsia"/>
          <w:sz w:val="28"/>
          <w:szCs w:val="28"/>
        </w:rPr>
        <w:t>因乙方违约产生的违约金、赔偿等，甲方有权在未付款项中直接予以扣除，扣除金额不足以弥补甲方损失的，乙方应对甲方的全部损失承担赔偿责任。</w:t>
      </w:r>
    </w:p>
    <w:p w14:paraId="6C233434">
      <w:pPr>
        <w:tabs>
          <w:tab w:val="left" w:pos="480"/>
        </w:tabs>
        <w:ind w:firstLine="560" w:firstLineChars="200"/>
        <w:rPr>
          <w:rFonts w:hint="eastAsia"/>
          <w:sz w:val="28"/>
          <w:szCs w:val="28"/>
          <w:lang w:val="en-US" w:eastAsia="zh-CN"/>
        </w:rPr>
      </w:pPr>
      <w:r>
        <w:rPr>
          <w:rFonts w:hint="eastAsia"/>
          <w:sz w:val="28"/>
          <w:szCs w:val="28"/>
          <w:lang w:val="en-US" w:eastAsia="zh-CN"/>
        </w:rPr>
        <w:t>2、乙方未能按本合同规定的时间提供服务的，从逾期之日起每日按本合同总价0.5‰的数额向甲方支付违约金；逾期半个月以上的，甲方有权终止合同，并有权拒绝支付剩余50%款项，且由此造成的甲方经济损失由乙方承担。</w:t>
      </w:r>
    </w:p>
    <w:p w14:paraId="050DAD00">
      <w:pPr>
        <w:tabs>
          <w:tab w:val="left" w:pos="480"/>
        </w:tabs>
        <w:ind w:firstLine="560" w:firstLineChars="200"/>
        <w:rPr>
          <w:rFonts w:hint="eastAsia"/>
          <w:sz w:val="28"/>
          <w:szCs w:val="28"/>
          <w:lang w:val="en-US" w:eastAsia="zh-CN"/>
        </w:rPr>
      </w:pPr>
      <w:r>
        <w:rPr>
          <w:rFonts w:hint="eastAsia"/>
          <w:sz w:val="28"/>
          <w:szCs w:val="28"/>
          <w:lang w:val="en-US" w:eastAsia="zh-CN"/>
        </w:rPr>
        <w:t>3、甲方无正当理由拒接受服务，到期拒付服务款项的，甲方向乙方偿付本合同总拒绝金额5%的违约金。非因乙方原因造成的甲方逾期付款，则每日按本合同总价的0.5‰向乙方偿付违约金。</w:t>
      </w:r>
    </w:p>
    <w:p w14:paraId="491B3876">
      <w:pPr>
        <w:tabs>
          <w:tab w:val="left" w:pos="480"/>
        </w:tabs>
        <w:ind w:firstLine="560" w:firstLineChars="200"/>
        <w:rPr>
          <w:rFonts w:hint="default"/>
          <w:sz w:val="28"/>
          <w:szCs w:val="28"/>
          <w:lang w:val="en-US" w:eastAsia="zh-CN"/>
        </w:rPr>
      </w:pPr>
      <w:r>
        <w:rPr>
          <w:rFonts w:hint="eastAsia"/>
          <w:sz w:val="28"/>
          <w:szCs w:val="28"/>
          <w:lang w:val="en-US" w:eastAsia="zh-CN"/>
        </w:rPr>
        <w:t>4、其它违约责任按《中华人民共和国民法典》处理。</w:t>
      </w:r>
    </w:p>
    <w:p w14:paraId="2DB0FBC0">
      <w:pPr>
        <w:tabs>
          <w:tab w:val="left" w:pos="480"/>
        </w:tabs>
        <w:ind w:firstLine="560" w:firstLineChars="200"/>
        <w:rPr>
          <w:sz w:val="28"/>
          <w:szCs w:val="28"/>
        </w:rPr>
      </w:pPr>
      <w:r>
        <w:rPr>
          <w:rFonts w:hint="eastAsia"/>
          <w:sz w:val="28"/>
          <w:szCs w:val="28"/>
          <w:lang w:val="en-US" w:eastAsia="zh-CN"/>
        </w:rPr>
        <w:t>5</w:t>
      </w:r>
      <w:r>
        <w:rPr>
          <w:rFonts w:hint="eastAsia"/>
          <w:sz w:val="28"/>
          <w:szCs w:val="28"/>
        </w:rPr>
        <w:t>、乙方在甲方提出设备故障时，未在本合同约定的响应时间内给予响应或未在约定的时间内派专业人员抵达甲方指定的用户现场提供技术服务的</w:t>
      </w:r>
      <w:r>
        <w:rPr>
          <w:rFonts w:hint="eastAsia" w:ascii="宋体" w:hAnsi="宋体"/>
          <w:sz w:val="28"/>
          <w:szCs w:val="28"/>
        </w:rPr>
        <w:t>、</w:t>
      </w:r>
      <w:r>
        <w:rPr>
          <w:rFonts w:hint="eastAsia"/>
          <w:sz w:val="28"/>
          <w:szCs w:val="28"/>
        </w:rPr>
        <w:t>或未在双方约定的服务时间内完成故障修复工作的视为乙方违约，乙方每延迟提供服务一次即应向甲方支付合同总金额的1%</w:t>
      </w:r>
      <w:r>
        <w:rPr>
          <w:rFonts w:hint="eastAsia" w:ascii="Arial" w:hAnsi="Arial" w:cs="Arial"/>
          <w:sz w:val="28"/>
          <w:szCs w:val="28"/>
        </w:rPr>
        <w:t>为</w:t>
      </w:r>
      <w:r>
        <w:rPr>
          <w:rFonts w:hint="eastAsia"/>
          <w:sz w:val="28"/>
          <w:szCs w:val="28"/>
        </w:rPr>
        <w:t>违约金，该款项甲方有权从应付乙方的服务费中直接扣除。</w:t>
      </w:r>
    </w:p>
    <w:p w14:paraId="00F0D1A6">
      <w:pPr>
        <w:tabs>
          <w:tab w:val="left" w:pos="480"/>
        </w:tabs>
        <w:ind w:firstLine="560" w:firstLineChars="200"/>
        <w:rPr>
          <w:sz w:val="28"/>
          <w:szCs w:val="28"/>
        </w:rPr>
      </w:pPr>
      <w:r>
        <w:rPr>
          <w:rFonts w:hint="eastAsia"/>
          <w:sz w:val="28"/>
          <w:szCs w:val="28"/>
          <w:lang w:val="en-US" w:eastAsia="zh-CN"/>
        </w:rPr>
        <w:t>6</w:t>
      </w:r>
      <w:r>
        <w:rPr>
          <w:rFonts w:hint="eastAsia"/>
          <w:sz w:val="28"/>
          <w:szCs w:val="28"/>
        </w:rPr>
        <w:t>、如因乙方提供维保技术服务导致甲方设备、系统损坏的，乙方除赔偿甲方全部经济损失（包括直接损失和间接损失）外，应向甲方支付合同总金额</w:t>
      </w:r>
      <w:r>
        <w:rPr>
          <w:sz w:val="28"/>
          <w:szCs w:val="28"/>
        </w:rPr>
        <w:t>1</w:t>
      </w:r>
      <w:r>
        <w:rPr>
          <w:rFonts w:hint="eastAsia"/>
          <w:sz w:val="28"/>
          <w:szCs w:val="28"/>
        </w:rPr>
        <w:t>%的违约金，该款项甲方有权从应付乙方的服务费中直接扣除。</w:t>
      </w:r>
    </w:p>
    <w:p w14:paraId="51B7F7D8">
      <w:pPr>
        <w:tabs>
          <w:tab w:val="left" w:pos="480"/>
        </w:tabs>
        <w:ind w:firstLine="560" w:firstLineChars="200"/>
        <w:rPr>
          <w:sz w:val="28"/>
          <w:szCs w:val="28"/>
        </w:rPr>
      </w:pPr>
      <w:r>
        <w:rPr>
          <w:rFonts w:hint="eastAsia"/>
          <w:sz w:val="28"/>
          <w:szCs w:val="28"/>
          <w:lang w:val="en-US" w:eastAsia="zh-CN"/>
        </w:rPr>
        <w:t>7</w:t>
      </w:r>
      <w:r>
        <w:rPr>
          <w:rFonts w:hint="eastAsia"/>
          <w:sz w:val="28"/>
          <w:szCs w:val="28"/>
        </w:rPr>
        <w:t>、若乙方未完全履行本合同所约定的义务，并在接到甲方书面通知</w:t>
      </w:r>
      <w:r>
        <w:rPr>
          <w:sz w:val="28"/>
          <w:szCs w:val="28"/>
        </w:rPr>
        <w:t>30</w:t>
      </w:r>
      <w:r>
        <w:rPr>
          <w:rFonts w:hint="eastAsia"/>
          <w:sz w:val="28"/>
          <w:szCs w:val="28"/>
        </w:rPr>
        <w:t>日内仍未予以纠正时，甲方有权单方解除本合同，本合同自甲方解除通知送达之日解除。乙方在接到甲方解除通知后</w:t>
      </w:r>
      <w:r>
        <w:rPr>
          <w:sz w:val="28"/>
          <w:szCs w:val="28"/>
        </w:rPr>
        <w:t>3</w:t>
      </w:r>
      <w:r>
        <w:rPr>
          <w:rFonts w:hint="eastAsia"/>
          <w:sz w:val="28"/>
          <w:szCs w:val="28"/>
        </w:rPr>
        <w:t>日内须以【转账或支票】的方式退还甲方已支付的全部费用，甲方未支付的技术服务费不再支付。</w:t>
      </w:r>
    </w:p>
    <w:p w14:paraId="2AB5048F">
      <w:pPr>
        <w:tabs>
          <w:tab w:val="left" w:pos="480"/>
        </w:tabs>
        <w:ind w:firstLine="560" w:firstLineChars="200"/>
        <w:rPr>
          <w:rFonts w:hint="eastAsia"/>
          <w:sz w:val="28"/>
          <w:szCs w:val="28"/>
        </w:rPr>
      </w:pPr>
      <w:r>
        <w:rPr>
          <w:rFonts w:hint="eastAsia"/>
          <w:sz w:val="28"/>
          <w:szCs w:val="28"/>
          <w:lang w:val="en-US" w:eastAsia="zh-CN"/>
        </w:rPr>
        <w:t>8</w:t>
      </w:r>
      <w:r>
        <w:rPr>
          <w:rFonts w:hint="eastAsia"/>
          <w:sz w:val="28"/>
          <w:szCs w:val="28"/>
        </w:rPr>
        <w:t>、一方违反本合同规定，给另一方造成经济损失的，除承担上述违约责任外，违约方还应承担相应赔偿责任，损失包括但不限于律师费、诉讼费、保全费等费用。</w:t>
      </w:r>
    </w:p>
    <w:p w14:paraId="394AE42B">
      <w:pPr>
        <w:tabs>
          <w:tab w:val="left" w:pos="480"/>
        </w:tabs>
        <w:ind w:firstLine="640" w:firstLineChars="200"/>
        <w:outlineLvl w:val="0"/>
        <w:rPr>
          <w:rFonts w:hint="eastAsia" w:ascii="宋体" w:hAnsi="宋体"/>
          <w:b/>
          <w:sz w:val="32"/>
          <w:szCs w:val="32"/>
        </w:rPr>
      </w:pPr>
      <w:r>
        <w:rPr>
          <w:rFonts w:hint="eastAsia" w:ascii="宋体" w:hAnsi="宋体"/>
          <w:b/>
          <w:sz w:val="32"/>
          <w:szCs w:val="32"/>
        </w:rPr>
        <w:t>十三、合同争议解决的方式</w:t>
      </w:r>
    </w:p>
    <w:p w14:paraId="0A382E69">
      <w:pPr>
        <w:ind w:firstLine="560" w:firstLineChars="200"/>
        <w:rPr>
          <w:rFonts w:hint="eastAsia"/>
          <w:sz w:val="28"/>
          <w:szCs w:val="28"/>
        </w:rPr>
      </w:pPr>
      <w:r>
        <w:rPr>
          <w:rFonts w:hint="eastAsia"/>
          <w:sz w:val="28"/>
          <w:szCs w:val="28"/>
        </w:rPr>
        <w:t>本合同在履行过程中发生争议，由甲乙双方当事人协商解决，协商不成的向甲方住所地人民法院起诉。</w:t>
      </w:r>
    </w:p>
    <w:p w14:paraId="3D02E541">
      <w:pPr>
        <w:tabs>
          <w:tab w:val="left" w:pos="480"/>
        </w:tabs>
        <w:ind w:firstLine="640" w:firstLineChars="200"/>
        <w:outlineLvl w:val="0"/>
        <w:rPr>
          <w:rFonts w:ascii="宋体" w:hAnsi="宋体"/>
          <w:b/>
          <w:sz w:val="32"/>
          <w:szCs w:val="32"/>
        </w:rPr>
      </w:pPr>
      <w:r>
        <w:rPr>
          <w:rFonts w:hint="eastAsia" w:ascii="宋体" w:hAnsi="宋体"/>
          <w:b/>
          <w:sz w:val="32"/>
          <w:szCs w:val="32"/>
        </w:rPr>
        <w:t>十四、通知送达</w:t>
      </w:r>
    </w:p>
    <w:p w14:paraId="668D5666">
      <w:pPr>
        <w:ind w:firstLine="560" w:firstLineChars="200"/>
        <w:rPr>
          <w:rFonts w:hint="eastAsia"/>
          <w:sz w:val="28"/>
          <w:szCs w:val="28"/>
        </w:rPr>
      </w:pPr>
      <w:r>
        <w:rPr>
          <w:rFonts w:hint="eastAsia"/>
          <w:sz w:val="28"/>
          <w:szCs w:val="28"/>
        </w:rPr>
        <w:t>本合同履行期间双方往来的全部通知、函件或法院法律文书等文件，必须采用书面形式，通过邮寄或电子邮件的方式送达对方。双方通信地址详见签署页信息，如联系人信息发生变更的，则应在变更之日起 3日内书面通知对方，否则按照之前信息送达视为已经送达。</w:t>
      </w:r>
    </w:p>
    <w:p w14:paraId="6A3BF55F">
      <w:pPr>
        <w:ind w:firstLine="560" w:firstLineChars="200"/>
        <w:rPr>
          <w:rFonts w:hint="eastAsia"/>
          <w:sz w:val="28"/>
          <w:szCs w:val="28"/>
        </w:rPr>
      </w:pPr>
      <w:r>
        <w:rPr>
          <w:rFonts w:hint="eastAsia"/>
          <w:sz w:val="28"/>
          <w:szCs w:val="28"/>
        </w:rPr>
        <w:t>对于任何通知或联络，如直接交付，则在接收一方或其被授权人签收时视为送达;如用传真，在发出后视为送达;如果通过国内快递方式邮寄，则在寄出后第三天被视作已送达(一方拒绝签收邮件的，视为送达 ); 如用电子邮件方式，以电子邮件在发信服务器上所记录的发出时间为送达时间，如服务器未收到发送失败反馈的，视为通知已成功送达。如用微信、电话方式，以接收方软件所显示时间、电话接通时间为送达时间。如用公告方式，以公告之日起 60日期满之日为送达时间。</w:t>
      </w:r>
    </w:p>
    <w:p w14:paraId="640285A2">
      <w:pPr>
        <w:tabs>
          <w:tab w:val="left" w:pos="480"/>
        </w:tabs>
        <w:ind w:firstLine="640" w:firstLineChars="200"/>
        <w:outlineLvl w:val="0"/>
        <w:rPr>
          <w:rFonts w:hint="eastAsia" w:ascii="宋体" w:hAnsi="宋体"/>
          <w:b/>
          <w:sz w:val="32"/>
          <w:szCs w:val="32"/>
        </w:rPr>
      </w:pPr>
      <w:r>
        <w:rPr>
          <w:rFonts w:hint="eastAsia" w:ascii="宋体" w:hAnsi="宋体"/>
          <w:b/>
          <w:sz w:val="32"/>
          <w:szCs w:val="32"/>
        </w:rPr>
        <w:t>十五、其他事项</w:t>
      </w:r>
    </w:p>
    <w:p w14:paraId="27E34CD7">
      <w:pPr>
        <w:ind w:firstLine="708" w:firstLineChars="253"/>
        <w:rPr>
          <w:rFonts w:hint="eastAsia"/>
          <w:sz w:val="28"/>
          <w:szCs w:val="28"/>
        </w:rPr>
      </w:pPr>
      <w:r>
        <w:rPr>
          <w:rFonts w:hint="eastAsia"/>
          <w:sz w:val="28"/>
          <w:szCs w:val="28"/>
        </w:rPr>
        <w:t>1、招标文件、投标文件、澄清函、合同附件均成为合同不可分割的部分，具有同等法律效力。上述文件之间如有相互矛盾之条款，以所列顺序在前的且有利于甲方的文件之条款为准。</w:t>
      </w:r>
    </w:p>
    <w:p w14:paraId="6CD018A5">
      <w:pPr>
        <w:ind w:firstLine="708" w:firstLineChars="253"/>
        <w:rPr>
          <w:rFonts w:hint="eastAsia"/>
          <w:sz w:val="28"/>
          <w:szCs w:val="28"/>
        </w:rPr>
      </w:pPr>
      <w:r>
        <w:rPr>
          <w:rFonts w:hint="eastAsia"/>
          <w:sz w:val="28"/>
          <w:szCs w:val="28"/>
        </w:rPr>
        <w:t>2、合同未尽事宜，由甲、乙双方协商，作为合同补充，与原合同具有同等法律效力。</w:t>
      </w:r>
    </w:p>
    <w:p w14:paraId="2377FF63">
      <w:pPr>
        <w:tabs>
          <w:tab w:val="left" w:pos="480"/>
          <w:tab w:val="left" w:pos="6400"/>
        </w:tabs>
        <w:ind w:firstLine="708" w:firstLineChars="253"/>
        <w:rPr>
          <w:rFonts w:hint="eastAsia"/>
          <w:sz w:val="28"/>
          <w:szCs w:val="28"/>
        </w:rPr>
      </w:pPr>
      <w:r>
        <w:rPr>
          <w:rFonts w:hint="eastAsia"/>
          <w:sz w:val="28"/>
          <w:szCs w:val="28"/>
        </w:rPr>
        <w:t>3、</w:t>
      </w:r>
      <w:r>
        <w:rPr>
          <w:rFonts w:hint="eastAsia" w:ascii="宋体" w:hAnsi="宋体"/>
          <w:sz w:val="28"/>
          <w:szCs w:val="28"/>
        </w:rPr>
        <w:t>本合同一式六份，甲方执</w:t>
      </w:r>
      <w:r>
        <w:rPr>
          <w:rFonts w:ascii="宋体" w:hAnsi="宋体"/>
          <w:sz w:val="28"/>
          <w:szCs w:val="28"/>
        </w:rPr>
        <w:t>4</w:t>
      </w:r>
      <w:r>
        <w:rPr>
          <w:rFonts w:hint="eastAsia" w:ascii="宋体" w:hAnsi="宋体"/>
          <w:sz w:val="28"/>
          <w:szCs w:val="28"/>
        </w:rPr>
        <w:t>份、乙方执2份，双方签字盖章生效，合同执行完毕后，自动失效。</w:t>
      </w:r>
    </w:p>
    <w:p w14:paraId="3C449020">
      <w:pPr>
        <w:ind w:firstLine="708" w:firstLineChars="253"/>
        <w:rPr>
          <w:rFonts w:hint="default" w:eastAsia="宋体"/>
          <w:sz w:val="28"/>
          <w:szCs w:val="28"/>
          <w:lang w:val="en-US" w:eastAsia="zh-CN"/>
        </w:rPr>
      </w:pPr>
      <w:r>
        <w:rPr>
          <w:rFonts w:hint="eastAsia"/>
          <w:sz w:val="28"/>
          <w:szCs w:val="28"/>
        </w:rPr>
        <w:t>4、附件：附件1、附件2</w:t>
      </w:r>
      <w:r>
        <w:rPr>
          <w:rFonts w:hint="eastAsia"/>
          <w:sz w:val="28"/>
          <w:szCs w:val="28"/>
          <w:lang w:eastAsia="zh-CN"/>
        </w:rPr>
        <w:t>、</w:t>
      </w:r>
      <w:r>
        <w:rPr>
          <w:rFonts w:hint="eastAsia"/>
          <w:sz w:val="28"/>
          <w:szCs w:val="28"/>
          <w:lang w:val="en-US" w:eastAsia="zh-CN"/>
        </w:rPr>
        <w:t>附件3。</w:t>
      </w:r>
    </w:p>
    <w:tbl>
      <w:tblPr>
        <w:tblStyle w:val="6"/>
        <w:tblpPr w:leftFromText="180" w:rightFromText="180" w:vertAnchor="text" w:horzAnchor="margin" w:tblpX="36" w:tblpY="44"/>
        <w:tblW w:w="88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0"/>
        <w:gridCol w:w="4463"/>
      </w:tblGrid>
      <w:tr w14:paraId="68218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430" w:type="dxa"/>
            <w:noWrap w:val="0"/>
            <w:vAlign w:val="center"/>
          </w:tcPr>
          <w:p w14:paraId="18D0C77F">
            <w:pPr>
              <w:spacing w:line="360" w:lineRule="auto"/>
            </w:pPr>
            <w:r>
              <w:rPr>
                <w:rFonts w:hint="eastAsia"/>
              </w:rPr>
              <w:t xml:space="preserve">甲  方：陕西省公安厅  </w:t>
            </w:r>
          </w:p>
        </w:tc>
        <w:tc>
          <w:tcPr>
            <w:tcW w:w="4463" w:type="dxa"/>
            <w:noWrap w:val="0"/>
            <w:vAlign w:val="center"/>
          </w:tcPr>
          <w:p w14:paraId="30DEEC49">
            <w:pPr>
              <w:spacing w:line="360" w:lineRule="auto"/>
              <w:jc w:val="left"/>
              <w:rPr>
                <w:rFonts w:hint="eastAsia" w:eastAsia="宋体"/>
                <w:lang w:eastAsia="zh-CN"/>
              </w:rPr>
            </w:pPr>
            <w:r>
              <w:rPr>
                <w:rFonts w:hint="eastAsia"/>
              </w:rPr>
              <w:t>乙  方：</w:t>
            </w:r>
          </w:p>
        </w:tc>
      </w:tr>
      <w:tr w14:paraId="401C3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4430" w:type="dxa"/>
            <w:noWrap w:val="0"/>
            <w:vAlign w:val="center"/>
          </w:tcPr>
          <w:p w14:paraId="36A85A06">
            <w:pPr>
              <w:spacing w:line="360" w:lineRule="auto"/>
            </w:pPr>
            <w:r>
              <w:rPr>
                <w:rFonts w:hint="eastAsia"/>
              </w:rPr>
              <w:t>地  址：西安市</w:t>
            </w:r>
            <w:r>
              <w:t>未央区凤城二路</w:t>
            </w:r>
          </w:p>
        </w:tc>
        <w:tc>
          <w:tcPr>
            <w:tcW w:w="4463" w:type="dxa"/>
            <w:noWrap w:val="0"/>
            <w:vAlign w:val="center"/>
          </w:tcPr>
          <w:p w14:paraId="200B4681">
            <w:pPr>
              <w:spacing w:line="360" w:lineRule="auto"/>
              <w:jc w:val="left"/>
            </w:pPr>
            <w:r>
              <w:rPr>
                <w:rFonts w:hint="eastAsia"/>
              </w:rPr>
              <w:t>地　址：陕西省西安市雁塔北路陕西红锋商务大厦8层</w:t>
            </w:r>
          </w:p>
        </w:tc>
      </w:tr>
      <w:tr w14:paraId="1263B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trPr>
        <w:tc>
          <w:tcPr>
            <w:tcW w:w="4430" w:type="dxa"/>
            <w:noWrap w:val="0"/>
            <w:vAlign w:val="center"/>
          </w:tcPr>
          <w:p w14:paraId="079539A5">
            <w:pPr>
              <w:spacing w:line="360" w:lineRule="auto"/>
            </w:pPr>
            <w:r>
              <w:rPr>
                <w:rFonts w:hint="eastAsia"/>
              </w:rPr>
              <w:t>授权人</w:t>
            </w:r>
            <w:r>
              <w:t>签字</w:t>
            </w:r>
            <w:r>
              <w:rPr>
                <w:rFonts w:hint="eastAsia"/>
              </w:rPr>
              <w:t>：</w:t>
            </w:r>
          </w:p>
          <w:p w14:paraId="69E81401">
            <w:pPr>
              <w:pStyle w:val="5"/>
              <w:ind w:firstLine="210"/>
              <w:rPr>
                <w:rFonts w:ascii="Times New Roman" w:hAnsi="Times New Roman"/>
                <w:sz w:val="21"/>
                <w:szCs w:val="24"/>
              </w:rPr>
            </w:pPr>
          </w:p>
          <w:p w14:paraId="3E8B076D">
            <w:pPr>
              <w:pStyle w:val="5"/>
              <w:ind w:firstLine="210"/>
              <w:rPr>
                <w:rFonts w:hint="eastAsia" w:ascii="Times New Roman" w:hAnsi="Times New Roman"/>
                <w:sz w:val="21"/>
                <w:szCs w:val="24"/>
              </w:rPr>
            </w:pPr>
          </w:p>
          <w:p w14:paraId="59AFCCD5">
            <w:pPr>
              <w:wordWrap w:val="0"/>
              <w:topLinePunct/>
              <w:snapToGrid w:val="0"/>
              <w:spacing w:line="400" w:lineRule="exact"/>
              <w:contextualSpacing/>
              <w:jc w:val="left"/>
            </w:pPr>
            <w:r>
              <w:rPr>
                <w:rFonts w:hint="eastAsia"/>
              </w:rPr>
              <w:t>使用单位代表签字：</w:t>
            </w:r>
          </w:p>
          <w:p w14:paraId="03F22EF2">
            <w:pPr>
              <w:wordWrap w:val="0"/>
              <w:topLinePunct/>
              <w:snapToGrid w:val="0"/>
              <w:spacing w:line="400" w:lineRule="exact"/>
              <w:contextualSpacing/>
              <w:jc w:val="left"/>
            </w:pPr>
          </w:p>
          <w:p w14:paraId="5CC471E4">
            <w:pPr>
              <w:wordWrap w:val="0"/>
              <w:topLinePunct/>
              <w:snapToGrid w:val="0"/>
              <w:spacing w:line="400" w:lineRule="exact"/>
              <w:contextualSpacing/>
              <w:jc w:val="left"/>
              <w:rPr>
                <w:rFonts w:hint="eastAsia"/>
              </w:rPr>
            </w:pPr>
          </w:p>
        </w:tc>
        <w:tc>
          <w:tcPr>
            <w:tcW w:w="4463" w:type="dxa"/>
            <w:noWrap w:val="0"/>
            <w:vAlign w:val="center"/>
          </w:tcPr>
          <w:p w14:paraId="549AA05A">
            <w:pPr>
              <w:tabs>
                <w:tab w:val="left" w:pos="5355"/>
              </w:tabs>
              <w:spacing w:line="360" w:lineRule="auto"/>
              <w:jc w:val="left"/>
            </w:pPr>
            <w:r>
              <w:rPr>
                <w:rFonts w:hint="eastAsia"/>
              </w:rPr>
              <w:t>法定代表人或授权人</w:t>
            </w:r>
            <w:r>
              <w:t>签字</w:t>
            </w:r>
            <w:r>
              <w:rPr>
                <w:rFonts w:hint="eastAsia"/>
              </w:rPr>
              <w:t>：</w:t>
            </w:r>
          </w:p>
        </w:tc>
      </w:tr>
      <w:tr w14:paraId="1AB0D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4430" w:type="dxa"/>
            <w:vMerge w:val="restart"/>
            <w:noWrap w:val="0"/>
            <w:vAlign w:val="center"/>
          </w:tcPr>
          <w:p w14:paraId="6176E688">
            <w:pPr>
              <w:spacing w:line="360" w:lineRule="auto"/>
            </w:pPr>
            <w:r>
              <w:rPr>
                <w:rFonts w:hint="eastAsia"/>
              </w:rPr>
              <w:t>联系电话：029-86165851</w:t>
            </w:r>
          </w:p>
        </w:tc>
        <w:tc>
          <w:tcPr>
            <w:tcW w:w="4463" w:type="dxa"/>
            <w:noWrap w:val="0"/>
            <w:vAlign w:val="center"/>
          </w:tcPr>
          <w:p w14:paraId="1F2A465A">
            <w:pPr>
              <w:spacing w:line="360" w:lineRule="auto"/>
            </w:pPr>
            <w:r>
              <w:rPr>
                <w:rFonts w:hint="eastAsia"/>
              </w:rPr>
              <w:t>联系电话：029-</w:t>
            </w:r>
            <w:r>
              <w:t>85511000</w:t>
            </w:r>
          </w:p>
        </w:tc>
      </w:tr>
      <w:tr w14:paraId="0FC7F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4430" w:type="dxa"/>
            <w:vMerge w:val="continue"/>
            <w:noWrap w:val="0"/>
            <w:vAlign w:val="center"/>
          </w:tcPr>
          <w:p w14:paraId="74ED64E5">
            <w:pPr>
              <w:spacing w:line="360" w:lineRule="auto"/>
            </w:pPr>
          </w:p>
        </w:tc>
        <w:tc>
          <w:tcPr>
            <w:tcW w:w="4463" w:type="dxa"/>
            <w:noWrap w:val="0"/>
            <w:vAlign w:val="center"/>
          </w:tcPr>
          <w:p w14:paraId="2F8EBC86">
            <w:pPr>
              <w:tabs>
                <w:tab w:val="left" w:pos="5355"/>
              </w:tabs>
            </w:pPr>
            <w:r>
              <w:rPr>
                <w:rFonts w:hint="eastAsia"/>
              </w:rPr>
              <w:t>开户行：中国光大银行股份有限公司西安友谊路支行</w:t>
            </w:r>
          </w:p>
        </w:tc>
      </w:tr>
      <w:tr w14:paraId="52CF3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4430" w:type="dxa"/>
            <w:vMerge w:val="continue"/>
            <w:noWrap w:val="0"/>
            <w:vAlign w:val="center"/>
          </w:tcPr>
          <w:p w14:paraId="703728B7">
            <w:pPr>
              <w:spacing w:line="360" w:lineRule="auto"/>
            </w:pPr>
          </w:p>
        </w:tc>
        <w:tc>
          <w:tcPr>
            <w:tcW w:w="4463" w:type="dxa"/>
            <w:noWrap w:val="0"/>
            <w:vAlign w:val="center"/>
          </w:tcPr>
          <w:p w14:paraId="2571D0E4">
            <w:pPr>
              <w:tabs>
                <w:tab w:val="left" w:pos="5355"/>
              </w:tabs>
              <w:spacing w:line="360" w:lineRule="auto"/>
            </w:pPr>
            <w:r>
              <w:rPr>
                <w:rFonts w:hint="eastAsia"/>
              </w:rPr>
              <w:t>账  号：7856 0188 0001 35113</w:t>
            </w:r>
          </w:p>
        </w:tc>
      </w:tr>
      <w:tr w14:paraId="321A7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trPr>
        <w:tc>
          <w:tcPr>
            <w:tcW w:w="4430" w:type="dxa"/>
            <w:noWrap w:val="0"/>
            <w:vAlign w:val="center"/>
          </w:tcPr>
          <w:p w14:paraId="09A712AD">
            <w:pPr>
              <w:spacing w:line="360" w:lineRule="auto"/>
            </w:pPr>
            <w:r>
              <w:rPr>
                <w:rFonts w:hint="eastAsia"/>
              </w:rPr>
              <w:t>日  期：    年   月   日</w:t>
            </w:r>
          </w:p>
        </w:tc>
        <w:tc>
          <w:tcPr>
            <w:tcW w:w="4463" w:type="dxa"/>
            <w:noWrap w:val="0"/>
            <w:vAlign w:val="center"/>
          </w:tcPr>
          <w:p w14:paraId="6EE7AAD2">
            <w:pPr>
              <w:spacing w:line="360" w:lineRule="auto"/>
            </w:pPr>
            <w:r>
              <w:rPr>
                <w:rFonts w:hint="eastAsia"/>
              </w:rPr>
              <w:t>日  期：    年   月   日</w:t>
            </w:r>
          </w:p>
        </w:tc>
      </w:tr>
    </w:tbl>
    <w:p w14:paraId="0D9813A7">
      <w:pPr>
        <w:jc w:val="left"/>
        <w:rPr>
          <w:b/>
          <w:sz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474" w:bottom="1440" w:left="1588" w:header="851" w:footer="992" w:gutter="0"/>
          <w:cols w:space="720" w:num="1"/>
          <w:titlePg/>
          <w:docGrid w:type="linesAndChars" w:linePitch="498" w:charSpace="0"/>
        </w:sectPr>
      </w:pPr>
      <w:bookmarkStart w:id="7" w:name="_Toc27400427"/>
    </w:p>
    <w:p w14:paraId="015A0303">
      <w:pPr>
        <w:jc w:val="left"/>
        <w:outlineLvl w:val="0"/>
        <w:rPr>
          <w:rFonts w:hint="eastAsia"/>
          <w:b/>
          <w:sz w:val="24"/>
        </w:rPr>
      </w:pPr>
      <w:r>
        <w:rPr>
          <w:rFonts w:hint="eastAsia"/>
          <w:b/>
          <w:sz w:val="24"/>
        </w:rPr>
        <w:t>附件1：服务内容清单</w:t>
      </w:r>
    </w:p>
    <w:p w14:paraId="563097AE">
      <w:pPr>
        <w:jc w:val="left"/>
      </w:pPr>
    </w:p>
    <w:p w14:paraId="107677AB">
      <w:pPr>
        <w:jc w:val="left"/>
      </w:pPr>
    </w:p>
    <w:bookmarkEnd w:id="7"/>
    <w:p w14:paraId="3DA2E2AF">
      <w:pPr>
        <w:jc w:val="left"/>
        <w:outlineLvl w:val="0"/>
        <w:sectPr>
          <w:footerReference r:id="rId10" w:type="first"/>
          <w:footerReference r:id="rId9" w:type="default"/>
          <w:pgSz w:w="11906" w:h="16838"/>
          <w:pgMar w:top="1440" w:right="1474" w:bottom="1440" w:left="1588" w:header="851" w:footer="992" w:gutter="0"/>
          <w:cols w:space="720" w:num="1"/>
          <w:titlePg/>
          <w:docGrid w:linePitch="498" w:charSpace="0"/>
        </w:sectPr>
      </w:pPr>
    </w:p>
    <w:p w14:paraId="1C7A0F76">
      <w:pPr>
        <w:jc w:val="left"/>
        <w:outlineLvl w:val="0"/>
        <w:rPr>
          <w:b/>
          <w:sz w:val="24"/>
        </w:rPr>
      </w:pPr>
      <w:r>
        <w:rPr>
          <w:b/>
          <w:sz w:val="24"/>
        </w:rPr>
        <w:t>附件2</w:t>
      </w:r>
      <w:r>
        <w:rPr>
          <w:rFonts w:hint="eastAsia"/>
          <w:b/>
          <w:sz w:val="24"/>
          <w:lang w:val="en-US" w:eastAsia="zh-CN"/>
        </w:rPr>
        <w:t>:</w:t>
      </w:r>
      <w:r>
        <w:rPr>
          <w:rFonts w:hint="eastAsia"/>
          <w:b/>
          <w:sz w:val="24"/>
        </w:rPr>
        <w:t>运维服务质量考核评分标准</w:t>
      </w:r>
    </w:p>
    <w:tbl>
      <w:tblPr>
        <w:tblStyle w:val="6"/>
        <w:tblW w:w="5000" w:type="pct"/>
        <w:tblInd w:w="0" w:type="dxa"/>
        <w:tblLayout w:type="autofit"/>
        <w:tblCellMar>
          <w:top w:w="0" w:type="dxa"/>
          <w:left w:w="108" w:type="dxa"/>
          <w:bottom w:w="0" w:type="dxa"/>
          <w:right w:w="108" w:type="dxa"/>
        </w:tblCellMar>
      </w:tblPr>
      <w:tblGrid>
        <w:gridCol w:w="833"/>
        <w:gridCol w:w="10837"/>
        <w:gridCol w:w="833"/>
        <w:gridCol w:w="834"/>
        <w:gridCol w:w="837"/>
      </w:tblGrid>
      <w:tr w14:paraId="23E1B4A3">
        <w:tblPrEx>
          <w:tblCellMar>
            <w:top w:w="0" w:type="dxa"/>
            <w:left w:w="108" w:type="dxa"/>
            <w:bottom w:w="0" w:type="dxa"/>
            <w:right w:w="108" w:type="dxa"/>
          </w:tblCellMar>
        </w:tblPrEx>
        <w:trPr>
          <w:trHeight w:val="288" w:hRule="atLeast"/>
        </w:trPr>
        <w:tc>
          <w:tcPr>
            <w:tcW w:w="294" w:type="pct"/>
            <w:vMerge w:val="restart"/>
            <w:tcBorders>
              <w:top w:val="single" w:color="auto" w:sz="8" w:space="0"/>
              <w:left w:val="single" w:color="auto" w:sz="8" w:space="0"/>
              <w:bottom w:val="single" w:color="000000" w:sz="8" w:space="0"/>
              <w:right w:val="single" w:color="auto" w:sz="8" w:space="0"/>
            </w:tcBorders>
            <w:noWrap w:val="0"/>
            <w:vAlign w:val="center"/>
          </w:tcPr>
          <w:p w14:paraId="31312B91">
            <w:pPr>
              <w:widowControl/>
              <w:jc w:val="center"/>
              <w:rPr>
                <w:rFonts w:ascii="宋体" w:hAnsi="宋体" w:cs="宋体"/>
                <w:b/>
                <w:bCs/>
                <w:color w:val="000000"/>
                <w:kern w:val="0"/>
                <w:szCs w:val="21"/>
              </w:rPr>
            </w:pPr>
            <w:r>
              <w:rPr>
                <w:rFonts w:hint="eastAsia" w:ascii="宋体" w:hAnsi="宋体" w:cs="宋体"/>
                <w:b/>
                <w:bCs/>
                <w:color w:val="000000"/>
                <w:kern w:val="0"/>
                <w:szCs w:val="21"/>
              </w:rPr>
              <w:t>类别</w:t>
            </w:r>
          </w:p>
        </w:tc>
        <w:tc>
          <w:tcPr>
            <w:tcW w:w="3823" w:type="pct"/>
            <w:vMerge w:val="restart"/>
            <w:tcBorders>
              <w:top w:val="single" w:color="auto" w:sz="8" w:space="0"/>
              <w:left w:val="single" w:color="auto" w:sz="8" w:space="0"/>
              <w:bottom w:val="single" w:color="000000" w:sz="8" w:space="0"/>
              <w:right w:val="single" w:color="auto" w:sz="8" w:space="0"/>
            </w:tcBorders>
            <w:noWrap w:val="0"/>
            <w:vAlign w:val="center"/>
          </w:tcPr>
          <w:p w14:paraId="1C054561">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考评内容</w:t>
            </w:r>
          </w:p>
        </w:tc>
        <w:tc>
          <w:tcPr>
            <w:tcW w:w="294" w:type="pct"/>
            <w:vMerge w:val="restart"/>
            <w:tcBorders>
              <w:top w:val="single" w:color="auto" w:sz="8" w:space="0"/>
              <w:left w:val="single" w:color="auto" w:sz="8" w:space="0"/>
              <w:bottom w:val="single" w:color="000000" w:sz="8" w:space="0"/>
              <w:right w:val="single" w:color="auto" w:sz="8" w:space="0"/>
            </w:tcBorders>
            <w:noWrap w:val="0"/>
            <w:vAlign w:val="center"/>
          </w:tcPr>
          <w:p w14:paraId="4A40C307">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考评频次</w:t>
            </w:r>
          </w:p>
        </w:tc>
        <w:tc>
          <w:tcPr>
            <w:tcW w:w="294" w:type="pct"/>
            <w:tcBorders>
              <w:top w:val="single" w:color="auto" w:sz="8" w:space="0"/>
              <w:left w:val="nil"/>
              <w:bottom w:val="nil"/>
              <w:right w:val="single" w:color="auto" w:sz="8" w:space="0"/>
            </w:tcBorders>
            <w:noWrap w:val="0"/>
            <w:vAlign w:val="center"/>
          </w:tcPr>
          <w:p w14:paraId="02C070E6">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扣分</w:t>
            </w:r>
            <w:r>
              <w:rPr>
                <w:b/>
                <w:bCs/>
                <w:color w:val="000000"/>
                <w:kern w:val="0"/>
                <w:szCs w:val="21"/>
              </w:rPr>
              <w:t>/</w:t>
            </w:r>
          </w:p>
        </w:tc>
        <w:tc>
          <w:tcPr>
            <w:tcW w:w="295" w:type="pct"/>
            <w:vMerge w:val="restart"/>
            <w:tcBorders>
              <w:top w:val="single" w:color="auto" w:sz="8" w:space="0"/>
              <w:left w:val="single" w:color="auto" w:sz="8" w:space="0"/>
              <w:bottom w:val="single" w:color="000000" w:sz="8" w:space="0"/>
              <w:right w:val="single" w:color="auto" w:sz="8" w:space="0"/>
            </w:tcBorders>
            <w:noWrap w:val="0"/>
            <w:vAlign w:val="center"/>
          </w:tcPr>
          <w:p w14:paraId="2E87B237">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备注</w:t>
            </w:r>
          </w:p>
        </w:tc>
      </w:tr>
      <w:tr w14:paraId="45520EDF">
        <w:tblPrEx>
          <w:tblCellMar>
            <w:top w:w="0" w:type="dxa"/>
            <w:left w:w="108" w:type="dxa"/>
            <w:bottom w:w="0" w:type="dxa"/>
            <w:right w:w="108" w:type="dxa"/>
          </w:tblCellMar>
        </w:tblPrEx>
        <w:trPr>
          <w:trHeight w:val="300" w:hRule="atLeast"/>
        </w:trPr>
        <w:tc>
          <w:tcPr>
            <w:tcW w:w="294" w:type="pct"/>
            <w:vMerge w:val="continue"/>
            <w:tcBorders>
              <w:top w:val="single" w:color="auto" w:sz="8" w:space="0"/>
              <w:left w:val="single" w:color="auto" w:sz="8" w:space="0"/>
              <w:bottom w:val="single" w:color="000000" w:sz="8" w:space="0"/>
              <w:right w:val="single" w:color="auto" w:sz="8" w:space="0"/>
            </w:tcBorders>
            <w:noWrap w:val="0"/>
            <w:vAlign w:val="center"/>
          </w:tcPr>
          <w:p w14:paraId="0712FB5E">
            <w:pPr>
              <w:widowControl/>
              <w:jc w:val="left"/>
              <w:rPr>
                <w:rFonts w:ascii="宋体" w:hAnsi="宋体" w:cs="宋体"/>
                <w:b/>
                <w:bCs/>
                <w:color w:val="000000"/>
                <w:kern w:val="0"/>
                <w:szCs w:val="21"/>
              </w:rPr>
            </w:pPr>
          </w:p>
        </w:tc>
        <w:tc>
          <w:tcPr>
            <w:tcW w:w="3823" w:type="pct"/>
            <w:vMerge w:val="continue"/>
            <w:tcBorders>
              <w:top w:val="single" w:color="auto" w:sz="8" w:space="0"/>
              <w:left w:val="single" w:color="auto" w:sz="8" w:space="0"/>
              <w:bottom w:val="single" w:color="000000" w:sz="8" w:space="0"/>
              <w:right w:val="single" w:color="auto" w:sz="8" w:space="0"/>
            </w:tcBorders>
            <w:noWrap w:val="0"/>
            <w:vAlign w:val="center"/>
          </w:tcPr>
          <w:p w14:paraId="3612C6E4">
            <w:pPr>
              <w:widowControl/>
              <w:jc w:val="left"/>
              <w:rPr>
                <w:rFonts w:ascii="宋体" w:hAnsi="宋体" w:cs="宋体"/>
                <w:b/>
                <w:bCs/>
                <w:color w:val="000000"/>
                <w:kern w:val="0"/>
                <w:szCs w:val="21"/>
              </w:rPr>
            </w:pPr>
          </w:p>
        </w:tc>
        <w:tc>
          <w:tcPr>
            <w:tcW w:w="294" w:type="pct"/>
            <w:vMerge w:val="continue"/>
            <w:tcBorders>
              <w:top w:val="single" w:color="auto" w:sz="8" w:space="0"/>
              <w:left w:val="single" w:color="auto" w:sz="8" w:space="0"/>
              <w:bottom w:val="single" w:color="000000" w:sz="8" w:space="0"/>
              <w:right w:val="single" w:color="auto" w:sz="8" w:space="0"/>
            </w:tcBorders>
            <w:noWrap w:val="0"/>
            <w:vAlign w:val="center"/>
          </w:tcPr>
          <w:p w14:paraId="0E347F7F">
            <w:pPr>
              <w:widowControl/>
              <w:jc w:val="left"/>
              <w:rPr>
                <w:rFonts w:ascii="宋体" w:hAnsi="宋体" w:cs="宋体"/>
                <w:b/>
                <w:bCs/>
                <w:color w:val="000000"/>
                <w:kern w:val="0"/>
                <w:szCs w:val="21"/>
              </w:rPr>
            </w:pPr>
          </w:p>
        </w:tc>
        <w:tc>
          <w:tcPr>
            <w:tcW w:w="294" w:type="pct"/>
            <w:tcBorders>
              <w:top w:val="nil"/>
              <w:left w:val="nil"/>
              <w:bottom w:val="single" w:color="auto" w:sz="8" w:space="0"/>
              <w:right w:val="single" w:color="auto" w:sz="8" w:space="0"/>
            </w:tcBorders>
            <w:noWrap w:val="0"/>
            <w:vAlign w:val="center"/>
          </w:tcPr>
          <w:p w14:paraId="3E39F503">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得分</w:t>
            </w:r>
          </w:p>
        </w:tc>
        <w:tc>
          <w:tcPr>
            <w:tcW w:w="295" w:type="pct"/>
            <w:vMerge w:val="continue"/>
            <w:tcBorders>
              <w:top w:val="single" w:color="auto" w:sz="8" w:space="0"/>
              <w:left w:val="single" w:color="auto" w:sz="8" w:space="0"/>
              <w:bottom w:val="single" w:color="000000" w:sz="8" w:space="0"/>
              <w:right w:val="single" w:color="auto" w:sz="8" w:space="0"/>
            </w:tcBorders>
            <w:noWrap w:val="0"/>
            <w:vAlign w:val="center"/>
          </w:tcPr>
          <w:p w14:paraId="5B7E4F5F">
            <w:pPr>
              <w:widowControl/>
              <w:jc w:val="left"/>
              <w:rPr>
                <w:rFonts w:ascii="宋体" w:hAnsi="宋体" w:cs="宋体"/>
                <w:b/>
                <w:bCs/>
                <w:color w:val="000000"/>
                <w:kern w:val="0"/>
                <w:szCs w:val="21"/>
              </w:rPr>
            </w:pPr>
          </w:p>
        </w:tc>
      </w:tr>
      <w:tr w14:paraId="18E96A28">
        <w:tblPrEx>
          <w:tblCellMar>
            <w:top w:w="0" w:type="dxa"/>
            <w:left w:w="108" w:type="dxa"/>
            <w:bottom w:w="0" w:type="dxa"/>
            <w:right w:w="108" w:type="dxa"/>
          </w:tblCellMar>
        </w:tblPrEx>
        <w:trPr>
          <w:trHeight w:val="300" w:hRule="atLeast"/>
        </w:trPr>
        <w:tc>
          <w:tcPr>
            <w:tcW w:w="294" w:type="pct"/>
            <w:vMerge w:val="restart"/>
            <w:tcBorders>
              <w:top w:val="nil"/>
              <w:left w:val="single" w:color="auto" w:sz="8" w:space="0"/>
              <w:bottom w:val="single" w:color="000000" w:sz="8" w:space="0"/>
              <w:right w:val="single" w:color="auto" w:sz="8" w:space="0"/>
            </w:tcBorders>
            <w:noWrap w:val="0"/>
            <w:vAlign w:val="center"/>
          </w:tcPr>
          <w:p w14:paraId="6E549B07">
            <w:pPr>
              <w:widowControl/>
              <w:jc w:val="center"/>
              <w:rPr>
                <w:rFonts w:hint="eastAsia" w:ascii="宋体" w:hAnsi="宋体" w:cs="宋体"/>
                <w:color w:val="000000"/>
                <w:kern w:val="0"/>
                <w:szCs w:val="21"/>
              </w:rPr>
            </w:pPr>
            <w:r>
              <w:rPr>
                <w:rFonts w:hint="eastAsia" w:ascii="宋体" w:hAnsi="宋体" w:cs="宋体"/>
                <w:color w:val="000000"/>
                <w:kern w:val="0"/>
                <w:szCs w:val="21"/>
              </w:rPr>
              <w:t>技术服务</w:t>
            </w:r>
          </w:p>
        </w:tc>
        <w:tc>
          <w:tcPr>
            <w:tcW w:w="3823" w:type="pct"/>
            <w:tcBorders>
              <w:top w:val="nil"/>
              <w:left w:val="nil"/>
              <w:bottom w:val="single" w:color="auto" w:sz="8" w:space="0"/>
              <w:right w:val="single" w:color="auto" w:sz="8" w:space="0"/>
            </w:tcBorders>
            <w:noWrap w:val="0"/>
            <w:vAlign w:val="center"/>
          </w:tcPr>
          <w:p w14:paraId="4E926433">
            <w:pPr>
              <w:widowControl/>
              <w:jc w:val="left"/>
              <w:rPr>
                <w:rFonts w:hint="eastAsia" w:ascii="宋体" w:hAnsi="宋体" w:cs="宋体"/>
                <w:color w:val="000000"/>
                <w:kern w:val="0"/>
                <w:szCs w:val="21"/>
              </w:rPr>
            </w:pPr>
            <w:r>
              <w:rPr>
                <w:rFonts w:hint="eastAsia" w:ascii="宋体" w:hAnsi="宋体" w:cs="宋体"/>
                <w:color w:val="000000"/>
                <w:kern w:val="0"/>
                <w:szCs w:val="21"/>
              </w:rPr>
              <w:t>未及时提供按招标文件、投标文件及合同要求规定的其它硬件设备服务或服务不到位</w:t>
            </w:r>
          </w:p>
        </w:tc>
        <w:tc>
          <w:tcPr>
            <w:tcW w:w="294" w:type="pct"/>
            <w:tcBorders>
              <w:top w:val="nil"/>
              <w:left w:val="nil"/>
              <w:bottom w:val="single" w:color="auto" w:sz="8" w:space="0"/>
              <w:right w:val="single" w:color="auto" w:sz="8" w:space="0"/>
            </w:tcBorders>
            <w:noWrap w:val="0"/>
            <w:vAlign w:val="center"/>
          </w:tcPr>
          <w:p w14:paraId="7DB59D99">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2690C123">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4AAD1887">
            <w:pPr>
              <w:widowControl/>
              <w:jc w:val="center"/>
              <w:rPr>
                <w:rFonts w:eastAsia="等线"/>
                <w:color w:val="000000"/>
                <w:kern w:val="0"/>
                <w:szCs w:val="21"/>
              </w:rPr>
            </w:pPr>
            <w:r>
              <w:rPr>
                <w:rFonts w:eastAsia="等线"/>
                <w:color w:val="000000"/>
                <w:kern w:val="0"/>
                <w:szCs w:val="21"/>
              </w:rPr>
              <w:t>　</w:t>
            </w:r>
          </w:p>
        </w:tc>
      </w:tr>
      <w:tr w14:paraId="7D3F3857">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365FDD8A">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2CA1ADC4">
            <w:pPr>
              <w:widowControl/>
              <w:jc w:val="left"/>
              <w:rPr>
                <w:rFonts w:ascii="宋体" w:hAnsi="宋体" w:cs="宋体"/>
                <w:color w:val="000000"/>
                <w:kern w:val="0"/>
                <w:szCs w:val="21"/>
              </w:rPr>
            </w:pPr>
            <w:r>
              <w:rPr>
                <w:rFonts w:hint="eastAsia" w:ascii="宋体" w:hAnsi="宋体" w:cs="宋体"/>
                <w:color w:val="000000"/>
                <w:kern w:val="0"/>
                <w:szCs w:val="21"/>
              </w:rPr>
              <w:t>支持服务专家未按时提交年度支持服务计划</w:t>
            </w:r>
          </w:p>
        </w:tc>
        <w:tc>
          <w:tcPr>
            <w:tcW w:w="294" w:type="pct"/>
            <w:tcBorders>
              <w:top w:val="nil"/>
              <w:left w:val="nil"/>
              <w:bottom w:val="single" w:color="auto" w:sz="8" w:space="0"/>
              <w:right w:val="single" w:color="auto" w:sz="8" w:space="0"/>
            </w:tcBorders>
            <w:noWrap w:val="0"/>
            <w:vAlign w:val="center"/>
          </w:tcPr>
          <w:p w14:paraId="383F8D89">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29F01714">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35B1EEB0">
            <w:pPr>
              <w:widowControl/>
              <w:jc w:val="center"/>
              <w:rPr>
                <w:rFonts w:eastAsia="等线"/>
                <w:color w:val="000000"/>
                <w:kern w:val="0"/>
                <w:szCs w:val="21"/>
              </w:rPr>
            </w:pPr>
            <w:r>
              <w:rPr>
                <w:rFonts w:eastAsia="等线"/>
                <w:color w:val="000000"/>
                <w:kern w:val="0"/>
                <w:szCs w:val="21"/>
              </w:rPr>
              <w:t>　</w:t>
            </w:r>
          </w:p>
        </w:tc>
      </w:tr>
      <w:tr w14:paraId="1E395662">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1DAC40AC">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40A371F7">
            <w:pPr>
              <w:widowControl/>
              <w:jc w:val="left"/>
              <w:rPr>
                <w:rFonts w:ascii="宋体" w:hAnsi="宋体" w:cs="宋体"/>
                <w:color w:val="000000"/>
                <w:kern w:val="0"/>
                <w:szCs w:val="21"/>
              </w:rPr>
            </w:pPr>
            <w:r>
              <w:rPr>
                <w:rFonts w:hint="eastAsia" w:ascii="宋体" w:hAnsi="宋体" w:cs="宋体"/>
                <w:color w:val="000000"/>
                <w:kern w:val="0"/>
                <w:szCs w:val="21"/>
              </w:rPr>
              <w:t>在故障发生后，未在规定时间内提供电话支持及响应</w:t>
            </w:r>
          </w:p>
        </w:tc>
        <w:tc>
          <w:tcPr>
            <w:tcW w:w="294" w:type="pct"/>
            <w:tcBorders>
              <w:top w:val="nil"/>
              <w:left w:val="nil"/>
              <w:bottom w:val="single" w:color="auto" w:sz="8" w:space="0"/>
              <w:right w:val="single" w:color="auto" w:sz="8" w:space="0"/>
            </w:tcBorders>
            <w:noWrap w:val="0"/>
            <w:vAlign w:val="center"/>
          </w:tcPr>
          <w:p w14:paraId="6073737B">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6AB57F04">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64436527">
            <w:pPr>
              <w:widowControl/>
              <w:jc w:val="center"/>
              <w:rPr>
                <w:rFonts w:eastAsia="等线"/>
                <w:color w:val="000000"/>
                <w:kern w:val="0"/>
                <w:szCs w:val="21"/>
              </w:rPr>
            </w:pPr>
            <w:r>
              <w:rPr>
                <w:rFonts w:eastAsia="等线"/>
                <w:color w:val="000000"/>
                <w:kern w:val="0"/>
                <w:szCs w:val="21"/>
              </w:rPr>
              <w:t>　</w:t>
            </w:r>
          </w:p>
        </w:tc>
      </w:tr>
      <w:tr w14:paraId="0AE873A6">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47CCE57B">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6C52EF7C">
            <w:pPr>
              <w:widowControl/>
              <w:jc w:val="left"/>
              <w:rPr>
                <w:rFonts w:ascii="宋体" w:hAnsi="宋体" w:cs="宋体"/>
                <w:color w:val="000000"/>
                <w:kern w:val="0"/>
                <w:szCs w:val="21"/>
              </w:rPr>
            </w:pPr>
            <w:r>
              <w:rPr>
                <w:rFonts w:hint="eastAsia" w:ascii="宋体" w:hAnsi="宋体" w:cs="宋体"/>
                <w:color w:val="000000"/>
                <w:kern w:val="0"/>
                <w:szCs w:val="21"/>
              </w:rPr>
              <w:t>在故障发生后，故障处理工程师</w:t>
            </w:r>
            <w:r>
              <w:rPr>
                <w:color w:val="000000"/>
                <w:kern w:val="0"/>
                <w:szCs w:val="21"/>
              </w:rPr>
              <w:t>1</w:t>
            </w:r>
            <w:r>
              <w:rPr>
                <w:rFonts w:hint="eastAsia" w:ascii="宋体" w:hAnsi="宋体" w:cs="宋体"/>
                <w:color w:val="000000"/>
                <w:kern w:val="0"/>
                <w:szCs w:val="21"/>
              </w:rPr>
              <w:t>小时内未到达现场</w:t>
            </w:r>
          </w:p>
        </w:tc>
        <w:tc>
          <w:tcPr>
            <w:tcW w:w="294" w:type="pct"/>
            <w:tcBorders>
              <w:top w:val="nil"/>
              <w:left w:val="nil"/>
              <w:bottom w:val="single" w:color="auto" w:sz="8" w:space="0"/>
              <w:right w:val="single" w:color="auto" w:sz="8" w:space="0"/>
            </w:tcBorders>
            <w:noWrap w:val="0"/>
            <w:vAlign w:val="center"/>
          </w:tcPr>
          <w:p w14:paraId="3F29E84C">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73C7BEB0">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17B43CBE">
            <w:pPr>
              <w:widowControl/>
              <w:jc w:val="center"/>
              <w:rPr>
                <w:rFonts w:eastAsia="等线"/>
                <w:color w:val="000000"/>
                <w:kern w:val="0"/>
                <w:szCs w:val="21"/>
              </w:rPr>
            </w:pPr>
            <w:r>
              <w:rPr>
                <w:rFonts w:eastAsia="等线"/>
                <w:color w:val="000000"/>
                <w:kern w:val="0"/>
                <w:szCs w:val="21"/>
              </w:rPr>
              <w:t>　</w:t>
            </w:r>
          </w:p>
        </w:tc>
      </w:tr>
      <w:tr w14:paraId="7FB5A14B">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3CB9C5CC">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17E6309B">
            <w:pPr>
              <w:widowControl/>
              <w:jc w:val="left"/>
              <w:rPr>
                <w:rFonts w:ascii="宋体" w:hAnsi="宋体" w:cs="宋体"/>
                <w:color w:val="000000"/>
                <w:kern w:val="0"/>
                <w:szCs w:val="21"/>
              </w:rPr>
            </w:pPr>
            <w:r>
              <w:rPr>
                <w:rFonts w:hint="eastAsia" w:ascii="宋体" w:hAnsi="宋体" w:cs="宋体"/>
                <w:color w:val="000000"/>
                <w:kern w:val="0"/>
                <w:szCs w:val="21"/>
              </w:rPr>
              <w:t>在故障发生后，故障处理工程师到达现场时间超过</w:t>
            </w:r>
            <w:r>
              <w:rPr>
                <w:color w:val="000000"/>
                <w:kern w:val="0"/>
                <w:szCs w:val="21"/>
              </w:rPr>
              <w:t>2</w:t>
            </w:r>
            <w:r>
              <w:rPr>
                <w:rFonts w:hint="eastAsia" w:ascii="宋体" w:hAnsi="宋体" w:cs="宋体"/>
                <w:color w:val="000000"/>
                <w:kern w:val="0"/>
                <w:szCs w:val="21"/>
              </w:rPr>
              <w:t>小时</w:t>
            </w:r>
          </w:p>
        </w:tc>
        <w:tc>
          <w:tcPr>
            <w:tcW w:w="294" w:type="pct"/>
            <w:tcBorders>
              <w:top w:val="nil"/>
              <w:left w:val="nil"/>
              <w:bottom w:val="single" w:color="auto" w:sz="8" w:space="0"/>
              <w:right w:val="single" w:color="auto" w:sz="8" w:space="0"/>
            </w:tcBorders>
            <w:noWrap w:val="0"/>
            <w:vAlign w:val="center"/>
          </w:tcPr>
          <w:p w14:paraId="6E064D28">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28665908">
            <w:pPr>
              <w:widowControl/>
              <w:jc w:val="center"/>
              <w:rPr>
                <w:rFonts w:hint="eastAsia" w:eastAsia="等线"/>
                <w:color w:val="000000"/>
                <w:kern w:val="0"/>
                <w:szCs w:val="21"/>
              </w:rPr>
            </w:pPr>
            <w:r>
              <w:rPr>
                <w:rFonts w:eastAsia="等线"/>
                <w:color w:val="000000"/>
                <w:kern w:val="0"/>
                <w:szCs w:val="21"/>
              </w:rPr>
              <w:t>-5</w:t>
            </w:r>
          </w:p>
        </w:tc>
        <w:tc>
          <w:tcPr>
            <w:tcW w:w="295" w:type="pct"/>
            <w:tcBorders>
              <w:top w:val="nil"/>
              <w:left w:val="nil"/>
              <w:bottom w:val="single" w:color="auto" w:sz="8" w:space="0"/>
              <w:right w:val="single" w:color="auto" w:sz="8" w:space="0"/>
            </w:tcBorders>
            <w:noWrap w:val="0"/>
            <w:vAlign w:val="center"/>
          </w:tcPr>
          <w:p w14:paraId="63300AA8">
            <w:pPr>
              <w:widowControl/>
              <w:jc w:val="center"/>
              <w:rPr>
                <w:rFonts w:eastAsia="等线"/>
                <w:color w:val="000000"/>
                <w:kern w:val="0"/>
                <w:szCs w:val="21"/>
              </w:rPr>
            </w:pPr>
            <w:r>
              <w:rPr>
                <w:rFonts w:eastAsia="等线"/>
                <w:color w:val="000000"/>
                <w:kern w:val="0"/>
                <w:szCs w:val="21"/>
              </w:rPr>
              <w:t>　</w:t>
            </w:r>
          </w:p>
        </w:tc>
      </w:tr>
      <w:tr w14:paraId="3B60B7E0">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21EDD924">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4969D61E">
            <w:pPr>
              <w:widowControl/>
              <w:jc w:val="left"/>
              <w:rPr>
                <w:rFonts w:ascii="宋体" w:hAnsi="宋体" w:cs="宋体"/>
                <w:color w:val="000000"/>
                <w:kern w:val="0"/>
                <w:szCs w:val="21"/>
              </w:rPr>
            </w:pPr>
            <w:r>
              <w:rPr>
                <w:rFonts w:hint="eastAsia" w:ascii="宋体" w:hAnsi="宋体" w:cs="宋体"/>
                <w:color w:val="000000"/>
                <w:kern w:val="0"/>
                <w:szCs w:val="21"/>
              </w:rPr>
              <w:t>在故障发生后，恢复时间超过规定时间</w:t>
            </w:r>
          </w:p>
        </w:tc>
        <w:tc>
          <w:tcPr>
            <w:tcW w:w="294" w:type="pct"/>
            <w:tcBorders>
              <w:top w:val="nil"/>
              <w:left w:val="nil"/>
              <w:bottom w:val="single" w:color="auto" w:sz="8" w:space="0"/>
              <w:right w:val="single" w:color="auto" w:sz="8" w:space="0"/>
            </w:tcBorders>
            <w:noWrap w:val="0"/>
            <w:vAlign w:val="center"/>
          </w:tcPr>
          <w:p w14:paraId="5E336330">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4BD60224">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468E7388">
            <w:pPr>
              <w:widowControl/>
              <w:jc w:val="center"/>
              <w:rPr>
                <w:rFonts w:eastAsia="等线"/>
                <w:color w:val="000000"/>
                <w:kern w:val="0"/>
                <w:szCs w:val="21"/>
              </w:rPr>
            </w:pPr>
            <w:r>
              <w:rPr>
                <w:rFonts w:eastAsia="等线"/>
                <w:color w:val="000000"/>
                <w:kern w:val="0"/>
                <w:szCs w:val="21"/>
              </w:rPr>
              <w:t>　</w:t>
            </w:r>
          </w:p>
        </w:tc>
      </w:tr>
      <w:tr w14:paraId="36898A4D">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0F91FFF3">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79AB4196">
            <w:pPr>
              <w:widowControl/>
              <w:jc w:val="left"/>
              <w:rPr>
                <w:rFonts w:ascii="宋体" w:hAnsi="宋体" w:cs="宋体"/>
                <w:color w:val="000000"/>
                <w:kern w:val="0"/>
                <w:szCs w:val="21"/>
              </w:rPr>
            </w:pPr>
            <w:r>
              <w:rPr>
                <w:rFonts w:hint="eastAsia" w:ascii="宋体" w:hAnsi="宋体" w:cs="宋体"/>
                <w:color w:val="000000"/>
                <w:kern w:val="0"/>
                <w:szCs w:val="21"/>
              </w:rPr>
              <w:t>故障处理完毕未按规定时间提交故障处理报告</w:t>
            </w:r>
          </w:p>
        </w:tc>
        <w:tc>
          <w:tcPr>
            <w:tcW w:w="294" w:type="pct"/>
            <w:tcBorders>
              <w:top w:val="nil"/>
              <w:left w:val="nil"/>
              <w:bottom w:val="single" w:color="auto" w:sz="8" w:space="0"/>
              <w:right w:val="single" w:color="auto" w:sz="8" w:space="0"/>
            </w:tcBorders>
            <w:noWrap w:val="0"/>
            <w:vAlign w:val="center"/>
          </w:tcPr>
          <w:p w14:paraId="0D503F23">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72E2F374">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14EDE04C">
            <w:pPr>
              <w:widowControl/>
              <w:jc w:val="center"/>
              <w:rPr>
                <w:rFonts w:eastAsia="等线"/>
                <w:color w:val="000000"/>
                <w:kern w:val="0"/>
                <w:szCs w:val="21"/>
              </w:rPr>
            </w:pPr>
            <w:r>
              <w:rPr>
                <w:rFonts w:eastAsia="等线"/>
                <w:color w:val="000000"/>
                <w:kern w:val="0"/>
                <w:szCs w:val="21"/>
              </w:rPr>
              <w:t>　</w:t>
            </w:r>
          </w:p>
        </w:tc>
      </w:tr>
      <w:tr w14:paraId="50C2DD9D">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79AB1429">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5864781D">
            <w:pPr>
              <w:widowControl/>
              <w:jc w:val="left"/>
              <w:rPr>
                <w:rFonts w:ascii="宋体" w:hAnsi="宋体" w:cs="宋体"/>
                <w:color w:val="000000"/>
                <w:kern w:val="0"/>
                <w:szCs w:val="21"/>
              </w:rPr>
            </w:pPr>
            <w:r>
              <w:rPr>
                <w:rFonts w:hint="eastAsia" w:ascii="宋体" w:hAnsi="宋体" w:cs="宋体"/>
                <w:color w:val="000000"/>
                <w:kern w:val="0"/>
                <w:szCs w:val="21"/>
              </w:rPr>
              <w:t>未及时提供按招标文件、投标文件及合同要求规定的其它服务或服务不到位</w:t>
            </w:r>
          </w:p>
        </w:tc>
        <w:tc>
          <w:tcPr>
            <w:tcW w:w="294" w:type="pct"/>
            <w:tcBorders>
              <w:top w:val="nil"/>
              <w:left w:val="nil"/>
              <w:bottom w:val="single" w:color="auto" w:sz="8" w:space="0"/>
              <w:right w:val="single" w:color="auto" w:sz="8" w:space="0"/>
            </w:tcBorders>
            <w:noWrap w:val="0"/>
            <w:vAlign w:val="center"/>
          </w:tcPr>
          <w:p w14:paraId="3F995B9F">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0C05F1D8">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574544B1">
            <w:pPr>
              <w:widowControl/>
              <w:jc w:val="center"/>
              <w:rPr>
                <w:rFonts w:eastAsia="等线"/>
                <w:color w:val="000000"/>
                <w:kern w:val="0"/>
                <w:szCs w:val="21"/>
              </w:rPr>
            </w:pPr>
            <w:r>
              <w:rPr>
                <w:rFonts w:eastAsia="等线"/>
                <w:color w:val="000000"/>
                <w:kern w:val="0"/>
                <w:szCs w:val="21"/>
              </w:rPr>
              <w:t>　</w:t>
            </w:r>
          </w:p>
        </w:tc>
      </w:tr>
      <w:tr w14:paraId="6B71C9E0">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4CE8CCD7">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4704CDA3">
            <w:pPr>
              <w:widowControl/>
              <w:jc w:val="left"/>
              <w:rPr>
                <w:rFonts w:ascii="宋体" w:hAnsi="宋体" w:cs="宋体"/>
                <w:color w:val="000000"/>
                <w:kern w:val="0"/>
                <w:szCs w:val="21"/>
              </w:rPr>
            </w:pPr>
            <w:r>
              <w:rPr>
                <w:rFonts w:hint="eastAsia" w:ascii="宋体" w:hAnsi="宋体" w:cs="宋体"/>
                <w:color w:val="000000"/>
                <w:kern w:val="0"/>
                <w:szCs w:val="21"/>
              </w:rPr>
              <w:t>未按时提供现场培训服务</w:t>
            </w:r>
          </w:p>
        </w:tc>
        <w:tc>
          <w:tcPr>
            <w:tcW w:w="294" w:type="pct"/>
            <w:tcBorders>
              <w:top w:val="nil"/>
              <w:left w:val="nil"/>
              <w:bottom w:val="single" w:color="auto" w:sz="8" w:space="0"/>
              <w:right w:val="single" w:color="auto" w:sz="8" w:space="0"/>
            </w:tcBorders>
            <w:noWrap w:val="0"/>
            <w:vAlign w:val="center"/>
          </w:tcPr>
          <w:p w14:paraId="0F8EBF2C">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5F84F09A">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79419778">
            <w:pPr>
              <w:widowControl/>
              <w:jc w:val="center"/>
              <w:rPr>
                <w:rFonts w:eastAsia="等线"/>
                <w:color w:val="000000"/>
                <w:kern w:val="0"/>
                <w:szCs w:val="21"/>
              </w:rPr>
            </w:pPr>
            <w:r>
              <w:rPr>
                <w:rFonts w:eastAsia="等线"/>
                <w:color w:val="000000"/>
                <w:kern w:val="0"/>
                <w:szCs w:val="21"/>
              </w:rPr>
              <w:t>　</w:t>
            </w:r>
          </w:p>
        </w:tc>
      </w:tr>
      <w:tr w14:paraId="056258CC">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3F1E2A26">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78F36CA3">
            <w:pPr>
              <w:widowControl/>
              <w:jc w:val="left"/>
              <w:rPr>
                <w:rFonts w:ascii="宋体" w:hAnsi="宋体" w:cs="宋体"/>
                <w:color w:val="000000"/>
                <w:kern w:val="0"/>
                <w:szCs w:val="21"/>
              </w:rPr>
            </w:pPr>
            <w:r>
              <w:rPr>
                <w:rFonts w:hint="eastAsia" w:ascii="宋体" w:hAnsi="宋体" w:cs="宋体"/>
                <w:color w:val="000000"/>
                <w:kern w:val="0"/>
                <w:szCs w:val="21"/>
              </w:rPr>
              <w:t>培训内容与要求不符或未到达要求</w:t>
            </w:r>
          </w:p>
        </w:tc>
        <w:tc>
          <w:tcPr>
            <w:tcW w:w="294" w:type="pct"/>
            <w:tcBorders>
              <w:top w:val="nil"/>
              <w:left w:val="nil"/>
              <w:bottom w:val="single" w:color="auto" w:sz="8" w:space="0"/>
              <w:right w:val="single" w:color="auto" w:sz="8" w:space="0"/>
            </w:tcBorders>
            <w:noWrap w:val="0"/>
            <w:vAlign w:val="center"/>
          </w:tcPr>
          <w:p w14:paraId="24566A1B">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32D3B54B">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2DEFB47A">
            <w:pPr>
              <w:widowControl/>
              <w:jc w:val="center"/>
              <w:rPr>
                <w:rFonts w:eastAsia="等线"/>
                <w:color w:val="000000"/>
                <w:kern w:val="0"/>
                <w:szCs w:val="21"/>
              </w:rPr>
            </w:pPr>
            <w:r>
              <w:rPr>
                <w:rFonts w:eastAsia="等线"/>
                <w:color w:val="000000"/>
                <w:kern w:val="0"/>
                <w:szCs w:val="21"/>
              </w:rPr>
              <w:t>　</w:t>
            </w:r>
          </w:p>
        </w:tc>
      </w:tr>
      <w:tr w14:paraId="4BFDB9F0">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67A7EC21">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2847FD5F">
            <w:pPr>
              <w:widowControl/>
              <w:jc w:val="left"/>
              <w:rPr>
                <w:rFonts w:ascii="宋体" w:hAnsi="宋体" w:cs="宋体"/>
                <w:color w:val="000000"/>
                <w:kern w:val="0"/>
                <w:szCs w:val="21"/>
              </w:rPr>
            </w:pPr>
            <w:r>
              <w:rPr>
                <w:rFonts w:hint="eastAsia" w:ascii="宋体" w:hAnsi="宋体" w:cs="宋体"/>
                <w:color w:val="000000"/>
                <w:kern w:val="0"/>
                <w:szCs w:val="21"/>
              </w:rPr>
              <w:t>驻场人员资质不符合甲方要求，未按规定派驻符合要求的驻场人员</w:t>
            </w:r>
          </w:p>
        </w:tc>
        <w:tc>
          <w:tcPr>
            <w:tcW w:w="294" w:type="pct"/>
            <w:tcBorders>
              <w:top w:val="nil"/>
              <w:left w:val="nil"/>
              <w:bottom w:val="single" w:color="auto" w:sz="8" w:space="0"/>
              <w:right w:val="single" w:color="auto" w:sz="8" w:space="0"/>
            </w:tcBorders>
            <w:noWrap w:val="0"/>
            <w:vAlign w:val="center"/>
          </w:tcPr>
          <w:p w14:paraId="1787E3A5">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29BB959F">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76E6EF17">
            <w:pPr>
              <w:widowControl/>
              <w:jc w:val="center"/>
              <w:rPr>
                <w:rFonts w:eastAsia="等线"/>
                <w:color w:val="000000"/>
                <w:kern w:val="0"/>
                <w:szCs w:val="21"/>
              </w:rPr>
            </w:pPr>
            <w:r>
              <w:rPr>
                <w:rFonts w:eastAsia="等线"/>
                <w:color w:val="000000"/>
                <w:kern w:val="0"/>
                <w:szCs w:val="21"/>
              </w:rPr>
              <w:t>　</w:t>
            </w:r>
          </w:p>
        </w:tc>
      </w:tr>
      <w:tr w14:paraId="761E62E8">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4FED0AA8">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21E4E6C8">
            <w:pPr>
              <w:widowControl/>
              <w:jc w:val="left"/>
              <w:rPr>
                <w:rFonts w:ascii="宋体" w:hAnsi="宋体" w:cs="宋体"/>
                <w:color w:val="000000"/>
                <w:kern w:val="0"/>
                <w:szCs w:val="21"/>
              </w:rPr>
            </w:pPr>
            <w:r>
              <w:rPr>
                <w:rFonts w:hint="eastAsia" w:ascii="宋体" w:hAnsi="宋体" w:cs="宋体"/>
                <w:color w:val="000000"/>
                <w:kern w:val="0"/>
                <w:szCs w:val="21"/>
              </w:rPr>
              <w:t>驻场人员无故离开值班岗</w:t>
            </w:r>
          </w:p>
        </w:tc>
        <w:tc>
          <w:tcPr>
            <w:tcW w:w="294" w:type="pct"/>
            <w:tcBorders>
              <w:top w:val="nil"/>
              <w:left w:val="nil"/>
              <w:bottom w:val="single" w:color="auto" w:sz="8" w:space="0"/>
              <w:right w:val="single" w:color="auto" w:sz="8" w:space="0"/>
            </w:tcBorders>
            <w:noWrap w:val="0"/>
            <w:vAlign w:val="center"/>
          </w:tcPr>
          <w:p w14:paraId="0EE21282">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67BAD0BE">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6252C3F0">
            <w:pPr>
              <w:widowControl/>
              <w:jc w:val="center"/>
              <w:rPr>
                <w:rFonts w:eastAsia="等线"/>
                <w:color w:val="000000"/>
                <w:kern w:val="0"/>
                <w:szCs w:val="21"/>
              </w:rPr>
            </w:pPr>
            <w:r>
              <w:rPr>
                <w:rFonts w:eastAsia="等线"/>
                <w:color w:val="000000"/>
                <w:kern w:val="0"/>
                <w:szCs w:val="21"/>
              </w:rPr>
              <w:t>　</w:t>
            </w:r>
          </w:p>
        </w:tc>
      </w:tr>
      <w:tr w14:paraId="5B05CCBA">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075476C7">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64AC0C79">
            <w:pPr>
              <w:widowControl/>
              <w:jc w:val="left"/>
              <w:rPr>
                <w:rFonts w:ascii="宋体" w:hAnsi="宋体" w:cs="宋体"/>
                <w:color w:val="000000"/>
                <w:kern w:val="0"/>
                <w:szCs w:val="21"/>
              </w:rPr>
            </w:pPr>
            <w:r>
              <w:rPr>
                <w:rFonts w:hint="eastAsia" w:ascii="宋体" w:hAnsi="宋体" w:cs="宋体"/>
                <w:color w:val="000000"/>
                <w:kern w:val="0"/>
                <w:szCs w:val="21"/>
              </w:rPr>
              <w:t>驻场人员不符从甲方管理，违法甲方日常办公、机房管理等制度</w:t>
            </w:r>
          </w:p>
        </w:tc>
        <w:tc>
          <w:tcPr>
            <w:tcW w:w="294" w:type="pct"/>
            <w:tcBorders>
              <w:top w:val="nil"/>
              <w:left w:val="nil"/>
              <w:bottom w:val="single" w:color="auto" w:sz="8" w:space="0"/>
              <w:right w:val="single" w:color="auto" w:sz="8" w:space="0"/>
            </w:tcBorders>
            <w:noWrap w:val="0"/>
            <w:vAlign w:val="center"/>
          </w:tcPr>
          <w:p w14:paraId="4D70BEA6">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5BD8D503">
            <w:pPr>
              <w:widowControl/>
              <w:jc w:val="center"/>
              <w:rPr>
                <w:rFonts w:hint="eastAsia" w:eastAsia="等线"/>
                <w:color w:val="000000"/>
                <w:kern w:val="0"/>
                <w:szCs w:val="21"/>
              </w:rPr>
            </w:pPr>
            <w:r>
              <w:rPr>
                <w:rFonts w:eastAsia="等线"/>
                <w:color w:val="000000"/>
                <w:kern w:val="0"/>
                <w:szCs w:val="21"/>
              </w:rPr>
              <w:t>-5</w:t>
            </w:r>
          </w:p>
        </w:tc>
        <w:tc>
          <w:tcPr>
            <w:tcW w:w="295" w:type="pct"/>
            <w:tcBorders>
              <w:top w:val="nil"/>
              <w:left w:val="nil"/>
              <w:bottom w:val="single" w:color="auto" w:sz="8" w:space="0"/>
              <w:right w:val="single" w:color="auto" w:sz="8" w:space="0"/>
            </w:tcBorders>
            <w:noWrap w:val="0"/>
            <w:vAlign w:val="center"/>
          </w:tcPr>
          <w:p w14:paraId="11FA4A99">
            <w:pPr>
              <w:widowControl/>
              <w:jc w:val="center"/>
              <w:rPr>
                <w:rFonts w:eastAsia="等线"/>
                <w:color w:val="000000"/>
                <w:kern w:val="0"/>
                <w:szCs w:val="21"/>
              </w:rPr>
            </w:pPr>
            <w:r>
              <w:rPr>
                <w:rFonts w:eastAsia="等线"/>
                <w:color w:val="000000"/>
                <w:kern w:val="0"/>
                <w:szCs w:val="21"/>
              </w:rPr>
              <w:t>　</w:t>
            </w:r>
          </w:p>
        </w:tc>
      </w:tr>
      <w:tr w14:paraId="5DFBE448">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2D836AC1">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78A6B401">
            <w:pPr>
              <w:widowControl/>
              <w:jc w:val="left"/>
              <w:rPr>
                <w:rFonts w:ascii="宋体" w:hAnsi="宋体" w:cs="宋体"/>
                <w:color w:val="000000"/>
                <w:kern w:val="0"/>
                <w:szCs w:val="21"/>
              </w:rPr>
            </w:pPr>
            <w:r>
              <w:rPr>
                <w:rFonts w:hint="eastAsia" w:ascii="宋体" w:hAnsi="宋体" w:cs="宋体"/>
                <w:color w:val="000000"/>
                <w:kern w:val="0"/>
                <w:szCs w:val="21"/>
              </w:rPr>
              <w:t>收到书面投诉</w:t>
            </w:r>
          </w:p>
        </w:tc>
        <w:tc>
          <w:tcPr>
            <w:tcW w:w="294" w:type="pct"/>
            <w:tcBorders>
              <w:top w:val="nil"/>
              <w:left w:val="nil"/>
              <w:bottom w:val="single" w:color="auto" w:sz="8" w:space="0"/>
              <w:right w:val="single" w:color="auto" w:sz="8" w:space="0"/>
            </w:tcBorders>
            <w:noWrap w:val="0"/>
            <w:vAlign w:val="center"/>
          </w:tcPr>
          <w:p w14:paraId="4E256D64">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475A3CBB">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0A2D4025">
            <w:pPr>
              <w:widowControl/>
              <w:jc w:val="center"/>
              <w:rPr>
                <w:rFonts w:eastAsia="等线"/>
                <w:color w:val="000000"/>
                <w:kern w:val="0"/>
                <w:szCs w:val="21"/>
              </w:rPr>
            </w:pPr>
            <w:r>
              <w:rPr>
                <w:rFonts w:eastAsia="等线"/>
                <w:color w:val="000000"/>
                <w:kern w:val="0"/>
                <w:szCs w:val="21"/>
              </w:rPr>
              <w:t>　</w:t>
            </w:r>
          </w:p>
        </w:tc>
      </w:tr>
      <w:tr w14:paraId="297C4DD5">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68B5941D">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30F939BE">
            <w:pPr>
              <w:widowControl/>
              <w:jc w:val="left"/>
              <w:rPr>
                <w:rFonts w:ascii="宋体" w:hAnsi="宋体" w:cs="宋体"/>
                <w:color w:val="000000"/>
                <w:kern w:val="0"/>
                <w:szCs w:val="21"/>
              </w:rPr>
            </w:pPr>
            <w:r>
              <w:rPr>
                <w:rFonts w:hint="eastAsia" w:ascii="宋体" w:hAnsi="宋体" w:cs="宋体"/>
                <w:color w:val="000000"/>
                <w:kern w:val="0"/>
                <w:szCs w:val="21"/>
              </w:rPr>
              <w:t>未按要求做值班记录，记录数据不正确，弄虚作假</w:t>
            </w:r>
          </w:p>
        </w:tc>
        <w:tc>
          <w:tcPr>
            <w:tcW w:w="294" w:type="pct"/>
            <w:tcBorders>
              <w:top w:val="nil"/>
              <w:left w:val="nil"/>
              <w:bottom w:val="single" w:color="auto" w:sz="8" w:space="0"/>
              <w:right w:val="single" w:color="auto" w:sz="8" w:space="0"/>
            </w:tcBorders>
            <w:noWrap w:val="0"/>
            <w:vAlign w:val="center"/>
          </w:tcPr>
          <w:p w14:paraId="663F48E3">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694089E2">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32BD775C">
            <w:pPr>
              <w:widowControl/>
              <w:jc w:val="center"/>
              <w:rPr>
                <w:rFonts w:eastAsia="等线"/>
                <w:color w:val="000000"/>
                <w:kern w:val="0"/>
                <w:szCs w:val="21"/>
              </w:rPr>
            </w:pPr>
            <w:r>
              <w:rPr>
                <w:rFonts w:eastAsia="等线"/>
                <w:color w:val="000000"/>
                <w:kern w:val="0"/>
                <w:szCs w:val="21"/>
              </w:rPr>
              <w:t>　</w:t>
            </w:r>
          </w:p>
        </w:tc>
      </w:tr>
      <w:tr w14:paraId="7612C81E">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1A4CBB67">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13215351">
            <w:pPr>
              <w:widowControl/>
              <w:ind w:firstLine="210" w:firstLineChars="100"/>
              <w:jc w:val="left"/>
              <w:rPr>
                <w:rFonts w:ascii="宋体" w:hAnsi="宋体" w:cs="宋体"/>
                <w:color w:val="000000"/>
                <w:kern w:val="0"/>
                <w:szCs w:val="21"/>
              </w:rPr>
            </w:pPr>
            <w:r>
              <w:rPr>
                <w:rFonts w:hint="eastAsia" w:ascii="宋体" w:hAnsi="宋体" w:cs="宋体"/>
                <w:color w:val="000000"/>
                <w:kern w:val="0"/>
                <w:szCs w:val="21"/>
              </w:rPr>
              <w:t>未按要求定时做巡检</w:t>
            </w:r>
          </w:p>
        </w:tc>
        <w:tc>
          <w:tcPr>
            <w:tcW w:w="294" w:type="pct"/>
            <w:tcBorders>
              <w:top w:val="nil"/>
              <w:left w:val="nil"/>
              <w:bottom w:val="single" w:color="auto" w:sz="8" w:space="0"/>
              <w:right w:val="single" w:color="auto" w:sz="8" w:space="0"/>
            </w:tcBorders>
            <w:noWrap w:val="0"/>
            <w:vAlign w:val="center"/>
          </w:tcPr>
          <w:p w14:paraId="46B0ADA3">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62EC3176">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6498A3C2">
            <w:pPr>
              <w:widowControl/>
              <w:jc w:val="center"/>
              <w:rPr>
                <w:rFonts w:eastAsia="等线"/>
                <w:color w:val="000000"/>
                <w:kern w:val="0"/>
                <w:szCs w:val="21"/>
              </w:rPr>
            </w:pPr>
            <w:r>
              <w:rPr>
                <w:rFonts w:eastAsia="等线"/>
                <w:color w:val="000000"/>
                <w:kern w:val="0"/>
                <w:szCs w:val="21"/>
              </w:rPr>
              <w:t>　</w:t>
            </w:r>
          </w:p>
        </w:tc>
      </w:tr>
      <w:tr w14:paraId="23B65052">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62409035">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192AC8A3">
            <w:pPr>
              <w:widowControl/>
              <w:jc w:val="left"/>
              <w:rPr>
                <w:rFonts w:ascii="宋体" w:hAnsi="宋体" w:cs="宋体"/>
                <w:color w:val="000000"/>
                <w:kern w:val="0"/>
                <w:szCs w:val="21"/>
              </w:rPr>
            </w:pPr>
            <w:r>
              <w:rPr>
                <w:rFonts w:hint="eastAsia" w:ascii="宋体" w:hAnsi="宋体" w:cs="宋体"/>
                <w:color w:val="000000"/>
                <w:kern w:val="0"/>
                <w:szCs w:val="21"/>
              </w:rPr>
              <w:t>巡检内容不全，达到服务技术规范要求</w:t>
            </w:r>
          </w:p>
        </w:tc>
        <w:tc>
          <w:tcPr>
            <w:tcW w:w="294" w:type="pct"/>
            <w:tcBorders>
              <w:top w:val="nil"/>
              <w:left w:val="nil"/>
              <w:bottom w:val="single" w:color="auto" w:sz="8" w:space="0"/>
              <w:right w:val="single" w:color="auto" w:sz="8" w:space="0"/>
            </w:tcBorders>
            <w:noWrap w:val="0"/>
            <w:vAlign w:val="center"/>
          </w:tcPr>
          <w:p w14:paraId="0BCFB17A">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4B32979E">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4B2A9BFD">
            <w:pPr>
              <w:widowControl/>
              <w:jc w:val="center"/>
              <w:rPr>
                <w:rFonts w:eastAsia="等线"/>
                <w:color w:val="000000"/>
                <w:kern w:val="0"/>
                <w:szCs w:val="21"/>
              </w:rPr>
            </w:pPr>
            <w:r>
              <w:rPr>
                <w:rFonts w:eastAsia="等线"/>
                <w:color w:val="000000"/>
                <w:kern w:val="0"/>
                <w:szCs w:val="21"/>
              </w:rPr>
              <w:t>　</w:t>
            </w:r>
          </w:p>
        </w:tc>
      </w:tr>
      <w:tr w14:paraId="28BA5A77">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45178434">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1FC78773">
            <w:pPr>
              <w:widowControl/>
              <w:jc w:val="left"/>
              <w:rPr>
                <w:rFonts w:ascii="宋体" w:hAnsi="宋体" w:cs="宋体"/>
                <w:color w:val="000000"/>
                <w:kern w:val="0"/>
                <w:szCs w:val="21"/>
              </w:rPr>
            </w:pPr>
            <w:r>
              <w:rPr>
                <w:rFonts w:hint="eastAsia" w:ascii="宋体" w:hAnsi="宋体" w:cs="宋体"/>
                <w:color w:val="000000"/>
                <w:kern w:val="0"/>
                <w:szCs w:val="21"/>
              </w:rPr>
              <w:t>未按时提交巡检报告</w:t>
            </w:r>
          </w:p>
        </w:tc>
        <w:tc>
          <w:tcPr>
            <w:tcW w:w="294" w:type="pct"/>
            <w:tcBorders>
              <w:top w:val="nil"/>
              <w:left w:val="nil"/>
              <w:bottom w:val="single" w:color="auto" w:sz="8" w:space="0"/>
              <w:right w:val="single" w:color="auto" w:sz="8" w:space="0"/>
            </w:tcBorders>
            <w:noWrap w:val="0"/>
            <w:vAlign w:val="center"/>
          </w:tcPr>
          <w:p w14:paraId="2142E93D">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1CA390DC">
            <w:pPr>
              <w:widowControl/>
              <w:jc w:val="center"/>
              <w:rPr>
                <w:rFonts w:hint="eastAsia" w:eastAsia="等线"/>
                <w:color w:val="000000"/>
                <w:kern w:val="0"/>
                <w:szCs w:val="21"/>
              </w:rPr>
            </w:pPr>
            <w:r>
              <w:rPr>
                <w:rFonts w:eastAsia="等线"/>
                <w:color w:val="000000"/>
                <w:kern w:val="0"/>
                <w:szCs w:val="21"/>
              </w:rPr>
              <w:t>-2</w:t>
            </w:r>
          </w:p>
        </w:tc>
        <w:tc>
          <w:tcPr>
            <w:tcW w:w="295" w:type="pct"/>
            <w:tcBorders>
              <w:top w:val="nil"/>
              <w:left w:val="nil"/>
              <w:bottom w:val="single" w:color="auto" w:sz="8" w:space="0"/>
              <w:right w:val="single" w:color="auto" w:sz="8" w:space="0"/>
            </w:tcBorders>
            <w:noWrap w:val="0"/>
            <w:vAlign w:val="center"/>
          </w:tcPr>
          <w:p w14:paraId="1E33A6EE">
            <w:pPr>
              <w:widowControl/>
              <w:jc w:val="center"/>
              <w:rPr>
                <w:rFonts w:eastAsia="等线"/>
                <w:color w:val="000000"/>
                <w:kern w:val="0"/>
                <w:szCs w:val="21"/>
              </w:rPr>
            </w:pPr>
            <w:r>
              <w:rPr>
                <w:rFonts w:eastAsia="等线"/>
                <w:color w:val="000000"/>
                <w:kern w:val="0"/>
                <w:szCs w:val="21"/>
              </w:rPr>
              <w:t>　</w:t>
            </w:r>
          </w:p>
        </w:tc>
      </w:tr>
      <w:tr w14:paraId="694DCB07">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4385AD3C">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785DB2B6">
            <w:pPr>
              <w:widowControl/>
              <w:jc w:val="left"/>
              <w:rPr>
                <w:rFonts w:ascii="宋体" w:hAnsi="宋体" w:cs="宋体"/>
                <w:color w:val="000000"/>
                <w:kern w:val="0"/>
                <w:szCs w:val="21"/>
              </w:rPr>
            </w:pPr>
            <w:r>
              <w:rPr>
                <w:rFonts w:hint="eastAsia" w:ascii="宋体" w:hAnsi="宋体" w:cs="宋体"/>
                <w:color w:val="000000"/>
                <w:kern w:val="0"/>
                <w:szCs w:val="21"/>
              </w:rPr>
              <w:t>系统已发生一般性故障超</w:t>
            </w:r>
            <w:r>
              <w:rPr>
                <w:color w:val="000000"/>
                <w:kern w:val="0"/>
                <w:szCs w:val="21"/>
              </w:rPr>
              <w:t>2</w:t>
            </w:r>
            <w:r>
              <w:rPr>
                <w:rFonts w:hint="eastAsia" w:ascii="宋体" w:hAnsi="宋体" w:cs="宋体"/>
                <w:color w:val="000000"/>
                <w:kern w:val="0"/>
                <w:szCs w:val="21"/>
              </w:rPr>
              <w:t>小时未发现或严重故障超</w:t>
            </w:r>
            <w:r>
              <w:rPr>
                <w:color w:val="000000"/>
                <w:kern w:val="0"/>
                <w:szCs w:val="21"/>
              </w:rPr>
              <w:t>30</w:t>
            </w:r>
            <w:r>
              <w:rPr>
                <w:rFonts w:hint="eastAsia" w:ascii="宋体" w:hAnsi="宋体" w:cs="宋体"/>
                <w:color w:val="000000"/>
                <w:kern w:val="0"/>
                <w:szCs w:val="21"/>
              </w:rPr>
              <w:t>分钟未发现</w:t>
            </w:r>
          </w:p>
        </w:tc>
        <w:tc>
          <w:tcPr>
            <w:tcW w:w="294" w:type="pct"/>
            <w:tcBorders>
              <w:top w:val="nil"/>
              <w:left w:val="nil"/>
              <w:bottom w:val="single" w:color="auto" w:sz="8" w:space="0"/>
              <w:right w:val="single" w:color="auto" w:sz="8" w:space="0"/>
            </w:tcBorders>
            <w:noWrap w:val="0"/>
            <w:vAlign w:val="center"/>
          </w:tcPr>
          <w:p w14:paraId="1A805296">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59CB8DC8">
            <w:pPr>
              <w:widowControl/>
              <w:jc w:val="center"/>
              <w:rPr>
                <w:rFonts w:hint="eastAsia" w:eastAsia="等线"/>
                <w:color w:val="000000"/>
                <w:kern w:val="0"/>
                <w:szCs w:val="21"/>
              </w:rPr>
            </w:pPr>
            <w:r>
              <w:rPr>
                <w:rFonts w:eastAsia="等线"/>
                <w:color w:val="000000"/>
                <w:kern w:val="0"/>
                <w:szCs w:val="21"/>
              </w:rPr>
              <w:t>-5</w:t>
            </w:r>
          </w:p>
        </w:tc>
        <w:tc>
          <w:tcPr>
            <w:tcW w:w="295" w:type="pct"/>
            <w:tcBorders>
              <w:top w:val="nil"/>
              <w:left w:val="nil"/>
              <w:bottom w:val="single" w:color="auto" w:sz="8" w:space="0"/>
              <w:right w:val="single" w:color="auto" w:sz="8" w:space="0"/>
            </w:tcBorders>
            <w:noWrap w:val="0"/>
            <w:vAlign w:val="center"/>
          </w:tcPr>
          <w:p w14:paraId="2D4A1F41">
            <w:pPr>
              <w:widowControl/>
              <w:jc w:val="center"/>
              <w:rPr>
                <w:rFonts w:eastAsia="等线"/>
                <w:color w:val="000000"/>
                <w:kern w:val="0"/>
                <w:szCs w:val="21"/>
              </w:rPr>
            </w:pPr>
            <w:r>
              <w:rPr>
                <w:rFonts w:eastAsia="等线"/>
                <w:color w:val="000000"/>
                <w:kern w:val="0"/>
                <w:szCs w:val="21"/>
              </w:rPr>
              <w:t>　</w:t>
            </w:r>
          </w:p>
        </w:tc>
      </w:tr>
      <w:tr w14:paraId="6AEEDEA8">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6777AA6C">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133F0C9B">
            <w:pPr>
              <w:widowControl/>
              <w:jc w:val="left"/>
              <w:rPr>
                <w:rFonts w:ascii="宋体" w:hAnsi="宋体" w:cs="宋体"/>
                <w:color w:val="000000"/>
                <w:kern w:val="0"/>
                <w:szCs w:val="21"/>
              </w:rPr>
            </w:pPr>
            <w:r>
              <w:rPr>
                <w:rFonts w:hint="eastAsia" w:ascii="宋体" w:hAnsi="宋体" w:cs="宋体"/>
                <w:color w:val="000000"/>
                <w:kern w:val="0"/>
                <w:szCs w:val="21"/>
              </w:rPr>
              <w:t>在巡检中发现故障隐瞒不报</w:t>
            </w:r>
          </w:p>
        </w:tc>
        <w:tc>
          <w:tcPr>
            <w:tcW w:w="294" w:type="pct"/>
            <w:tcBorders>
              <w:top w:val="nil"/>
              <w:left w:val="nil"/>
              <w:bottom w:val="single" w:color="auto" w:sz="8" w:space="0"/>
              <w:right w:val="single" w:color="auto" w:sz="8" w:space="0"/>
            </w:tcBorders>
            <w:noWrap w:val="0"/>
            <w:vAlign w:val="center"/>
          </w:tcPr>
          <w:p w14:paraId="08F33752">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70CB4661">
            <w:pPr>
              <w:widowControl/>
              <w:jc w:val="center"/>
              <w:rPr>
                <w:rFonts w:hint="eastAsia" w:eastAsia="等线"/>
                <w:color w:val="000000"/>
                <w:kern w:val="0"/>
                <w:szCs w:val="21"/>
              </w:rPr>
            </w:pPr>
            <w:r>
              <w:rPr>
                <w:rFonts w:eastAsia="等线"/>
                <w:color w:val="000000"/>
                <w:kern w:val="0"/>
                <w:szCs w:val="21"/>
              </w:rPr>
              <w:t>-5</w:t>
            </w:r>
          </w:p>
        </w:tc>
        <w:tc>
          <w:tcPr>
            <w:tcW w:w="295" w:type="pct"/>
            <w:tcBorders>
              <w:top w:val="nil"/>
              <w:left w:val="nil"/>
              <w:bottom w:val="single" w:color="auto" w:sz="8" w:space="0"/>
              <w:right w:val="single" w:color="auto" w:sz="8" w:space="0"/>
            </w:tcBorders>
            <w:noWrap w:val="0"/>
            <w:vAlign w:val="center"/>
          </w:tcPr>
          <w:p w14:paraId="5EA54093">
            <w:pPr>
              <w:widowControl/>
              <w:jc w:val="center"/>
              <w:rPr>
                <w:rFonts w:eastAsia="等线"/>
                <w:color w:val="000000"/>
                <w:kern w:val="0"/>
                <w:szCs w:val="21"/>
              </w:rPr>
            </w:pPr>
            <w:r>
              <w:rPr>
                <w:rFonts w:eastAsia="等线"/>
                <w:color w:val="000000"/>
                <w:kern w:val="0"/>
                <w:szCs w:val="21"/>
              </w:rPr>
              <w:t>　</w:t>
            </w:r>
          </w:p>
        </w:tc>
      </w:tr>
      <w:tr w14:paraId="41F81F6C">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54E92E30">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6F3E8753">
            <w:pPr>
              <w:widowControl/>
              <w:jc w:val="left"/>
              <w:rPr>
                <w:rFonts w:ascii="宋体" w:hAnsi="宋体" w:cs="宋体"/>
                <w:color w:val="000000"/>
                <w:kern w:val="0"/>
                <w:szCs w:val="21"/>
              </w:rPr>
            </w:pPr>
            <w:r>
              <w:rPr>
                <w:rFonts w:hint="eastAsia" w:ascii="宋体" w:hAnsi="宋体" w:cs="宋体"/>
                <w:color w:val="000000"/>
                <w:kern w:val="0"/>
                <w:szCs w:val="21"/>
              </w:rPr>
              <w:t>应甲方要求为甲方提供服务之外的有建设性的解决方案</w:t>
            </w:r>
          </w:p>
        </w:tc>
        <w:tc>
          <w:tcPr>
            <w:tcW w:w="294" w:type="pct"/>
            <w:tcBorders>
              <w:top w:val="nil"/>
              <w:left w:val="nil"/>
              <w:bottom w:val="single" w:color="auto" w:sz="8" w:space="0"/>
              <w:right w:val="single" w:color="auto" w:sz="8" w:space="0"/>
            </w:tcBorders>
            <w:noWrap w:val="0"/>
            <w:vAlign w:val="center"/>
          </w:tcPr>
          <w:p w14:paraId="398B9529">
            <w:pPr>
              <w:widowControl/>
              <w:jc w:val="center"/>
              <w:rPr>
                <w:rFonts w:hint="eastAsia" w:ascii="宋体" w:hAnsi="宋体" w:cs="宋体"/>
                <w:color w:val="000000"/>
                <w:kern w:val="0"/>
                <w:szCs w:val="21"/>
              </w:rPr>
            </w:pPr>
            <w:r>
              <w:rPr>
                <w:rFonts w:hint="eastAsia" w:ascii="宋体" w:hAnsi="宋体" w:cs="宋体"/>
                <w:color w:val="000000"/>
                <w:kern w:val="0"/>
                <w:szCs w:val="21"/>
              </w:rPr>
              <w:t>个</w:t>
            </w:r>
          </w:p>
        </w:tc>
        <w:tc>
          <w:tcPr>
            <w:tcW w:w="294" w:type="pct"/>
            <w:tcBorders>
              <w:top w:val="nil"/>
              <w:left w:val="nil"/>
              <w:bottom w:val="single" w:color="auto" w:sz="8" w:space="0"/>
              <w:right w:val="single" w:color="auto" w:sz="8" w:space="0"/>
            </w:tcBorders>
            <w:noWrap w:val="0"/>
            <w:vAlign w:val="center"/>
          </w:tcPr>
          <w:p w14:paraId="6EEBA608">
            <w:pPr>
              <w:widowControl/>
              <w:jc w:val="center"/>
              <w:rPr>
                <w:rFonts w:hint="eastAsia" w:eastAsia="等线"/>
                <w:color w:val="000000"/>
                <w:kern w:val="0"/>
                <w:szCs w:val="21"/>
              </w:rPr>
            </w:pPr>
            <w:r>
              <w:rPr>
                <w:rFonts w:eastAsia="等线"/>
                <w:color w:val="000000"/>
                <w:kern w:val="0"/>
                <w:szCs w:val="21"/>
              </w:rPr>
              <w:t>10</w:t>
            </w:r>
          </w:p>
        </w:tc>
        <w:tc>
          <w:tcPr>
            <w:tcW w:w="295" w:type="pct"/>
            <w:tcBorders>
              <w:top w:val="nil"/>
              <w:left w:val="nil"/>
              <w:bottom w:val="single" w:color="auto" w:sz="8" w:space="0"/>
              <w:right w:val="single" w:color="auto" w:sz="8" w:space="0"/>
            </w:tcBorders>
            <w:noWrap w:val="0"/>
            <w:vAlign w:val="center"/>
          </w:tcPr>
          <w:p w14:paraId="76C23352">
            <w:pPr>
              <w:widowControl/>
              <w:jc w:val="center"/>
              <w:rPr>
                <w:rFonts w:eastAsia="等线"/>
                <w:color w:val="000000"/>
                <w:kern w:val="0"/>
                <w:szCs w:val="21"/>
              </w:rPr>
            </w:pPr>
            <w:r>
              <w:rPr>
                <w:rFonts w:eastAsia="等线"/>
                <w:color w:val="000000"/>
                <w:kern w:val="0"/>
                <w:szCs w:val="21"/>
              </w:rPr>
              <w:t>　</w:t>
            </w:r>
          </w:p>
        </w:tc>
      </w:tr>
      <w:tr w14:paraId="3FBC7482">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075F6FF9">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01089988">
            <w:pPr>
              <w:widowControl/>
              <w:jc w:val="left"/>
              <w:rPr>
                <w:rFonts w:ascii="宋体" w:hAnsi="宋体" w:cs="宋体"/>
                <w:color w:val="000000"/>
                <w:kern w:val="0"/>
                <w:szCs w:val="21"/>
              </w:rPr>
            </w:pPr>
            <w:r>
              <w:rPr>
                <w:rFonts w:hint="eastAsia" w:ascii="宋体" w:hAnsi="宋体" w:cs="宋体"/>
                <w:color w:val="000000"/>
                <w:kern w:val="0"/>
                <w:szCs w:val="21"/>
              </w:rPr>
              <w:t>在服务期间，对甲方有重大贡献，帮助甲方避免重大事故发生</w:t>
            </w:r>
          </w:p>
        </w:tc>
        <w:tc>
          <w:tcPr>
            <w:tcW w:w="294" w:type="pct"/>
            <w:tcBorders>
              <w:top w:val="nil"/>
              <w:left w:val="nil"/>
              <w:bottom w:val="single" w:color="auto" w:sz="8" w:space="0"/>
              <w:right w:val="single" w:color="auto" w:sz="8" w:space="0"/>
            </w:tcBorders>
            <w:noWrap w:val="0"/>
            <w:vAlign w:val="center"/>
          </w:tcPr>
          <w:p w14:paraId="2B25C336">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507192BD">
            <w:pPr>
              <w:widowControl/>
              <w:jc w:val="center"/>
              <w:rPr>
                <w:rFonts w:hint="eastAsia" w:eastAsia="等线"/>
                <w:color w:val="000000"/>
                <w:kern w:val="0"/>
                <w:szCs w:val="21"/>
              </w:rPr>
            </w:pPr>
            <w:r>
              <w:rPr>
                <w:rFonts w:eastAsia="等线"/>
                <w:color w:val="000000"/>
                <w:kern w:val="0"/>
                <w:szCs w:val="21"/>
              </w:rPr>
              <w:t>20</w:t>
            </w:r>
          </w:p>
        </w:tc>
        <w:tc>
          <w:tcPr>
            <w:tcW w:w="295" w:type="pct"/>
            <w:tcBorders>
              <w:top w:val="nil"/>
              <w:left w:val="nil"/>
              <w:bottom w:val="single" w:color="auto" w:sz="8" w:space="0"/>
              <w:right w:val="single" w:color="auto" w:sz="8" w:space="0"/>
            </w:tcBorders>
            <w:noWrap w:val="0"/>
            <w:vAlign w:val="center"/>
          </w:tcPr>
          <w:p w14:paraId="472BC0D6">
            <w:pPr>
              <w:widowControl/>
              <w:jc w:val="center"/>
              <w:rPr>
                <w:rFonts w:eastAsia="等线"/>
                <w:color w:val="000000"/>
                <w:kern w:val="0"/>
                <w:szCs w:val="21"/>
              </w:rPr>
            </w:pPr>
            <w:r>
              <w:rPr>
                <w:rFonts w:eastAsia="等线"/>
                <w:color w:val="000000"/>
                <w:kern w:val="0"/>
                <w:szCs w:val="21"/>
              </w:rPr>
              <w:t>　</w:t>
            </w:r>
          </w:p>
        </w:tc>
      </w:tr>
      <w:tr w14:paraId="76569F68">
        <w:tblPrEx>
          <w:tblCellMar>
            <w:top w:w="0" w:type="dxa"/>
            <w:left w:w="108" w:type="dxa"/>
            <w:bottom w:w="0" w:type="dxa"/>
            <w:right w:w="108" w:type="dxa"/>
          </w:tblCellMar>
        </w:tblPrEx>
        <w:trPr>
          <w:trHeight w:val="300" w:hRule="atLeast"/>
        </w:trPr>
        <w:tc>
          <w:tcPr>
            <w:tcW w:w="294" w:type="pct"/>
            <w:vMerge w:val="continue"/>
            <w:tcBorders>
              <w:top w:val="nil"/>
              <w:left w:val="single" w:color="auto" w:sz="8" w:space="0"/>
              <w:bottom w:val="single" w:color="000000" w:sz="8" w:space="0"/>
              <w:right w:val="single" w:color="auto" w:sz="8" w:space="0"/>
            </w:tcBorders>
            <w:noWrap w:val="0"/>
            <w:vAlign w:val="center"/>
          </w:tcPr>
          <w:p w14:paraId="3E773F30">
            <w:pPr>
              <w:widowControl/>
              <w:jc w:val="left"/>
              <w:rPr>
                <w:rFonts w:ascii="宋体" w:hAnsi="宋体" w:cs="宋体"/>
                <w:color w:val="000000"/>
                <w:kern w:val="0"/>
                <w:szCs w:val="21"/>
              </w:rPr>
            </w:pPr>
          </w:p>
        </w:tc>
        <w:tc>
          <w:tcPr>
            <w:tcW w:w="3823" w:type="pct"/>
            <w:tcBorders>
              <w:top w:val="nil"/>
              <w:left w:val="nil"/>
              <w:bottom w:val="single" w:color="auto" w:sz="8" w:space="0"/>
              <w:right w:val="single" w:color="auto" w:sz="8" w:space="0"/>
            </w:tcBorders>
            <w:noWrap w:val="0"/>
            <w:vAlign w:val="center"/>
          </w:tcPr>
          <w:p w14:paraId="3DFDEB54">
            <w:pPr>
              <w:widowControl/>
              <w:jc w:val="left"/>
              <w:rPr>
                <w:rFonts w:ascii="宋体" w:hAnsi="宋体" w:cs="宋体"/>
                <w:color w:val="000000"/>
                <w:kern w:val="0"/>
                <w:szCs w:val="21"/>
              </w:rPr>
            </w:pPr>
            <w:r>
              <w:rPr>
                <w:rFonts w:hint="eastAsia" w:ascii="宋体" w:hAnsi="宋体" w:cs="宋体"/>
                <w:color w:val="000000"/>
                <w:kern w:val="0"/>
                <w:szCs w:val="21"/>
              </w:rPr>
              <w:t>其它甲方认可的奖励支持</w:t>
            </w:r>
          </w:p>
        </w:tc>
        <w:tc>
          <w:tcPr>
            <w:tcW w:w="294" w:type="pct"/>
            <w:tcBorders>
              <w:top w:val="nil"/>
              <w:left w:val="nil"/>
              <w:bottom w:val="single" w:color="auto" w:sz="8" w:space="0"/>
              <w:right w:val="single" w:color="auto" w:sz="8" w:space="0"/>
            </w:tcBorders>
            <w:noWrap w:val="0"/>
            <w:vAlign w:val="center"/>
          </w:tcPr>
          <w:p w14:paraId="2637488E">
            <w:pPr>
              <w:widowControl/>
              <w:jc w:val="center"/>
              <w:rPr>
                <w:rFonts w:hint="eastAsia" w:ascii="宋体" w:hAnsi="宋体" w:cs="宋体"/>
                <w:color w:val="000000"/>
                <w:kern w:val="0"/>
                <w:szCs w:val="21"/>
              </w:rPr>
            </w:pPr>
            <w:r>
              <w:rPr>
                <w:rFonts w:hint="eastAsia" w:ascii="宋体" w:hAnsi="宋体" w:cs="宋体"/>
                <w:color w:val="000000"/>
                <w:kern w:val="0"/>
                <w:szCs w:val="21"/>
              </w:rPr>
              <w:t>次</w:t>
            </w:r>
          </w:p>
        </w:tc>
        <w:tc>
          <w:tcPr>
            <w:tcW w:w="294" w:type="pct"/>
            <w:tcBorders>
              <w:top w:val="nil"/>
              <w:left w:val="nil"/>
              <w:bottom w:val="single" w:color="auto" w:sz="8" w:space="0"/>
              <w:right w:val="single" w:color="auto" w:sz="8" w:space="0"/>
            </w:tcBorders>
            <w:noWrap w:val="0"/>
            <w:vAlign w:val="center"/>
          </w:tcPr>
          <w:p w14:paraId="032F3D35">
            <w:pPr>
              <w:widowControl/>
              <w:jc w:val="center"/>
              <w:rPr>
                <w:rFonts w:hint="eastAsia" w:eastAsia="等线"/>
                <w:color w:val="000000"/>
                <w:kern w:val="0"/>
                <w:szCs w:val="21"/>
              </w:rPr>
            </w:pPr>
            <w:r>
              <w:rPr>
                <w:rFonts w:eastAsia="等线"/>
                <w:color w:val="000000"/>
                <w:kern w:val="0"/>
                <w:szCs w:val="21"/>
              </w:rPr>
              <w:t>5</w:t>
            </w:r>
          </w:p>
        </w:tc>
        <w:tc>
          <w:tcPr>
            <w:tcW w:w="295" w:type="pct"/>
            <w:tcBorders>
              <w:top w:val="nil"/>
              <w:left w:val="nil"/>
              <w:bottom w:val="single" w:color="auto" w:sz="8" w:space="0"/>
              <w:right w:val="single" w:color="auto" w:sz="8" w:space="0"/>
            </w:tcBorders>
            <w:noWrap w:val="0"/>
            <w:vAlign w:val="center"/>
          </w:tcPr>
          <w:p w14:paraId="1CC10A71">
            <w:pPr>
              <w:widowControl/>
              <w:jc w:val="center"/>
              <w:rPr>
                <w:rFonts w:eastAsia="等线"/>
                <w:color w:val="000000"/>
                <w:kern w:val="0"/>
                <w:szCs w:val="21"/>
              </w:rPr>
            </w:pPr>
            <w:r>
              <w:rPr>
                <w:rFonts w:eastAsia="等线"/>
                <w:color w:val="000000"/>
                <w:kern w:val="0"/>
                <w:szCs w:val="21"/>
              </w:rPr>
              <w:t>　</w:t>
            </w:r>
          </w:p>
        </w:tc>
      </w:tr>
    </w:tbl>
    <w:p w14:paraId="585AE7FD">
      <w:pPr>
        <w:sectPr>
          <w:pgSz w:w="16838" w:h="11906" w:orient="landscape"/>
          <w:pgMar w:top="1474" w:right="1440" w:bottom="1588" w:left="1440" w:header="851" w:footer="992" w:gutter="0"/>
          <w:cols w:space="720" w:num="1"/>
          <w:titlePg/>
          <w:docGrid w:linePitch="498" w:charSpace="0"/>
        </w:sectPr>
      </w:pPr>
    </w:p>
    <w:p w14:paraId="09F66279">
      <w:pPr>
        <w:jc w:val="left"/>
        <w:outlineLvl w:val="0"/>
        <w:rPr>
          <w:rFonts w:hint="eastAsia" w:ascii="Times New Roman" w:hAnsi="Times New Roman" w:eastAsia="宋体" w:cs="Times New Roman"/>
          <w:b/>
          <w:sz w:val="24"/>
        </w:rPr>
      </w:pPr>
      <w:r>
        <w:rPr>
          <w:rFonts w:hint="eastAsia" w:ascii="Times New Roman" w:hAnsi="Times New Roman" w:eastAsia="宋体" w:cs="Times New Roman"/>
          <w:b/>
          <w:sz w:val="24"/>
          <w:lang w:val="en-US" w:eastAsia="zh-CN"/>
        </w:rPr>
        <w:t>附件3：</w:t>
      </w:r>
      <w:r>
        <w:rPr>
          <w:rFonts w:hint="eastAsia" w:ascii="Times New Roman" w:hAnsi="Times New Roman" w:eastAsia="宋体" w:cs="Times New Roman"/>
          <w:b/>
          <w:sz w:val="24"/>
        </w:rPr>
        <w:t>服务内容及服务要求应答表</w:t>
      </w:r>
    </w:p>
    <w:p w14:paraId="053F624C">
      <w:bookmarkStart w:id="8" w:name="_GoBack"/>
      <w:bookmarkEnd w:id="8"/>
    </w:p>
    <w:sectPr>
      <w:pgSz w:w="16838" w:h="11906" w:orient="landscape"/>
      <w:pgMar w:top="1474" w:right="1440" w:bottom="1588" w:left="1440" w:header="851" w:footer="992" w:gutter="0"/>
      <w:cols w:space="720" w:num="1"/>
      <w:titlePg/>
      <w:docGrid w:linePitch="49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16819">
    <w:pPr>
      <w:pStyle w:val="3"/>
      <w:jc w:val="center"/>
      <w:rPr>
        <w:rFonts w:hint="eastAsia"/>
      </w:rP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2C7E4F">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02DC918C">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F9E88">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E0AE2">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0BB59F">
                          <w:pPr>
                            <w:pStyle w:val="3"/>
                            <w:jc w:val="center"/>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700BB59F">
                    <w:pPr>
                      <w:pStyle w:val="3"/>
                      <w:jc w:val="center"/>
                    </w:pPr>
                    <w:r>
                      <w:t xml:space="preserve">第 </w:t>
                    </w:r>
                    <w:r>
                      <w:fldChar w:fldCharType="begin"/>
                    </w:r>
                    <w:r>
                      <w:instrText xml:space="preserve"> PAGE  \* MERGEFORMAT </w:instrText>
                    </w:r>
                    <w:r>
                      <w:fldChar w:fldCharType="separate"/>
                    </w:r>
                    <w:r>
                      <w:t>14</w:t>
                    </w:r>
                    <w:r>
                      <w:fldChar w:fldCharType="end"/>
                    </w:r>
                    <w:r>
                      <w:t xml:space="preserve"> 页 共 </w:t>
                    </w:r>
                    <w:r>
                      <w:fldChar w:fldCharType="begin"/>
                    </w:r>
                    <w:r>
                      <w:instrText xml:space="preserve"> NUMPAGES  \* MERGEFORMAT </w:instrText>
                    </w:r>
                    <w:r>
                      <w:fldChar w:fldCharType="separate"/>
                    </w:r>
                    <w:r>
                      <w:t>15</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EDD54C">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D512C3">
                          <w:pPr>
                            <w:pStyle w:val="3"/>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15D512C3">
                    <w:pPr>
                      <w:pStyle w:val="3"/>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6A326">
    <w:pPr>
      <w:spacing w:line="360" w:lineRule="auto"/>
      <w:jc w:val="center"/>
      <w:rPr>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09230">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A9C6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033584"/>
    <w:multiLevelType w:val="singleLevel"/>
    <w:tmpl w:val="31033584"/>
    <w:lvl w:ilvl="0" w:tentative="0">
      <w:start w:val="5"/>
      <w:numFmt w:val="decimal"/>
      <w:suff w:val="nothing"/>
      <w:lvlText w:val="%1、"/>
      <w:lvlJc w:val="left"/>
    </w:lvl>
  </w:abstractNum>
  <w:abstractNum w:abstractNumId="1">
    <w:nsid w:val="4C163FAE"/>
    <w:multiLevelType w:val="multilevel"/>
    <w:tmpl w:val="4C163FAE"/>
    <w:lvl w:ilvl="0" w:tentative="0">
      <w:start w:val="1"/>
      <w:numFmt w:val="decimal"/>
      <w:suff w:val="nothing"/>
      <w:lvlText w:val="%1、"/>
      <w:lvlJc w:val="left"/>
      <w:pPr>
        <w:ind w:left="1063"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2C87D8D"/>
    <w:multiLevelType w:val="multilevel"/>
    <w:tmpl w:val="52C87D8D"/>
    <w:lvl w:ilvl="0" w:tentative="0">
      <w:start w:val="2"/>
      <w:numFmt w:val="japaneseCounting"/>
      <w:lvlText w:val="%1、"/>
      <w:lvlJc w:val="left"/>
      <w:pPr>
        <w:ind w:left="1363" w:hanging="720"/>
      </w:pPr>
      <w:rPr>
        <w:rFonts w:hint="default"/>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9B6244"/>
    <w:rsid w:val="3B9B6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qFormat/>
    <w:uiPriority w:val="99"/>
    <w:pPr>
      <w:jc w:val="left"/>
    </w:pPr>
    <w:rPr>
      <w:rFonts w:ascii="Copperplate Gothic Bold" w:hAnsi="Copperplate Gothic Bold"/>
      <w:sz w:val="28"/>
      <w:szCs w:val="20"/>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qFormat/>
    <w:uiPriority w:val="99"/>
    <w:pPr>
      <w:autoSpaceDE w:val="0"/>
      <w:autoSpaceDN w:val="0"/>
      <w:adjustRightInd w:val="0"/>
      <w:spacing w:after="120"/>
      <w:ind w:firstLine="420" w:firstLineChars="100"/>
    </w:pPr>
    <w:rPr>
      <w:szCs w:val="28"/>
    </w:rPr>
  </w:style>
  <w:style w:type="character" w:styleId="8">
    <w:name w:val="page number"/>
    <w:qFormat/>
    <w:uiPriority w:val="0"/>
  </w:style>
  <w:style w:type="paragraph" w:customStyle="1" w:styleId="9">
    <w:name w:val="表格文字"/>
    <w:basedOn w:val="10"/>
    <w:qFormat/>
    <w:uiPriority w:val="0"/>
    <w:pPr>
      <w:jc w:val="center"/>
    </w:pPr>
    <w:rPr>
      <w:rFonts w:ascii="Times New Roman" w:hAnsi="Times New Roman" w:cs="宋体"/>
      <w:sz w:val="21"/>
      <w:szCs w:val="21"/>
      <w:lang w:val="en-US" w:eastAsia="zh-CN"/>
    </w:rPr>
  </w:style>
  <w:style w:type="paragraph" w:styleId="10">
    <w:name w:val="No Spacing"/>
    <w:qFormat/>
    <w:uiPriority w:val="1"/>
    <w:pPr>
      <w:widowControl w:val="0"/>
      <w:jc w:val="both"/>
    </w:pPr>
    <w:rPr>
      <w:rFonts w:ascii="Calibri" w:hAnsi="Calibri" w:eastAsia="宋体" w:cs="Times New Roman"/>
      <w:kern w:val="2"/>
      <w:sz w:val="24"/>
      <w:szCs w:val="22"/>
      <w:lang w:val="en-US" w:eastAsia="zh-CN" w:bidi="ar-SA"/>
    </w:rPr>
  </w:style>
  <w:style w:type="paragraph" w:customStyle="1" w:styleId="11">
    <w:name w:val="06-正文"/>
    <w:basedOn w:val="1"/>
    <w:qFormat/>
    <w:uiPriority w:val="0"/>
    <w:pPr>
      <w:tabs>
        <w:tab w:val="left" w:pos="8364"/>
      </w:tabs>
      <w:spacing w:line="360" w:lineRule="auto"/>
      <w:ind w:firstLine="480" w:firstLineChars="200"/>
    </w:pPr>
    <w:rPr>
      <w:rFonts w:ascii="Arial" w:hAnsi="Arial"/>
      <w:kern w:val="0"/>
      <w:sz w:val="24"/>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2025-12-25T02:52:00Z</dcterms:created>
  <dc:creator>·</dc:creator>
  <cp:lastModifiedBy>·</cp:lastModifiedBy>
  <dcterms:modified xsi:type="dcterms:W3CDTF">2025-12-25T02:53:01Z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17A56A3B66024860B4D4B8F5FB478F99_11</vt:lpwstr>
  </property>
  <property fmtid="{D5CDD505-2E9C-101B-9397-08002B2CF9AE}" pid="4" name="KSOTemplateDocerSaveRecord">
    <vt:lpwstr>eyJoZGlkIjoiOWRkYWJjMGI3NGU0YmE5NTE3ZDEwOTc3YWU0ODhlZjkiLCJ1c2VySWQiOiI0NTMzNDYxODAifQ==</vt:lpwstr>
  </property>
</Properties>
</file>