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版本号：SXHC2025-26820251225001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手术室外麻醉系统项目(二次)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SXHC2025-268</w:t>
      </w:r>
      <w:r>
        <w:br/>
      </w:r>
      <w:r>
        <w:br/>
      </w:r>
      <w:r>
        <w:br/>
      </w:r>
    </w:p>
    <w:p>
      <w:pPr>
        <w:pStyle w:val="null3"/>
        <w:jc w:val="center"/>
        <w:outlineLvl w:val="2"/>
      </w:pPr>
      <w:r>
        <w:rPr>
          <w:rFonts w:ascii="仿宋_GB2312" w:hAnsi="仿宋_GB2312" w:cs="仿宋_GB2312" w:eastAsia="仿宋_GB2312"/>
          <w:sz w:val="28"/>
          <w:b/>
        </w:rPr>
        <w:t>西北妇女儿童医院</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西北妇女儿童医院</w:t>
      </w:r>
      <w:r>
        <w:rPr>
          <w:rFonts w:ascii="仿宋_GB2312" w:hAnsi="仿宋_GB2312" w:cs="仿宋_GB2312" w:eastAsia="仿宋_GB2312"/>
        </w:rPr>
        <w:t>委托，拟对</w:t>
      </w:r>
      <w:r>
        <w:rPr>
          <w:rFonts w:ascii="仿宋_GB2312" w:hAnsi="仿宋_GB2312" w:cs="仿宋_GB2312" w:eastAsia="仿宋_GB2312"/>
        </w:rPr>
        <w:t>手术室外麻醉系统项目(二次)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SXHC2025-268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手术室外麻醉系统项目(二次)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手术室外麻醉系统采购，详见采购文件。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投标人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税收缴纳证明：法人提供自2025年1月1日以来至少一个月的纳税证明或完税证明，纳税证明或完税证明上应有代收机构或税务机关的公章或业务专用章；其他组织和自然人提供自2025年1月1日以来至少一个月缴纳税收的凭据；依法免税的供应商应提供相关文件证明。</w:t>
      </w:r>
    </w:p>
    <w:p>
      <w:pPr>
        <w:pStyle w:val="null3"/>
      </w:pPr>
      <w:r>
        <w:rPr>
          <w:rFonts w:ascii="仿宋_GB2312" w:hAnsi="仿宋_GB2312" w:cs="仿宋_GB2312" w:eastAsia="仿宋_GB2312"/>
        </w:rPr>
        <w:t>3、社会保障资金缴纳证明：提供自2025年1月1日以来至少一个月已缴纳的社会保障资金的证明（社会保障资金缴存单据或社保机构开具的社会保险参保缴费情况证明等)；依法不需要缴纳社会保障资金的供应商应提供相关证明文件。</w:t>
      </w:r>
    </w:p>
    <w:p>
      <w:pPr>
        <w:pStyle w:val="null3"/>
      </w:pPr>
      <w:r>
        <w:rPr>
          <w:rFonts w:ascii="仿宋_GB2312" w:hAnsi="仿宋_GB2312" w:cs="仿宋_GB2312" w:eastAsia="仿宋_GB2312"/>
        </w:rPr>
        <w:t>4、履行本合同所必需的设备和专业技术能力：投标人须提供具有履行合同所必需的设备和专业技术能力的承诺书。</w:t>
      </w:r>
    </w:p>
    <w:p>
      <w:pPr>
        <w:pStyle w:val="null3"/>
      </w:pPr>
      <w:r>
        <w:rPr>
          <w:rFonts w:ascii="仿宋_GB2312" w:hAnsi="仿宋_GB2312" w:cs="仿宋_GB2312" w:eastAsia="仿宋_GB2312"/>
        </w:rPr>
        <w:t>5、无重大违法记录书面声明：投标人须提供参加本次采购活动前3年内在经营活动中没有重大违法记录的书面声明。</w:t>
      </w:r>
    </w:p>
    <w:p>
      <w:pPr>
        <w:pStyle w:val="null3"/>
      </w:pPr>
      <w:r>
        <w:rPr>
          <w:rFonts w:ascii="仿宋_GB2312" w:hAnsi="仿宋_GB2312" w:cs="仿宋_GB2312" w:eastAsia="仿宋_GB2312"/>
        </w:rPr>
        <w:t>6、法定代表人/负责人身份证明或法定代表人/负责人授权书：投标人法定代表人/负责人直接参加的，须递交《法定代表人/负责人身份证明》；法定代表人/负责人授权代表参加的，须递交《法定代表人/负责人授权书》。</w:t>
      </w:r>
    </w:p>
    <w:p>
      <w:pPr>
        <w:pStyle w:val="null3"/>
      </w:pPr>
      <w:r>
        <w:rPr>
          <w:rFonts w:ascii="仿宋_GB2312" w:hAnsi="仿宋_GB2312" w:cs="仿宋_GB2312" w:eastAsia="仿宋_GB2312"/>
        </w:rPr>
        <w:t>7、信誉要求：投标人未列入“失信被执行人”、“重大税收违法案件当事人名单”和“政府采购严重违法失信行为记录名单”。</w:t>
      </w:r>
    </w:p>
    <w:p>
      <w:pPr>
        <w:pStyle w:val="null3"/>
      </w:pPr>
      <w:r>
        <w:rPr>
          <w:rFonts w:ascii="仿宋_GB2312" w:hAnsi="仿宋_GB2312" w:cs="仿宋_GB2312" w:eastAsia="仿宋_GB2312"/>
        </w:rPr>
        <w:t>8、联合体要求：本项目不允许联合体参加。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西北妇女儿童医院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西安市雁翔路1616号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029-89550065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陕西省西安市高新区锦业路1号绿地领海B座10楼1006室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孙立博、张聪聪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叫号大屏</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叫号大屏</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开户名称：陕西华采招标有限公司</w:t>
            </w:r>
          </w:p>
          <w:p>
            <w:pPr>
              <w:pStyle w:val="null3"/>
            </w:pPr>
            <w:r>
              <w:rPr>
                <w:rFonts w:ascii="仿宋_GB2312" w:hAnsi="仿宋_GB2312" w:cs="仿宋_GB2312" w:eastAsia="仿宋_GB2312"/>
              </w:rPr>
              <w:t>开户银行：交通银行陕西自贸试验区西安锦业路支行</w:t>
            </w:r>
          </w:p>
          <w:p>
            <w:pPr>
              <w:pStyle w:val="null3"/>
            </w:pPr>
            <w:r>
              <w:rPr>
                <w:rFonts w:ascii="仿宋_GB2312" w:hAnsi="仿宋_GB2312" w:cs="仿宋_GB2312" w:eastAsia="仿宋_GB2312"/>
              </w:rPr>
              <w:t>银行账号：611301132018010166661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代理服务费收费标准：1、招标代理服务费的计算方法：以中标金额为基数，参照《国家计委关于印发〈招标代理服务收费管理暂行办法〉的通知》（计价格〔2002〕1980号）规定标准下浮20%收取。 2、招标代理服务费可以采取现金、支票、银行汇票、电汇、网银等方式缴纳。 3、招标代理服务费缴纳信息： 银行户名：陕西华采招标有限公司 开户银行：招商银行陕西自贸试验区西安高新科技支行 账号：129905942210666 联系人：韩工 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西北妇女儿童医院</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西北妇女儿童医院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西北妇女儿童医院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按照招标文件及采购合同约定执行。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联系电话：029-68255920-807</w:t>
      </w:r>
    </w:p>
    <w:p>
      <w:pPr>
        <w:pStyle w:val="null3"/>
      </w:pPr>
      <w:r>
        <w:rPr>
          <w:rFonts w:ascii="仿宋_GB2312" w:hAnsi="仿宋_GB2312" w:cs="仿宋_GB2312" w:eastAsia="仿宋_GB2312"/>
        </w:rPr>
        <w:t>地址：陕西省西安市高新区锦业路1号绿地领海B座10楼1006室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手术室外麻醉系统采购，详见采购文件。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手术室外麻醉系统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标的名称：手术室外麻醉系统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一、采购需求（</w:t>
            </w:r>
            <w:r>
              <w:rPr>
                <w:rFonts w:ascii="仿宋_GB2312" w:hAnsi="仿宋_GB2312" w:cs="仿宋_GB2312" w:eastAsia="仿宋_GB2312"/>
                <w:sz w:val="24"/>
                <w:b/>
              </w:rPr>
              <w:t>项目预算</w:t>
            </w:r>
            <w:r>
              <w:rPr>
                <w:rFonts w:ascii="仿宋_GB2312" w:hAnsi="仿宋_GB2312" w:cs="仿宋_GB2312" w:eastAsia="仿宋_GB2312"/>
                <w:sz w:val="24"/>
                <w:b/>
              </w:rPr>
              <w:t>75万元，包含招标文件中提及的所有要求</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1.实施范围：本项目所有招标采购内容，需覆盖西北妇女儿童医院同一法人下的所有院区中所有涉及的业务科室，并且不限制终端使用数量，招标现场需进行系统演示</w:t>
            </w:r>
            <w:r>
              <w:rPr>
                <w:rFonts w:ascii="仿宋_GB2312" w:hAnsi="仿宋_GB2312" w:cs="仿宋_GB2312" w:eastAsia="仿宋_GB2312"/>
                <w:sz w:val="24"/>
                <w:b/>
              </w:rPr>
              <w:t>。</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实施及运营方案：合同签订后，投标人需现场详细调研，根据调研报告出具包含但不限于施工计划、倒排工期的工作任务分解计划等内容的实施方案以及包含但不限于推广、宣传、关注度、使用量等内容的运营方案。</w:t>
            </w:r>
          </w:p>
          <w:p>
            <w:pPr>
              <w:pStyle w:val="null3"/>
              <w:ind w:firstLine="480"/>
            </w:pPr>
            <w:r>
              <w:rPr>
                <w:rFonts w:ascii="仿宋_GB2312" w:hAnsi="仿宋_GB2312" w:cs="仿宋_GB2312" w:eastAsia="仿宋_GB2312"/>
                <w:sz w:val="24"/>
              </w:rPr>
              <w:t>3.若相关评级对该项目有要求，投标人需配合完成电子病历系统应用水平分级评价、医院信息互联互通标准化成熟度测评、智慧医院评估工作，包括：协助评价/测评/评估标准的解读、数据填报、实证/文审材料准备、现场迎评以及评审后功能整改等技术支持。</w:t>
            </w:r>
          </w:p>
          <w:p>
            <w:pPr>
              <w:pStyle w:val="null3"/>
              <w:ind w:firstLine="480"/>
            </w:pPr>
            <w:r>
              <w:rPr>
                <w:rFonts w:ascii="仿宋_GB2312" w:hAnsi="仿宋_GB2312" w:cs="仿宋_GB2312" w:eastAsia="仿宋_GB2312"/>
                <w:sz w:val="24"/>
              </w:rPr>
              <w:t>4.若对该项目有要求，投标人需提供和协助通过信息安全等级保护测评工作。</w:t>
            </w:r>
          </w:p>
          <w:p>
            <w:pPr>
              <w:pStyle w:val="null3"/>
              <w:ind w:firstLine="480"/>
            </w:pPr>
            <w:r>
              <w:rPr>
                <w:rFonts w:ascii="仿宋_GB2312" w:hAnsi="仿宋_GB2312" w:cs="仿宋_GB2312" w:eastAsia="仿宋_GB2312"/>
                <w:sz w:val="24"/>
              </w:rPr>
              <w:t>5.接口集成：原则上，招标人需与采购人集成平台进行对接，并负责承建软件数据在集成平台数据的补全。所有涉及改造与对接费用需自行进行评估（不额外支付费用）。</w:t>
            </w:r>
          </w:p>
          <w:p>
            <w:pPr>
              <w:pStyle w:val="null3"/>
              <w:ind w:firstLine="480"/>
            </w:pPr>
            <w:r>
              <w:rPr>
                <w:rFonts w:ascii="仿宋_GB2312" w:hAnsi="仿宋_GB2312" w:cs="仿宋_GB2312" w:eastAsia="仿宋_GB2312"/>
                <w:sz w:val="24"/>
              </w:rPr>
              <w:t>6.使用要求：界面友好，操作方便，结果清晰明了。涉及专科的系统需配合采购人系统进行集成，实现功能需求。</w:t>
            </w:r>
          </w:p>
          <w:p>
            <w:pPr>
              <w:pStyle w:val="null3"/>
              <w:ind w:firstLine="480"/>
            </w:pPr>
            <w:r>
              <w:rPr>
                <w:rFonts w:ascii="仿宋_GB2312" w:hAnsi="仿宋_GB2312" w:cs="仿宋_GB2312" w:eastAsia="仿宋_GB2312"/>
                <w:sz w:val="24"/>
              </w:rPr>
              <w:t>7.须提供最新版本，包括但不限于数据库层面、应用层面的多种安全技术和安全策略，提供安全权限控制、日志审计、关键数据加密、防攻击等功能，能够被目前的主流防病毒软件和工具所兼容。</w:t>
            </w:r>
          </w:p>
          <w:p>
            <w:pPr>
              <w:pStyle w:val="null3"/>
              <w:ind w:firstLine="480"/>
            </w:pPr>
            <w:r>
              <w:rPr>
                <w:rFonts w:ascii="仿宋_GB2312" w:hAnsi="仿宋_GB2312" w:cs="仿宋_GB2312" w:eastAsia="仿宋_GB2312"/>
                <w:sz w:val="24"/>
              </w:rPr>
              <w:t>8.若国家政策、相关法律法规等有要求，须免费配合实现国产化/信创改造升级，包含但不限于软/硬件、数据库、接口等方面升级。升级后应完全符合该采购项目的国产化/信创化；须按照政策、法规等要求，免费配合以升级、迁移等形式实现相关要求；</w:t>
            </w:r>
          </w:p>
          <w:p>
            <w:pPr>
              <w:pStyle w:val="null3"/>
              <w:ind w:firstLine="480"/>
            </w:pPr>
            <w:r>
              <w:rPr>
                <w:rFonts w:ascii="仿宋_GB2312" w:hAnsi="仿宋_GB2312" w:cs="仿宋_GB2312" w:eastAsia="仿宋_GB2312"/>
                <w:sz w:val="24"/>
              </w:rPr>
              <w:t>9.投标人履约过程中所获悉的国家秘密、工作秘密、商业秘密或者其他应当保密的信息，均有保密义务且不受合同有效期所限，软件及软件产生数据的所有权归采购人所有。</w:t>
            </w:r>
          </w:p>
          <w:p>
            <w:pPr>
              <w:pStyle w:val="null3"/>
              <w:jc w:val="both"/>
            </w:pPr>
            <w:r>
              <w:rPr>
                <w:rFonts w:ascii="仿宋_GB2312" w:hAnsi="仿宋_GB2312" w:cs="仿宋_GB2312" w:eastAsia="仿宋_GB2312"/>
                <w:sz w:val="24"/>
                <w:b/>
              </w:rPr>
              <w:t>二、项目实施团队要求：</w:t>
            </w:r>
          </w:p>
          <w:p>
            <w:pPr>
              <w:pStyle w:val="null3"/>
              <w:ind w:firstLine="480"/>
            </w:pPr>
            <w:r>
              <w:rPr>
                <w:rFonts w:ascii="仿宋_GB2312" w:hAnsi="仿宋_GB2312" w:cs="仿宋_GB2312" w:eastAsia="仿宋_GB2312"/>
                <w:sz w:val="24"/>
              </w:rPr>
              <w:t>1.须具备同类项目实施经验以确保项目在实施交付过程顺利进行，</w:t>
            </w:r>
            <w:r>
              <w:rPr>
                <w:rFonts w:ascii="仿宋_GB2312" w:hAnsi="仿宋_GB2312" w:cs="仿宋_GB2312" w:eastAsia="仿宋_GB2312"/>
                <w:sz w:val="24"/>
              </w:rPr>
              <w:t>须提供关键技术人员近六个月内社保证明和技术能力有效证明材料等</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2.一经确定的项目组成员在实施过程中如因投标人单方面需更换，须提供书面说明，经采购人同意后方可进行调换，项目实施过程中，投标人按照项目所处阶段按需委派相应数量的专业工程师参与项目实施，采购人保留要求和建议的权利。</w:t>
            </w:r>
          </w:p>
          <w:p>
            <w:pPr>
              <w:pStyle w:val="null3"/>
            </w:pPr>
            <w:r>
              <w:rPr>
                <w:rFonts w:ascii="仿宋_GB2312" w:hAnsi="仿宋_GB2312" w:cs="仿宋_GB2312" w:eastAsia="仿宋_GB2312"/>
                <w:sz w:val="24"/>
                <w:b/>
              </w:rPr>
              <w:t>三、培训：</w:t>
            </w:r>
          </w:p>
          <w:p>
            <w:pPr>
              <w:pStyle w:val="null3"/>
              <w:ind w:firstLine="480"/>
            </w:pPr>
            <w:r>
              <w:rPr>
                <w:rFonts w:ascii="仿宋_GB2312" w:hAnsi="仿宋_GB2312" w:cs="仿宋_GB2312" w:eastAsia="仿宋_GB2312"/>
                <w:sz w:val="24"/>
              </w:rPr>
              <w:t>1.系统上线后，投标人不但向采购人提供系统使用培训，还需提供技术人员培训，以保证采购人工程师能够掌握软件表结构、数据业务流等技术信息。</w:t>
            </w:r>
          </w:p>
          <w:p>
            <w:pPr>
              <w:pStyle w:val="null3"/>
              <w:ind w:firstLine="480"/>
            </w:pPr>
            <w:r>
              <w:rPr>
                <w:rFonts w:ascii="仿宋_GB2312" w:hAnsi="仿宋_GB2312" w:cs="仿宋_GB2312" w:eastAsia="仿宋_GB2312"/>
                <w:sz w:val="24"/>
              </w:rPr>
              <w:t>2.投标人需提供完整的培训方案，能够针对不同的系统使用角色提供不同的培训课程内容和计划。培训的内容、次数和方式由院方提出。</w:t>
            </w:r>
          </w:p>
          <w:p>
            <w:pPr>
              <w:pStyle w:val="null3"/>
              <w:ind w:firstLine="480"/>
            </w:pPr>
            <w:r>
              <w:rPr>
                <w:rFonts w:ascii="仿宋_GB2312" w:hAnsi="仿宋_GB2312" w:cs="仿宋_GB2312" w:eastAsia="仿宋_GB2312"/>
                <w:sz w:val="24"/>
              </w:rPr>
              <w:t>3.培训内容包括但不限于：</w:t>
            </w:r>
          </w:p>
          <w:p>
            <w:pPr>
              <w:pStyle w:val="null3"/>
              <w:ind w:firstLine="480"/>
            </w:pPr>
            <w:r>
              <w:rPr>
                <w:rFonts w:ascii="仿宋_GB2312" w:hAnsi="仿宋_GB2312" w:cs="仿宋_GB2312" w:eastAsia="仿宋_GB2312"/>
                <w:sz w:val="24"/>
              </w:rPr>
              <w:t>①系统软件的用户使用培训，应用软件操作培训；</w:t>
            </w:r>
          </w:p>
          <w:p>
            <w:pPr>
              <w:pStyle w:val="null3"/>
              <w:ind w:firstLine="480"/>
            </w:pPr>
            <w:r>
              <w:rPr>
                <w:rFonts w:ascii="仿宋_GB2312" w:hAnsi="仿宋_GB2312" w:cs="仿宋_GB2312" w:eastAsia="仿宋_GB2312"/>
                <w:sz w:val="24"/>
              </w:rPr>
              <w:t>②系统管理培训、技术人员维护培训；</w:t>
            </w:r>
          </w:p>
          <w:p>
            <w:pPr>
              <w:pStyle w:val="null3"/>
              <w:ind w:firstLine="480"/>
            </w:pPr>
            <w:r>
              <w:rPr>
                <w:rFonts w:ascii="仿宋_GB2312" w:hAnsi="仿宋_GB2312" w:cs="仿宋_GB2312" w:eastAsia="仿宋_GB2312"/>
                <w:sz w:val="24"/>
              </w:rPr>
              <w:t>③应用软件操作疑难问题解答；</w:t>
            </w:r>
          </w:p>
          <w:p>
            <w:pPr>
              <w:pStyle w:val="null3"/>
              <w:ind w:firstLine="480"/>
            </w:pPr>
            <w:r>
              <w:rPr>
                <w:rFonts w:ascii="仿宋_GB2312" w:hAnsi="仿宋_GB2312" w:cs="仿宋_GB2312" w:eastAsia="仿宋_GB2312"/>
                <w:sz w:val="24"/>
              </w:rPr>
              <w:t>④项目所需的运营方案培训。</w:t>
            </w:r>
          </w:p>
          <w:p>
            <w:pPr>
              <w:pStyle w:val="null3"/>
            </w:pPr>
            <w:r>
              <w:rPr>
                <w:rFonts w:ascii="仿宋_GB2312" w:hAnsi="仿宋_GB2312" w:cs="仿宋_GB2312" w:eastAsia="仿宋_GB2312"/>
                <w:sz w:val="24"/>
                <w:b/>
              </w:rPr>
              <w:t>四、其他要求：</w:t>
            </w:r>
          </w:p>
          <w:p>
            <w:pPr>
              <w:pStyle w:val="null3"/>
              <w:ind w:firstLine="480"/>
            </w:pPr>
            <w:r>
              <w:rPr>
                <w:rFonts w:ascii="仿宋_GB2312" w:hAnsi="仿宋_GB2312" w:cs="仿宋_GB2312" w:eastAsia="仿宋_GB2312"/>
                <w:sz w:val="24"/>
              </w:rPr>
              <w:t>1.投标人须保证在使用该货物或其任何一部分时，不受第三方侵权指控。</w:t>
            </w:r>
          </w:p>
          <w:p>
            <w:pPr>
              <w:pStyle w:val="null3"/>
              <w:ind w:firstLine="480"/>
            </w:pPr>
            <w:r>
              <w:rPr>
                <w:rFonts w:ascii="仿宋_GB2312" w:hAnsi="仿宋_GB2312" w:cs="仿宋_GB2312" w:eastAsia="仿宋_GB2312"/>
                <w:sz w:val="24"/>
              </w:rPr>
              <w:t>2. 所投产品须满足但不局限于以下规范要求：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1）满足及遵循《全国医院信息化建设标准与规范（试行）》（2018年版）相关要求。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2）满足及遵循《电子病历系统功能应用水平分级评价方法及标准》（最新版）6级标准相关要求。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3）满足及遵循《国家医疗健康信息医院信息互联互通标准化成熟度测评方案》（2020年版）五级乙等相关要求。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4）满足及遵循《医院智慧服务分级评估标准体系（试行）》（2019年版）四级相关要求。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5）满足及遵循《医院智慧管理分级评估标准体系（试行）》四级相关要求。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6）满足及遵循《国务院办公厅关于推动公立医院高质量发展的意见》。</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7）满足及遵循《国家三级公立医院绩效考核操作手册》（2020版）相关条款。</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8）满足及遵循国家卫健委关于进一步改善医疗服务行动计划相关要求。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9）满足及遵循《三级医院评审标准实施细则》和《三级妇幼保健院评审标准实施细则》要求。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10）满足及遵循《关于加快药学服务高质量发展的意见》国卫医发〔2018〕45号相关要求。</w:t>
            </w:r>
          </w:p>
          <w:p>
            <w:pPr>
              <w:pStyle w:val="null3"/>
              <w:ind w:firstLine="480"/>
            </w:pPr>
            <w:r>
              <w:rPr>
                <w:rFonts w:ascii="仿宋_GB2312" w:hAnsi="仿宋_GB2312" w:cs="仿宋_GB2312" w:eastAsia="仿宋_GB2312"/>
                <w:sz w:val="24"/>
              </w:rPr>
              <w:t>3.投标人应确保交付软件的安全性，并提供符合行业标准的安全评估报告，须包含但不限于代码安全审计报告、漏洞扫描报告、渗透测试报告等。若涉及APP须提供APP端数据安全与合规性评估报告、APP业务安全及反欺诈测试报告。</w:t>
            </w:r>
          </w:p>
          <w:p>
            <w:pPr>
              <w:pStyle w:val="null3"/>
              <w:ind w:firstLine="480"/>
            </w:pPr>
            <w:r>
              <w:rPr>
                <w:rFonts w:ascii="仿宋_GB2312" w:hAnsi="仿宋_GB2312" w:cs="仿宋_GB2312" w:eastAsia="仿宋_GB2312"/>
                <w:sz w:val="24"/>
              </w:rPr>
              <w:t>投标人须提供或自行提供的系统资产（包括物理</w:t>
            </w:r>
            <w:r>
              <w:rPr>
                <w:rFonts w:ascii="仿宋_GB2312" w:hAnsi="仿宋_GB2312" w:cs="仿宋_GB2312" w:eastAsia="仿宋_GB2312"/>
                <w:sz w:val="24"/>
              </w:rPr>
              <w:t>/云服务器、网络及存储设备）承担全生命周期的安全管理责任，配置符合等保 2.0 三级安全防护要求和指定的安全基线，确保业务的持续性与安全性。</w:t>
            </w:r>
          </w:p>
          <w:p>
            <w:pPr>
              <w:pStyle w:val="null3"/>
              <w:ind w:firstLine="480"/>
            </w:pPr>
            <w:r>
              <w:rPr>
                <w:rFonts w:ascii="仿宋_GB2312" w:hAnsi="仿宋_GB2312" w:cs="仿宋_GB2312" w:eastAsia="仿宋_GB2312"/>
                <w:sz w:val="24"/>
              </w:rPr>
              <w:t>投标人应积极无条件配合开展（包括但不限于物理</w:t>
            </w:r>
            <w:r>
              <w:rPr>
                <w:rFonts w:ascii="仿宋_GB2312" w:hAnsi="仿宋_GB2312" w:cs="仿宋_GB2312" w:eastAsia="仿宋_GB2312"/>
                <w:sz w:val="24"/>
              </w:rPr>
              <w:t>/云服务器、网络及存储设备、中间件、数据库、操作系统等）的安全审计、安全加固、渗透测试、应急响应等安全工作，并提供必要的权限支持，且在 48 小时内提交书面整改计划，发生重大安全事件时，投标人应立即响应并协助取证，确保事件快速处置并将影响降到最低。</w:t>
            </w:r>
          </w:p>
          <w:p>
            <w:pPr>
              <w:pStyle w:val="null3"/>
              <w:ind w:firstLine="480"/>
            </w:pPr>
            <w:r>
              <w:rPr>
                <w:rFonts w:ascii="仿宋_GB2312" w:hAnsi="仿宋_GB2312" w:cs="仿宋_GB2312" w:eastAsia="仿宋_GB2312"/>
                <w:sz w:val="24"/>
              </w:rPr>
              <w:t>4.如投标人拒绝配合安全合规工作或因其行为导致安全事件，采购人有权解除合同，一切损失由投标人承担，并追究法律责任。</w:t>
            </w:r>
          </w:p>
          <w:p>
            <w:pPr>
              <w:pStyle w:val="null3"/>
              <w:jc w:val="both"/>
            </w:pPr>
            <w:r>
              <w:rPr>
                <w:rFonts w:ascii="仿宋_GB2312" w:hAnsi="仿宋_GB2312" w:cs="仿宋_GB2312" w:eastAsia="仿宋_GB2312"/>
                <w:sz w:val="24"/>
                <w:b/>
              </w:rPr>
              <w:t>五、</w:t>
            </w:r>
            <w:r>
              <w:rPr>
                <w:rFonts w:ascii="仿宋_GB2312" w:hAnsi="仿宋_GB2312" w:cs="仿宋_GB2312" w:eastAsia="仿宋_GB2312"/>
                <w:sz w:val="24"/>
                <w:b/>
              </w:rPr>
              <w:t>技术参数</w:t>
            </w:r>
          </w:p>
          <w:tbl>
            <w:tblPr>
              <w:tblBorders>
                <w:top w:val="none" w:color="000000" w:sz="4"/>
                <w:left w:val="none" w:color="000000" w:sz="4"/>
                <w:bottom w:val="none" w:color="000000" w:sz="4"/>
                <w:right w:val="none" w:color="000000" w:sz="4"/>
                <w:insideH w:val="none"/>
                <w:insideV w:val="none"/>
              </w:tblBorders>
            </w:tblPr>
            <w:tblGrid>
              <w:gridCol w:w="333"/>
              <w:gridCol w:w="1713"/>
              <w:gridCol w:w="475"/>
            </w:tblGrid>
            <w:tr>
              <w:tc>
                <w:tcPr>
                  <w:tcW w:type="dxa" w:w="2521"/>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手术室外麻醉系统软件部分（核心产品）</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7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功能说明</w:t>
                  </w:r>
                </w:p>
              </w:tc>
              <w:tc>
                <w:tcPr>
                  <w:tcW w:type="dxa" w:w="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p>
                  <w:pPr>
                    <w:pStyle w:val="null3"/>
                    <w:jc w:val="center"/>
                  </w:pPr>
                  <w:r>
                    <w:rPr>
                      <w:rFonts w:ascii="仿宋_GB2312" w:hAnsi="仿宋_GB2312" w:cs="仿宋_GB2312" w:eastAsia="仿宋_GB2312"/>
                      <w:sz w:val="24"/>
                      <w:b/>
                    </w:rPr>
                    <w:t>（单位）</w:t>
                  </w:r>
                </w:p>
              </w:tc>
            </w:tr>
            <w:tr>
              <w:tc>
                <w:tcPr>
                  <w:tcW w:type="dxa" w:w="33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麻醉门诊工作站功能</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支持评估患者的登记；</w:t>
                  </w:r>
                </w:p>
              </w:tc>
              <w:tc>
                <w:tcPr>
                  <w:tcW w:type="dxa" w:w="4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支持通过录入门诊号、住院号或者扫描患者腕带获取评估患者基本信息；</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支持自动同步患者麻醉门诊挂号信息；</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登记患者支持选择检查</w:t>
                  </w:r>
                  <w:r>
                    <w:rPr>
                      <w:rFonts w:ascii="仿宋_GB2312" w:hAnsi="仿宋_GB2312" w:cs="仿宋_GB2312" w:eastAsia="仿宋_GB2312"/>
                      <w:sz w:val="24"/>
                    </w:rPr>
                    <w:t>/手术类型，包括内窥镜检查/手术治疗、儿童镇静；</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无痛内镜治疗项目至少包括肠镜、胃镜、纤支镜、输尿管镜检；</w:t>
                  </w:r>
                  <w:r>
                    <w:rPr>
                      <w:rFonts w:ascii="仿宋_GB2312" w:hAnsi="仿宋_GB2312" w:cs="仿宋_GB2312" w:eastAsia="仿宋_GB2312"/>
                      <w:sz w:val="24"/>
                      <w:b/>
                    </w:rPr>
                    <w:t>（</w:t>
                  </w:r>
                  <w:r>
                    <w:rPr>
                      <w:rFonts w:ascii="仿宋_GB2312" w:hAnsi="仿宋_GB2312" w:cs="仿宋_GB2312" w:eastAsia="仿宋_GB2312"/>
                      <w:sz w:val="24"/>
                      <w:b/>
                    </w:rPr>
                    <w:t>提供软件功能截图证明</w:t>
                  </w:r>
                  <w:r>
                    <w:rPr>
                      <w:rFonts w:ascii="仿宋_GB2312" w:hAnsi="仿宋_GB2312" w:cs="仿宋_GB2312" w:eastAsia="仿宋_GB2312"/>
                      <w:sz w:val="24"/>
                      <w:b/>
                    </w:rPr>
                    <w:t>）</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儿童诊疗操作镇静类型支持项目至少包括超声、</w:t>
                  </w:r>
                  <w:r>
                    <w:rPr>
                      <w:rFonts w:ascii="仿宋_GB2312" w:hAnsi="仿宋_GB2312" w:cs="仿宋_GB2312" w:eastAsia="仿宋_GB2312"/>
                      <w:sz w:val="24"/>
                    </w:rPr>
                    <w:t>MRI、眼压、脑电图、CT、肛肠、神经功能、心电图；</w:t>
                  </w:r>
                  <w:r>
                    <w:rPr>
                      <w:rFonts w:ascii="仿宋_GB2312" w:hAnsi="仿宋_GB2312" w:cs="仿宋_GB2312" w:eastAsia="仿宋_GB2312"/>
                      <w:sz w:val="24"/>
                      <w:b/>
                    </w:rPr>
                    <w:t>（</w:t>
                  </w:r>
                  <w:r>
                    <w:rPr>
                      <w:rFonts w:ascii="仿宋_GB2312" w:hAnsi="仿宋_GB2312" w:cs="仿宋_GB2312" w:eastAsia="仿宋_GB2312"/>
                      <w:sz w:val="24"/>
                      <w:b/>
                    </w:rPr>
                    <w:t>提供软件功能截图证明</w:t>
                  </w:r>
                  <w:r>
                    <w:rPr>
                      <w:rFonts w:ascii="仿宋_GB2312" w:hAnsi="仿宋_GB2312" w:cs="仿宋_GB2312" w:eastAsia="仿宋_GB2312"/>
                      <w:sz w:val="24"/>
                      <w:b/>
                    </w:rPr>
                    <w:t>）</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支持填写禁食时间、禁饮时间填写，支持填写禁食时间时一键同步禁饮时间，填写禁饮时间时一键同步禁食时间，支持根据填写的禁食时间、禁饮时间自动计算出已禁饮禁食多少分钟；支持选择禁饮、禁食的情况；</w:t>
                  </w:r>
                  <w:r>
                    <w:rPr>
                      <w:rFonts w:ascii="仿宋_GB2312" w:hAnsi="仿宋_GB2312" w:cs="仿宋_GB2312" w:eastAsia="仿宋_GB2312"/>
                      <w:sz w:val="24"/>
                      <w:b/>
                    </w:rPr>
                    <w:t>（</w:t>
                  </w:r>
                  <w:r>
                    <w:rPr>
                      <w:rFonts w:ascii="仿宋_GB2312" w:hAnsi="仿宋_GB2312" w:cs="仿宋_GB2312" w:eastAsia="仿宋_GB2312"/>
                      <w:sz w:val="24"/>
                      <w:b/>
                    </w:rPr>
                    <w:t>提供软件功能截图证明</w:t>
                  </w:r>
                  <w:r>
                    <w:rPr>
                      <w:rFonts w:ascii="仿宋_GB2312" w:hAnsi="仿宋_GB2312" w:cs="仿宋_GB2312" w:eastAsia="仿宋_GB2312"/>
                      <w:sz w:val="24"/>
                      <w:b/>
                    </w:rPr>
                    <w:t>）</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支持对接</w:t>
                  </w:r>
                  <w:r>
                    <w:rPr>
                      <w:rFonts w:ascii="仿宋_GB2312" w:hAnsi="仿宋_GB2312" w:cs="仿宋_GB2312" w:eastAsia="仿宋_GB2312"/>
                      <w:sz w:val="24"/>
                    </w:rPr>
                    <w:t>HIS获取患者或患者家属身份证，患者疾病诊断、患者病史数据；</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展示当天需麻醉评估的患者一览表，支持查看患者基本信息，对评估状态进行特殊标记；</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支持患者姓名、患者</w:t>
                  </w:r>
                  <w:r>
                    <w:rPr>
                      <w:rFonts w:ascii="仿宋_GB2312" w:hAnsi="仿宋_GB2312" w:cs="仿宋_GB2312" w:eastAsia="仿宋_GB2312"/>
                      <w:sz w:val="24"/>
                    </w:rPr>
                    <w:t>ID等多维度患者筛选；</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支持按评估状态、知情同意书状态、缴费状态、</w:t>
                  </w:r>
                  <w:r>
                    <w:rPr>
                      <w:rFonts w:ascii="仿宋_GB2312" w:hAnsi="仿宋_GB2312" w:cs="仿宋_GB2312" w:eastAsia="仿宋_GB2312"/>
                      <w:sz w:val="24"/>
                    </w:rPr>
                    <w:t>ASA评级排序；</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支持通过患者病史、体格情况、</w:t>
                  </w:r>
                  <w:r>
                    <w:rPr>
                      <w:rFonts w:ascii="仿宋_GB2312" w:hAnsi="仿宋_GB2312" w:cs="仿宋_GB2312" w:eastAsia="仿宋_GB2312"/>
                      <w:sz w:val="24"/>
                    </w:rPr>
                    <w:t>ASA分级、心肺功能等多方面对患者麻醉风险进行评估；</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结构化麻醉风险评估，并支持风险评估单内容定制；</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支持生成麻醉风险评估单并支持打印和导出；</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支持签署麻醉知情同意书，并支持定制同意书内容；</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支持麻醉知情同意书打印及导出；</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w:t>
                  </w:r>
                  <w:r>
                    <w:rPr>
                      <w:rFonts w:ascii="仿宋_GB2312" w:hAnsi="仿宋_GB2312" w:cs="仿宋_GB2312" w:eastAsia="仿宋_GB2312"/>
                      <w:sz w:val="24"/>
                    </w:rPr>
                    <w:t>支持麻醉门诊医生填写医嘱单，包括药品名称、计量，支持填写建议给药时间；</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药物剂量支持公式计算，药物剂量填写支持一键导入公式计算结果；</w:t>
                  </w:r>
                  <w:r>
                    <w:rPr>
                      <w:rFonts w:ascii="仿宋_GB2312" w:hAnsi="仿宋_GB2312" w:cs="仿宋_GB2312" w:eastAsia="仿宋_GB2312"/>
                      <w:sz w:val="24"/>
                      <w:b/>
                    </w:rPr>
                    <w:t>（</w:t>
                  </w:r>
                  <w:r>
                    <w:rPr>
                      <w:rFonts w:ascii="仿宋_GB2312" w:hAnsi="仿宋_GB2312" w:cs="仿宋_GB2312" w:eastAsia="仿宋_GB2312"/>
                      <w:sz w:val="24"/>
                      <w:b/>
                    </w:rPr>
                    <w:t>提供软件功能截图证明</w:t>
                  </w:r>
                  <w:r>
                    <w:rPr>
                      <w:rFonts w:ascii="仿宋_GB2312" w:hAnsi="仿宋_GB2312" w:cs="仿宋_GB2312" w:eastAsia="仿宋_GB2312"/>
                      <w:sz w:val="24"/>
                      <w:b/>
                    </w:rPr>
                    <w:t>）</w:t>
                  </w:r>
                </w:p>
              </w:tc>
              <w:tc>
                <w:tcPr>
                  <w:tcW w:type="dxa" w:w="475"/>
                  <w:vMerge/>
                  <w:tcBorders>
                    <w:top w:val="none" w:color="000000" w:sz="4"/>
                    <w:left w:val="none" w:color="000000" w:sz="4"/>
                    <w:bottom w:val="single" w:color="000000" w:sz="4"/>
                    <w:right w:val="single" w:color="000000" w:sz="4"/>
                  </w:tcBorders>
                </w:tcPr>
                <w:p/>
              </w:tc>
            </w:tr>
            <w:tr>
              <w:tc>
                <w:tcPr>
                  <w:tcW w:type="dxa" w:w="33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操作间</w:t>
                  </w:r>
                  <w:r>
                    <w:rPr>
                      <w:rFonts w:ascii="仿宋_GB2312" w:hAnsi="仿宋_GB2312" w:cs="仿宋_GB2312" w:eastAsia="仿宋_GB2312"/>
                      <w:sz w:val="24"/>
                      <w:b/>
                    </w:rPr>
                    <w:t>PC工作站功能</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支持在门诊场景基于</w:t>
                  </w:r>
                  <w:r>
                    <w:rPr>
                      <w:rFonts w:ascii="仿宋_GB2312" w:hAnsi="仿宋_GB2312" w:cs="仿宋_GB2312" w:eastAsia="仿宋_GB2312"/>
                      <w:sz w:val="24"/>
                    </w:rPr>
                    <w:t>PC端可完成麻醉评估记录，并自动生成麻醉评估结论；</w:t>
                  </w:r>
                  <w:r>
                    <w:rPr>
                      <w:rFonts w:ascii="仿宋_GB2312" w:hAnsi="仿宋_GB2312" w:cs="仿宋_GB2312" w:eastAsia="仿宋_GB2312"/>
                      <w:sz w:val="24"/>
                      <w:b/>
                    </w:rPr>
                    <w:t>（</w:t>
                  </w:r>
                  <w:r>
                    <w:rPr>
                      <w:rFonts w:ascii="仿宋_GB2312" w:hAnsi="仿宋_GB2312" w:cs="仿宋_GB2312" w:eastAsia="仿宋_GB2312"/>
                      <w:sz w:val="24"/>
                      <w:b/>
                    </w:rPr>
                    <w:t>提供软件功能截图证明</w:t>
                  </w:r>
                  <w:r>
                    <w:rPr>
                      <w:rFonts w:ascii="仿宋_GB2312" w:hAnsi="仿宋_GB2312" w:cs="仿宋_GB2312" w:eastAsia="仿宋_GB2312"/>
                      <w:sz w:val="24"/>
                      <w:b/>
                    </w:rPr>
                    <w:t>）</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支持查看当日麻醉门诊所有患者业务进展进度，包括评估单是否完成评估、是否开立医嘱、知情同意书签字情况、是否缴费；</w:t>
                  </w:r>
                  <w:r>
                    <w:rPr>
                      <w:rFonts w:ascii="仿宋_GB2312" w:hAnsi="仿宋_GB2312" w:cs="仿宋_GB2312" w:eastAsia="仿宋_GB2312"/>
                      <w:sz w:val="24"/>
                      <w:b/>
                    </w:rPr>
                    <w:t>（</w:t>
                  </w:r>
                  <w:r>
                    <w:rPr>
                      <w:rFonts w:ascii="仿宋_GB2312" w:hAnsi="仿宋_GB2312" w:cs="仿宋_GB2312" w:eastAsia="仿宋_GB2312"/>
                      <w:sz w:val="24"/>
                      <w:b/>
                    </w:rPr>
                    <w:t>提供软件功能截图证明</w:t>
                  </w:r>
                  <w:r>
                    <w:rPr>
                      <w:rFonts w:ascii="仿宋_GB2312" w:hAnsi="仿宋_GB2312" w:cs="仿宋_GB2312" w:eastAsia="仿宋_GB2312"/>
                      <w:sz w:val="24"/>
                      <w:b/>
                    </w:rPr>
                    <w:t>）</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支持多场景手术室外麻醉过程记录；</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儿童镇静应用场景事件至少包含：确认用药、镇静生效、检查结束、确认复苏；</w:t>
                  </w:r>
                  <w:r>
                    <w:rPr>
                      <w:rFonts w:ascii="仿宋_GB2312" w:hAnsi="仿宋_GB2312" w:cs="仿宋_GB2312" w:eastAsia="仿宋_GB2312"/>
                      <w:sz w:val="24"/>
                      <w:b/>
                    </w:rPr>
                    <w:t>（</w:t>
                  </w:r>
                  <w:r>
                    <w:rPr>
                      <w:rFonts w:ascii="仿宋_GB2312" w:hAnsi="仿宋_GB2312" w:cs="仿宋_GB2312" w:eastAsia="仿宋_GB2312"/>
                      <w:sz w:val="24"/>
                      <w:b/>
                    </w:rPr>
                    <w:t>提供软件功能截图证明</w:t>
                  </w:r>
                  <w:r>
                    <w:rPr>
                      <w:rFonts w:ascii="仿宋_GB2312" w:hAnsi="仿宋_GB2312" w:cs="仿宋_GB2312" w:eastAsia="仿宋_GB2312"/>
                      <w:sz w:val="24"/>
                      <w:b/>
                    </w:rPr>
                    <w:t>）</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无痛内镜应用场景事件至少包含：入室、麻醉开始、手术</w:t>
                  </w:r>
                  <w:r>
                    <w:rPr>
                      <w:rFonts w:ascii="仿宋_GB2312" w:hAnsi="仿宋_GB2312" w:cs="仿宋_GB2312" w:eastAsia="仿宋_GB2312"/>
                      <w:sz w:val="24"/>
                    </w:rPr>
                    <w:t>/检查开始、手术/检查结束、出室、入复苏室、麻醉结束；</w:t>
                  </w:r>
                  <w:r>
                    <w:rPr>
                      <w:rFonts w:ascii="仿宋_GB2312" w:hAnsi="仿宋_GB2312" w:cs="仿宋_GB2312" w:eastAsia="仿宋_GB2312"/>
                      <w:sz w:val="24"/>
                      <w:b/>
                    </w:rPr>
                    <w:t>（</w:t>
                  </w:r>
                  <w:r>
                    <w:rPr>
                      <w:rFonts w:ascii="仿宋_GB2312" w:hAnsi="仿宋_GB2312" w:cs="仿宋_GB2312" w:eastAsia="仿宋_GB2312"/>
                      <w:sz w:val="24"/>
                      <w:b/>
                    </w:rPr>
                    <w:t>提供软件功能截图证明</w:t>
                  </w:r>
                  <w:r>
                    <w:rPr>
                      <w:rFonts w:ascii="仿宋_GB2312" w:hAnsi="仿宋_GB2312" w:cs="仿宋_GB2312" w:eastAsia="仿宋_GB2312"/>
                      <w:sz w:val="24"/>
                      <w:b/>
                    </w:rPr>
                    <w:t>）</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支持对接无线多参数设备使用，提供患者二维码，二维码中包含选中患者</w:t>
                  </w:r>
                  <w:r>
                    <w:rPr>
                      <w:rFonts w:ascii="仿宋_GB2312" w:hAnsi="仿宋_GB2312" w:cs="仿宋_GB2312" w:eastAsia="仿宋_GB2312"/>
                      <w:sz w:val="24"/>
                    </w:rPr>
                    <w:t>ID，支持显示是否佩戴设备、设备是否退还；</w:t>
                  </w:r>
                  <w:r>
                    <w:rPr>
                      <w:rFonts w:ascii="仿宋_GB2312" w:hAnsi="仿宋_GB2312" w:cs="仿宋_GB2312" w:eastAsia="仿宋_GB2312"/>
                      <w:sz w:val="24"/>
                      <w:b/>
                    </w:rPr>
                    <w:t>（需提供软件</w:t>
                  </w:r>
                  <w:r>
                    <w:rPr>
                      <w:rFonts w:ascii="仿宋_GB2312" w:hAnsi="仿宋_GB2312" w:cs="仿宋_GB2312" w:eastAsia="仿宋_GB2312"/>
                      <w:sz w:val="24"/>
                      <w:b/>
                    </w:rPr>
                    <w:t>功能截图</w:t>
                  </w:r>
                  <w:r>
                    <w:rPr>
                      <w:rFonts w:ascii="仿宋_GB2312" w:hAnsi="仿宋_GB2312" w:cs="仿宋_GB2312" w:eastAsia="仿宋_GB2312"/>
                      <w:sz w:val="24"/>
                      <w:b/>
                    </w:rPr>
                    <w:t>证明）</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支持同步今日已签到麻醉患者信息；</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患者核验时，支持查阅患者麻醉风险评估情况、知情同意书是否签字、缴费情况；</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支持记录麻醉过程中的药品，包括药品名称、途径、剂量、速度、单位、持续模式及开始结束时间；</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w:t>
                  </w:r>
                  <w:r>
                    <w:rPr>
                      <w:rFonts w:ascii="仿宋_GB2312" w:hAnsi="仿宋_GB2312" w:cs="仿宋_GB2312" w:eastAsia="仿宋_GB2312"/>
                      <w:sz w:val="24"/>
                      <w:b/>
                    </w:rPr>
                    <w:t>10.</w:t>
                  </w:r>
                  <w:r>
                    <w:rPr>
                      <w:rFonts w:ascii="仿宋_GB2312" w:hAnsi="仿宋_GB2312" w:cs="仿宋_GB2312" w:eastAsia="仿宋_GB2312"/>
                      <w:sz w:val="24"/>
                      <w:b/>
                    </w:rPr>
                    <w:t>支持生成结构化标准麻醉记录单；</w:t>
                  </w:r>
                  <w:r>
                    <w:rPr>
                      <w:rFonts w:ascii="仿宋_GB2312" w:hAnsi="仿宋_GB2312" w:cs="仿宋_GB2312" w:eastAsia="仿宋_GB2312"/>
                      <w:sz w:val="24"/>
                      <w:b/>
                    </w:rPr>
                    <w:t>（</w:t>
                  </w:r>
                  <w:r>
                    <w:rPr>
                      <w:rFonts w:ascii="仿宋_GB2312" w:hAnsi="仿宋_GB2312" w:cs="仿宋_GB2312" w:eastAsia="仿宋_GB2312"/>
                      <w:sz w:val="24"/>
                      <w:b/>
                    </w:rPr>
                    <w:t>需提供软件</w:t>
                  </w:r>
                  <w:r>
                    <w:rPr>
                      <w:rFonts w:ascii="仿宋_GB2312" w:hAnsi="仿宋_GB2312" w:cs="仿宋_GB2312" w:eastAsia="仿宋_GB2312"/>
                      <w:sz w:val="24"/>
                      <w:b/>
                    </w:rPr>
                    <w:t>功能截图</w:t>
                  </w:r>
                  <w:r>
                    <w:rPr>
                      <w:rFonts w:ascii="仿宋_GB2312" w:hAnsi="仿宋_GB2312" w:cs="仿宋_GB2312" w:eastAsia="仿宋_GB2312"/>
                      <w:sz w:val="24"/>
                      <w:b/>
                    </w:rPr>
                    <w:t>证明</w:t>
                  </w:r>
                  <w:r>
                    <w:rPr>
                      <w:rFonts w:ascii="仿宋_GB2312" w:hAnsi="仿宋_GB2312" w:cs="仿宋_GB2312" w:eastAsia="仿宋_GB2312"/>
                      <w:sz w:val="24"/>
                      <w:b/>
                    </w:rPr>
                    <w:t>）</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支持取消麻醉，并支持麻醉取消原因及取消人记录；</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支持患者分诊，患者可分诊到任意操作间；</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支持查看操作间今日分诊人数，当前就诊患者，操作间空闲状态；</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支持记录体位、手术方式、麻醉方式及医护人员等信息</w:t>
                  </w:r>
                  <w:r>
                    <w:rPr>
                      <w:rFonts w:ascii="仿宋_GB2312" w:hAnsi="仿宋_GB2312" w:cs="仿宋_GB2312" w:eastAsia="仿宋_GB2312"/>
                      <w:sz w:val="24"/>
                    </w:rPr>
                    <w:t>。</w:t>
                  </w:r>
                </w:p>
              </w:tc>
              <w:tc>
                <w:tcPr>
                  <w:tcW w:type="dxa" w:w="475"/>
                  <w:vMerge/>
                  <w:tcBorders>
                    <w:top w:val="none" w:color="000000" w:sz="4"/>
                    <w:left w:val="none" w:color="000000" w:sz="4"/>
                    <w:bottom w:val="single" w:color="000000" w:sz="4"/>
                    <w:right w:val="single" w:color="000000" w:sz="4"/>
                  </w:tcBorders>
                </w:tcPr>
                <w:p/>
              </w:tc>
            </w:tr>
            <w:tr>
              <w:tc>
                <w:tcPr>
                  <w:tcW w:type="dxa" w:w="3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舒适化麻醉移动工作站功能</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支持通过扫描患者腕带，核对患者姓名、性别、住院门诊号、麻醉方式等基本信息，确认患者身份及手术麻醉信息；</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患者核验时，支持查阅患者麻醉风险评估情况；</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支持同步今日已签到麻醉患者信息；</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支</w:t>
                  </w:r>
                  <w:r>
                    <w:rPr>
                      <w:rFonts w:ascii="仿宋_GB2312" w:hAnsi="仿宋_GB2312" w:cs="仿宋_GB2312" w:eastAsia="仿宋_GB2312"/>
                      <w:sz w:val="24"/>
                    </w:rPr>
                    <w:t>持多选需工作的操作间，登录后支持查看全部患者和已纳入管理的操作间患者</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支持抓取等待区患者至自己管理的操作间，操作间当前正在检查</w:t>
                  </w:r>
                  <w:r>
                    <w:rPr>
                      <w:rFonts w:ascii="仿宋_GB2312" w:hAnsi="仿宋_GB2312" w:cs="仿宋_GB2312" w:eastAsia="仿宋_GB2312"/>
                      <w:sz w:val="24"/>
                    </w:rPr>
                    <w:t>/手术患者在操作间分组中置顶高亮显示；</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支持快速切换麻醉操作间，同步管理多个麻醉患者；</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支持切换到操作间床位一键扫码分配患者，开始手术麻醉；</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支持查看患者详情，应包含患者基本信息、评估状态、医嘱状态、知情同意书状态、缴费状态、检查项目、门诊医嘱、评估结论、疾病诊断、病史。支持查看</w:t>
                  </w:r>
                  <w:r>
                    <w:rPr>
                      <w:rFonts w:ascii="仿宋_GB2312" w:hAnsi="仿宋_GB2312" w:cs="仿宋_GB2312" w:eastAsia="仿宋_GB2312"/>
                      <w:sz w:val="24"/>
                    </w:rPr>
                    <w:t>/修改医嘱、麻醉评估单；</w:t>
                  </w:r>
                  <w:r>
                    <w:rPr>
                      <w:rFonts w:ascii="仿宋_GB2312" w:hAnsi="仿宋_GB2312" w:cs="仿宋_GB2312" w:eastAsia="仿宋_GB2312"/>
                      <w:sz w:val="24"/>
                      <w:b/>
                    </w:rPr>
                    <w:t>（需提供软件</w:t>
                  </w:r>
                  <w:r>
                    <w:rPr>
                      <w:rFonts w:ascii="仿宋_GB2312" w:hAnsi="仿宋_GB2312" w:cs="仿宋_GB2312" w:eastAsia="仿宋_GB2312"/>
                      <w:sz w:val="24"/>
                      <w:b/>
                    </w:rPr>
                    <w:t>功能截图</w:t>
                  </w:r>
                  <w:r>
                    <w:rPr>
                      <w:rFonts w:ascii="仿宋_GB2312" w:hAnsi="仿宋_GB2312" w:cs="仿宋_GB2312" w:eastAsia="仿宋_GB2312"/>
                      <w:sz w:val="24"/>
                      <w:b/>
                    </w:rPr>
                    <w:t>证明）</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支持适应</w:t>
                  </w:r>
                  <w:r>
                    <w:rPr>
                      <w:rFonts w:ascii="仿宋_GB2312" w:hAnsi="仿宋_GB2312" w:cs="仿宋_GB2312" w:eastAsia="仿宋_GB2312"/>
                      <w:sz w:val="24"/>
                    </w:rPr>
                    <w:t>移动端</w:t>
                  </w:r>
                  <w:r>
                    <w:rPr>
                      <w:rFonts w:ascii="仿宋_GB2312" w:hAnsi="仿宋_GB2312" w:cs="仿宋_GB2312" w:eastAsia="仿宋_GB2312"/>
                      <w:sz w:val="24"/>
                    </w:rPr>
                    <w:t>app操作的界面，支持加药、术中事件记录，支持app端查看患者麻醉记录单；</w:t>
                  </w:r>
                  <w:r>
                    <w:rPr>
                      <w:rFonts w:ascii="仿宋_GB2312" w:hAnsi="仿宋_GB2312" w:cs="仿宋_GB2312" w:eastAsia="仿宋_GB2312"/>
                      <w:sz w:val="19"/>
                    </w:rPr>
                    <w:t xml:space="preserve"> </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支持筛选等待区病人和已就诊病人；</w:t>
                  </w:r>
                  <w:r>
                    <w:rPr>
                      <w:rFonts w:ascii="仿宋_GB2312" w:hAnsi="仿宋_GB2312" w:cs="仿宋_GB2312" w:eastAsia="仿宋_GB2312"/>
                      <w:sz w:val="24"/>
                      <w:b/>
                    </w:rPr>
                    <w:t>（需提供软件</w:t>
                  </w:r>
                  <w:r>
                    <w:rPr>
                      <w:rFonts w:ascii="仿宋_GB2312" w:hAnsi="仿宋_GB2312" w:cs="仿宋_GB2312" w:eastAsia="仿宋_GB2312"/>
                      <w:sz w:val="24"/>
                      <w:b/>
                    </w:rPr>
                    <w:t>功能截图</w:t>
                  </w:r>
                  <w:r>
                    <w:rPr>
                      <w:rFonts w:ascii="仿宋_GB2312" w:hAnsi="仿宋_GB2312" w:cs="仿宋_GB2312" w:eastAsia="仿宋_GB2312"/>
                      <w:sz w:val="24"/>
                      <w:b/>
                    </w:rPr>
                    <w:t>证明）</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支持</w:t>
                  </w:r>
                  <w:r>
                    <w:rPr>
                      <w:rFonts w:ascii="仿宋_GB2312" w:hAnsi="仿宋_GB2312" w:cs="仿宋_GB2312" w:eastAsia="仿宋_GB2312"/>
                      <w:sz w:val="24"/>
                    </w:rPr>
                    <w:t>移动端</w:t>
                  </w:r>
                  <w:r>
                    <w:rPr>
                      <w:rFonts w:ascii="仿宋_GB2312" w:hAnsi="仿宋_GB2312" w:cs="仿宋_GB2312" w:eastAsia="仿宋_GB2312"/>
                      <w:sz w:val="24"/>
                    </w:rPr>
                    <w:t>APP扫码医院现有无线生命体征监护设备码绑定患者，实现患者转运状态数据关联，即实现患者入室、出室、入复苏室、出复苏室等至少4个时间节点事件记录和自动抓取对应时间节点生命体征数据到手术室外麻醉系统；</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支持记录麻醉过程中的体征，包括体征类型，体征值及体征时间</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支持记录手术麻醉各时间节点信息，并支持状态回退</w:t>
                  </w:r>
                  <w:r>
                    <w:rPr>
                      <w:rFonts w:ascii="仿宋_GB2312" w:hAnsi="仿宋_GB2312" w:cs="仿宋_GB2312" w:eastAsia="仿宋_GB2312"/>
                      <w:sz w:val="24"/>
                    </w:rPr>
                    <w:t>。</w:t>
                  </w:r>
                </w:p>
              </w:tc>
              <w:tc>
                <w:tcPr>
                  <w:tcW w:type="dxa" w:w="475"/>
                  <w:vMerge/>
                  <w:tcBorders>
                    <w:top w:val="none" w:color="000000" w:sz="4"/>
                    <w:left w:val="none" w:color="000000" w:sz="4"/>
                    <w:bottom w:val="single" w:color="000000" w:sz="4"/>
                    <w:right w:val="single" w:color="000000" w:sz="4"/>
                  </w:tcBorders>
                </w:tcPr>
                <w:p/>
              </w:tc>
            </w:tr>
            <w:tr>
              <w:tc>
                <w:tcPr>
                  <w:tcW w:type="dxa" w:w="33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舒适化麻醉复苏工作站功能</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复苏工作站支持查看待复苏、复苏中、复苏完成的患者信息，至少包括患者姓名、性别、年龄、</w:t>
                  </w:r>
                  <w:r>
                    <w:rPr>
                      <w:rFonts w:ascii="仿宋_GB2312" w:hAnsi="仿宋_GB2312" w:cs="仿宋_GB2312" w:eastAsia="仿宋_GB2312"/>
                      <w:sz w:val="24"/>
                    </w:rPr>
                    <w:t>ASA评级、检查/手术项目、入复苏室时间、当前复苏时长；</w:t>
                  </w:r>
                  <w:r>
                    <w:rPr>
                      <w:rFonts w:ascii="仿宋_GB2312" w:hAnsi="仿宋_GB2312" w:cs="仿宋_GB2312" w:eastAsia="仿宋_GB2312"/>
                      <w:sz w:val="24"/>
                      <w:b/>
                    </w:rPr>
                    <w:t>（需提供软件</w:t>
                  </w:r>
                  <w:r>
                    <w:rPr>
                      <w:rFonts w:ascii="仿宋_GB2312" w:hAnsi="仿宋_GB2312" w:cs="仿宋_GB2312" w:eastAsia="仿宋_GB2312"/>
                      <w:sz w:val="24"/>
                      <w:b/>
                    </w:rPr>
                    <w:t>功能截图</w:t>
                  </w:r>
                  <w:r>
                    <w:rPr>
                      <w:rFonts w:ascii="仿宋_GB2312" w:hAnsi="仿宋_GB2312" w:cs="仿宋_GB2312" w:eastAsia="仿宋_GB2312"/>
                      <w:sz w:val="24"/>
                      <w:b/>
                    </w:rPr>
                    <w:t>证明）</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复苏工作站支持填写患者转入复苏室时间、复苏完成时间，支持填写苏醒评分、清醒程度评分，并生成复苏记录单；</w:t>
                  </w:r>
                  <w:r>
                    <w:rPr>
                      <w:rFonts w:ascii="仿宋_GB2312" w:hAnsi="仿宋_GB2312" w:cs="仿宋_GB2312" w:eastAsia="仿宋_GB2312"/>
                      <w:sz w:val="24"/>
                      <w:b/>
                    </w:rPr>
                    <w:t>（需提供软件</w:t>
                  </w:r>
                  <w:r>
                    <w:rPr>
                      <w:rFonts w:ascii="仿宋_GB2312" w:hAnsi="仿宋_GB2312" w:cs="仿宋_GB2312" w:eastAsia="仿宋_GB2312"/>
                      <w:sz w:val="24"/>
                      <w:b/>
                    </w:rPr>
                    <w:t>功能截图</w:t>
                  </w:r>
                  <w:r>
                    <w:rPr>
                      <w:rFonts w:ascii="仿宋_GB2312" w:hAnsi="仿宋_GB2312" w:cs="仿宋_GB2312" w:eastAsia="仿宋_GB2312"/>
                      <w:sz w:val="24"/>
                      <w:b/>
                    </w:rPr>
                    <w:t>证明）</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支持麻醉复苏后离院评分；</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具备复苏患者的中央管理页面，支持显示本复苏区复苏中的患者；</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4"/>
                      <w:b/>
                    </w:rPr>
                    <w:t>5.</w:t>
                  </w:r>
                  <w:r>
                    <w:rPr>
                      <w:rFonts w:ascii="仿宋_GB2312" w:hAnsi="仿宋_GB2312" w:cs="仿宋_GB2312" w:eastAsia="仿宋_GB2312"/>
                      <w:sz w:val="24"/>
                      <w:b/>
                    </w:rPr>
                    <w:t>支持对接无线多参数监护设备和台式监护仪，抓取患者生命体征，自动生成麻醉记录单至少具备体温、呼吸频率、心率、氧饱和度、脉搏、舒张压、收缩压等；</w:t>
                  </w:r>
                  <w:r>
                    <w:rPr>
                      <w:rFonts w:ascii="仿宋_GB2312" w:hAnsi="仿宋_GB2312" w:cs="仿宋_GB2312" w:eastAsia="仿宋_GB2312"/>
                      <w:sz w:val="24"/>
                      <w:b/>
                    </w:rPr>
                    <w:t>（需投标人提供承诺函</w:t>
                  </w:r>
                  <w:r>
                    <w:rPr>
                      <w:rFonts w:ascii="仿宋_GB2312" w:hAnsi="仿宋_GB2312" w:cs="仿宋_GB2312" w:eastAsia="仿宋_GB2312"/>
                      <w:sz w:val="24"/>
                      <w:b/>
                    </w:rPr>
                    <w:t>（</w:t>
                  </w:r>
                  <w:r>
                    <w:rPr>
                      <w:rFonts w:ascii="仿宋_GB2312" w:hAnsi="仿宋_GB2312" w:cs="仿宋_GB2312" w:eastAsia="仿宋_GB2312"/>
                      <w:sz w:val="24"/>
                      <w:b/>
                    </w:rPr>
                    <w:t>格式自拟</w:t>
                  </w:r>
                  <w:r>
                    <w:rPr>
                      <w:rFonts w:ascii="仿宋_GB2312" w:hAnsi="仿宋_GB2312" w:cs="仿宋_GB2312" w:eastAsia="仿宋_GB2312"/>
                      <w:sz w:val="24"/>
                      <w:b/>
                    </w:rPr>
                    <w:t>）</w:t>
                  </w:r>
                  <w:r>
                    <w:rPr>
                      <w:rFonts w:ascii="仿宋_GB2312" w:hAnsi="仿宋_GB2312" w:cs="仿宋_GB2312" w:eastAsia="仿宋_GB2312"/>
                      <w:sz w:val="24"/>
                      <w:b/>
                    </w:rPr>
                    <w:t>，承诺实现此功能）</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支持实时共享显示无线多参数监护设备和台式监护设备的生理报警提示，提示种类不少于</w:t>
                  </w:r>
                  <w:r>
                    <w:rPr>
                      <w:rFonts w:ascii="仿宋_GB2312" w:hAnsi="仿宋_GB2312" w:cs="仿宋_GB2312" w:eastAsia="仿宋_GB2312"/>
                      <w:sz w:val="24"/>
                    </w:rPr>
                    <w:t>7种，即体温、呼吸频率、心率、氧饱和度、脉搏、舒张压、收缩压的异常提示；</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支持对不良事件分级，并记录针对不良事件采取的措施、不良事件的结局。支持不良事件发生的时间、经过、原因分析、改进措施的填写</w:t>
                  </w:r>
                  <w:r>
                    <w:rPr>
                      <w:rFonts w:ascii="仿宋_GB2312" w:hAnsi="仿宋_GB2312" w:cs="仿宋_GB2312" w:eastAsia="仿宋_GB2312"/>
                      <w:sz w:val="24"/>
                    </w:rPr>
                    <w:t>。</w:t>
                  </w:r>
                </w:p>
              </w:tc>
              <w:tc>
                <w:tcPr>
                  <w:tcW w:type="dxa" w:w="475"/>
                  <w:vMerge/>
                  <w:tcBorders>
                    <w:top w:val="none" w:color="000000" w:sz="4"/>
                    <w:left w:val="none" w:color="000000" w:sz="4"/>
                    <w:bottom w:val="single" w:color="000000" w:sz="4"/>
                    <w:right w:val="single" w:color="000000" w:sz="4"/>
                  </w:tcBorders>
                </w:tcPr>
                <w:p/>
              </w:tc>
            </w:tr>
            <w:tr>
              <w:tc>
                <w:tcPr>
                  <w:tcW w:type="dxa" w:w="33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舒适化儿童镇静护士工作站功能</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支持查看今日本病区所有检查项目，支持查看今日所有检查项目的汇总人数、今日住院汇总、今日门诊汇总、今日静脉汇总。支持按全部检查类型、超声、</w:t>
                  </w:r>
                  <w:r>
                    <w:rPr>
                      <w:rFonts w:ascii="仿宋_GB2312" w:hAnsi="仿宋_GB2312" w:cs="仿宋_GB2312" w:eastAsia="仿宋_GB2312"/>
                      <w:sz w:val="24"/>
                    </w:rPr>
                    <w:t>MRI 1.5T、MRI 3.0T、眼压、胃肠镜、脑电图、CT平扫、肺功能、肛肠、神经功能、听力、纤支镜、CT增强、心电图筛选今日数据, 支持按检查项目与执行状态复合筛选今日数据，执行状态包括未用药、已用药、检查中、复苏中、已完成、未完成、所有状态；</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支持根据患者</w:t>
                  </w:r>
                  <w:r>
                    <w:rPr>
                      <w:rFonts w:ascii="仿宋_GB2312" w:hAnsi="仿宋_GB2312" w:cs="仿宋_GB2312" w:eastAsia="仿宋_GB2312"/>
                      <w:sz w:val="24"/>
                    </w:rPr>
                    <w:t>ID筛选今日检查，支持查看今日本病区患者检查信息列表,患者检查信息列表支持展现患者ID、姓名、年龄、性别、体重、检查项目、检查部位、疾病诊断、镇静方案、首次用药方式、ASA评级、知情同意书、缴费情况、试针情况、建议给药时间、首次给药时间、镇静生效标识、检查结束标识、确认复苏标识、备注信息、禁食时长、禁饮时长、电话号码、二次用药时间、镇静评分标识、苏醒评分标识 支持对检查单进行镇静评分和苏醒评分、是否推荐用药、等待时间、治疗时间、镇静起效时间；</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首次用药方式针对吸入和静脉用不同颜色区分，支持修改是否确认签署知情同意书、是否确认缴费、是否试针；</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患者检查信息列表内容支持翻页展示，支持设置每页显示的内容数量，支持双击查看详情，表头支持拖动宽度，对于已完成的检查进行颜色区分标识，对于已选中的行进行颜色区分标识，支持删除未做评估的检查，支持恢复已删除的检查，支持查询历史删除检查列表；</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支持打印选中检查单的标签，标签内容包含病区名称、</w:t>
                  </w:r>
                  <w:r>
                    <w:rPr>
                      <w:rFonts w:ascii="仿宋_GB2312" w:hAnsi="仿宋_GB2312" w:cs="仿宋_GB2312" w:eastAsia="仿宋_GB2312"/>
                      <w:sz w:val="24"/>
                    </w:rPr>
                    <w:t>ASA分级、ID号、姓名、性别、年龄、体重、检查项目、检查部位、用药方式、用药方案、检查标识条形码；</w:t>
                  </w:r>
                  <w:r>
                    <w:rPr>
                      <w:rFonts w:ascii="仿宋_GB2312" w:hAnsi="仿宋_GB2312" w:cs="仿宋_GB2312" w:eastAsia="仿宋_GB2312"/>
                      <w:sz w:val="24"/>
                      <w:b/>
                    </w:rPr>
                    <w:t>（需提供软件</w:t>
                  </w:r>
                  <w:r>
                    <w:rPr>
                      <w:rFonts w:ascii="仿宋_GB2312" w:hAnsi="仿宋_GB2312" w:cs="仿宋_GB2312" w:eastAsia="仿宋_GB2312"/>
                      <w:sz w:val="24"/>
                      <w:b/>
                    </w:rPr>
                    <w:t>功能截图</w:t>
                  </w:r>
                  <w:r>
                    <w:rPr>
                      <w:rFonts w:ascii="仿宋_GB2312" w:hAnsi="仿宋_GB2312" w:cs="仿宋_GB2312" w:eastAsia="仿宋_GB2312"/>
                      <w:sz w:val="24"/>
                      <w:b/>
                    </w:rPr>
                    <w:t>证明）</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支持修改选中检查单的状态，状态包括确认用药、镇静生效、检查结束、确认复苏，支持在修改状态时提交确认用药、镇静生效、检查结束、确认复苏时的</w:t>
                  </w:r>
                  <w:r>
                    <w:rPr>
                      <w:rFonts w:ascii="仿宋_GB2312" w:hAnsi="仿宋_GB2312" w:cs="仿宋_GB2312" w:eastAsia="仿宋_GB2312"/>
                      <w:sz w:val="24"/>
                    </w:rPr>
                    <w:t>SPO2、PR值、提交时间，支持在修改状态时撤销已提交的状态，支持与叫号大屏信息互通，呼叫选中的患者；</w:t>
                  </w:r>
                  <w:r>
                    <w:rPr>
                      <w:rFonts w:ascii="仿宋_GB2312" w:hAnsi="仿宋_GB2312" w:cs="仿宋_GB2312" w:eastAsia="仿宋_GB2312"/>
                      <w:sz w:val="24"/>
                      <w:b/>
                    </w:rPr>
                    <w:t>（需提供软件</w:t>
                  </w:r>
                  <w:r>
                    <w:rPr>
                      <w:rFonts w:ascii="仿宋_GB2312" w:hAnsi="仿宋_GB2312" w:cs="仿宋_GB2312" w:eastAsia="仿宋_GB2312"/>
                      <w:sz w:val="24"/>
                      <w:b/>
                    </w:rPr>
                    <w:t>功能截图</w:t>
                  </w:r>
                  <w:r>
                    <w:rPr>
                      <w:rFonts w:ascii="仿宋_GB2312" w:hAnsi="仿宋_GB2312" w:cs="仿宋_GB2312" w:eastAsia="仿宋_GB2312"/>
                      <w:sz w:val="24"/>
                      <w:b/>
                    </w:rPr>
                    <w:t>证明）</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支持患者在多个检查中心之间转诊，并显示转诊标识；</w:t>
                  </w:r>
                  <w:r>
                    <w:rPr>
                      <w:rFonts w:ascii="仿宋_GB2312" w:hAnsi="仿宋_GB2312" w:cs="仿宋_GB2312" w:eastAsia="仿宋_GB2312"/>
                      <w:sz w:val="24"/>
                      <w:b/>
                    </w:rPr>
                    <w:t>（需提供软件</w:t>
                  </w:r>
                  <w:r>
                    <w:rPr>
                      <w:rFonts w:ascii="仿宋_GB2312" w:hAnsi="仿宋_GB2312" w:cs="仿宋_GB2312" w:eastAsia="仿宋_GB2312"/>
                      <w:sz w:val="24"/>
                      <w:b/>
                    </w:rPr>
                    <w:t>功能截图</w:t>
                  </w:r>
                  <w:r>
                    <w:rPr>
                      <w:rFonts w:ascii="仿宋_GB2312" w:hAnsi="仿宋_GB2312" w:cs="仿宋_GB2312" w:eastAsia="仿宋_GB2312"/>
                      <w:sz w:val="24"/>
                      <w:b/>
                    </w:rPr>
                    <w:t>证明）</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支持展现检查单号、患者姓名、患者性别、检查项目、疾病诊断、</w:t>
                  </w:r>
                  <w:r>
                    <w:rPr>
                      <w:rFonts w:ascii="仿宋_GB2312" w:hAnsi="仿宋_GB2312" w:cs="仿宋_GB2312" w:eastAsia="仿宋_GB2312"/>
                      <w:sz w:val="24"/>
                    </w:rPr>
                    <w:t>ASA评级、用药信息、用药方式、当前确认用药状态、镇静生效状态、检查结束状态、确认复苏状态、数字键盘；</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支持修改检查状态，信息包括确认用药、镇静生效、检查结束、确认复苏，支持在修改状态时提交确认用药、镇静生效、检查结束、确认复苏时的</w:t>
                  </w:r>
                  <w:r>
                    <w:rPr>
                      <w:rFonts w:ascii="仿宋_GB2312" w:hAnsi="仿宋_GB2312" w:cs="仿宋_GB2312" w:eastAsia="仿宋_GB2312"/>
                      <w:sz w:val="24"/>
                    </w:rPr>
                    <w:t>SPO2、PR值、提交时间、提交人姓名；</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4"/>
                      <w:b/>
                    </w:rPr>
                    <w:t>10.</w:t>
                  </w:r>
                  <w:r>
                    <w:rPr>
                      <w:rFonts w:ascii="仿宋_GB2312" w:hAnsi="仿宋_GB2312" w:cs="仿宋_GB2312" w:eastAsia="仿宋_GB2312"/>
                      <w:sz w:val="24"/>
                      <w:b/>
                    </w:rPr>
                    <w:t>支持按今日、本月、自定义时间区间、病区进行工作统计，展现方式支持按天统计、按月统计、按年统计，支持将统计结果导出</w:t>
                  </w:r>
                  <w:r>
                    <w:rPr>
                      <w:rFonts w:ascii="仿宋_GB2312" w:hAnsi="仿宋_GB2312" w:cs="仿宋_GB2312" w:eastAsia="仿宋_GB2312"/>
                      <w:sz w:val="24"/>
                      <w:b/>
                    </w:rPr>
                    <w:t>Excel，导出方式支持单工作表和多工作表，统计内容包含检查项目、检查部位、二次用药、镇静总量统计；（需提供软件</w:t>
                  </w:r>
                  <w:r>
                    <w:rPr>
                      <w:rFonts w:ascii="仿宋_GB2312" w:hAnsi="仿宋_GB2312" w:cs="仿宋_GB2312" w:eastAsia="仿宋_GB2312"/>
                      <w:sz w:val="24"/>
                      <w:b/>
                    </w:rPr>
                    <w:t>功能截图</w:t>
                  </w:r>
                  <w:r>
                    <w:rPr>
                      <w:rFonts w:ascii="仿宋_GB2312" w:hAnsi="仿宋_GB2312" w:cs="仿宋_GB2312" w:eastAsia="仿宋_GB2312"/>
                      <w:sz w:val="24"/>
                      <w:b/>
                    </w:rPr>
                    <w:t>证明）</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支持生成并查看质量与安全管理情况汇报表；</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支持二次用药查询，支持按今日、本月、自定义事件区间进行统计，展现方式支持按天统计、按月统计、按年统计。统计结果需包含加量、吸入、加量</w:t>
                  </w:r>
                  <w:r>
                    <w:rPr>
                      <w:rFonts w:ascii="仿宋_GB2312" w:hAnsi="仿宋_GB2312" w:cs="仿宋_GB2312" w:eastAsia="仿宋_GB2312"/>
                      <w:sz w:val="24"/>
                    </w:rPr>
                    <w:t>+吸入、二次用药总计的数据，并支持将统计结果导出Excel；</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non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支持并发症统计，支持病区、时间范围查询统计，统计结果需包含病区、时间、患者姓名、患者</w:t>
                  </w:r>
                  <w:r>
                    <w:rPr>
                      <w:rFonts w:ascii="仿宋_GB2312" w:hAnsi="仿宋_GB2312" w:cs="仿宋_GB2312" w:eastAsia="仿宋_GB2312"/>
                      <w:sz w:val="24"/>
                    </w:rPr>
                    <w:t>ID、性别、年龄、疾病诊断、并发症情况。</w:t>
                  </w:r>
                </w:p>
              </w:tc>
              <w:tc>
                <w:tcPr>
                  <w:tcW w:type="dxa" w:w="475"/>
                  <w:vMerge/>
                  <w:tcBorders>
                    <w:top w:val="none" w:color="000000" w:sz="4"/>
                    <w:left w:val="none" w:color="000000" w:sz="4"/>
                    <w:bottom w:val="single" w:color="000000" w:sz="4"/>
                    <w:right w:val="single" w:color="000000" w:sz="4"/>
                  </w:tcBorders>
                </w:tcPr>
                <w:p/>
              </w:tc>
            </w:tr>
            <w:tr>
              <w:tc>
                <w:tcPr>
                  <w:tcW w:type="dxa" w:w="3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舒适化麻醉数据中心功能</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支持统计指定时间段内手术室外麻醉多场景统计数据；</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支持统计</w:t>
                  </w:r>
                  <w:r>
                    <w:rPr>
                      <w:rFonts w:ascii="仿宋_GB2312" w:hAnsi="仿宋_GB2312" w:cs="仿宋_GB2312" w:eastAsia="仿宋_GB2312"/>
                      <w:sz w:val="24"/>
                    </w:rPr>
                    <w:t>入室后手术室外麻醉取消率；</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支持统计</w:t>
                  </w:r>
                  <w:r>
                    <w:rPr>
                      <w:rFonts w:ascii="仿宋_GB2312" w:hAnsi="仿宋_GB2312" w:cs="仿宋_GB2312" w:eastAsia="仿宋_GB2312"/>
                      <w:sz w:val="24"/>
                    </w:rPr>
                    <w:t>麻醉期间严重反流误吸发生率；</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支持统计麻醉期间严重过敏反应发生率；</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支持手术室外麻醉各场景</w:t>
                  </w:r>
                  <w:r>
                    <w:rPr>
                      <w:rFonts w:ascii="仿宋_GB2312" w:hAnsi="仿宋_GB2312" w:cs="仿宋_GB2312" w:eastAsia="仿宋_GB2312"/>
                      <w:sz w:val="24"/>
                    </w:rPr>
                    <w:t>ASA Ⅲ级以上病人统计；</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支持统计手术室外麻醉各场景工作量；</w:t>
                  </w:r>
                  <w:r>
                    <w:rPr>
                      <w:rFonts w:ascii="仿宋_GB2312" w:hAnsi="仿宋_GB2312" w:cs="仿宋_GB2312" w:eastAsia="仿宋_GB2312"/>
                      <w:sz w:val="19"/>
                    </w:rPr>
                    <w:t xml:space="preserve"> </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支持统计</w:t>
                  </w:r>
                  <w:r>
                    <w:rPr>
                      <w:rFonts w:ascii="仿宋_GB2312" w:hAnsi="仿宋_GB2312" w:cs="仿宋_GB2312" w:eastAsia="仿宋_GB2312"/>
                      <w:sz w:val="24"/>
                    </w:rPr>
                    <w:t>门诊和住院患者比；</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支持查看各应用场景复苏平均时间；</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支持查看</w:t>
                  </w:r>
                  <w:r>
                    <w:rPr>
                      <w:rFonts w:ascii="仿宋_GB2312" w:hAnsi="仿宋_GB2312" w:cs="仿宋_GB2312" w:eastAsia="仿宋_GB2312"/>
                      <w:sz w:val="24"/>
                    </w:rPr>
                    <w:t>各应用场景出入室平均时间；</w:t>
                  </w:r>
                </w:p>
              </w:tc>
              <w:tc>
                <w:tcPr>
                  <w:tcW w:type="dxa" w:w="475"/>
                  <w:vMerge/>
                  <w:tcBorders>
                    <w:top w:val="none" w:color="000000" w:sz="4"/>
                    <w:left w:val="none" w:color="000000" w:sz="4"/>
                    <w:bottom w:val="single" w:color="000000" w:sz="4"/>
                    <w:right w:val="single" w:color="000000" w:sz="4"/>
                  </w:tcBorders>
                </w:tcPr>
                <w:p/>
              </w:tc>
            </w:tr>
            <w:tr>
              <w:tc>
                <w:tcPr>
                  <w:tcW w:type="dxa" w:w="3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舒适化麻醉支撑平台功能</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支持平台、视图等多种数据接口集成方式；</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2.支持叫号排队功能、叫号支持按检查项目筛选出已填写医嘱单的检查，已用药检查则从叫号排队列表中清除；</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支持排队叫号功能、叫号排队提供管理界面和大屏界面，管理界面和叫号排队大屏界面支持分离部署，支持呼叫患者、置顶检查、优先检查、取消置顶检查、取消优先检查，支持颜色区分已经被投放到大屏显示的检查；叫号排队大屏界面数据与叫号排队管理界面设置的数据同步，按检查类型分类显示患者信息、预计等待时间，展示患者姓名、性别、ASA评级、年龄、预计等待时间，其中患者姓名需支持隐私保护，支持播放叫号声音播放；</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可对接</w:t>
                  </w:r>
                  <w:r>
                    <w:rPr>
                      <w:rFonts w:ascii="仿宋_GB2312" w:hAnsi="仿宋_GB2312" w:cs="仿宋_GB2312" w:eastAsia="仿宋_GB2312"/>
                      <w:sz w:val="24"/>
                    </w:rPr>
                    <w:t>HIS系统，同步患者基本信息、门诊信息、住院信息；</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支持维护排台登记界面手术申请所需要显示的字段；</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支持维护手术汇总显示列手术信息所需要显示的字段；</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支持通过</w:t>
                  </w:r>
                  <w:r>
                    <w:rPr>
                      <w:rFonts w:ascii="仿宋_GB2312" w:hAnsi="仿宋_GB2312" w:cs="仿宋_GB2312" w:eastAsia="仿宋_GB2312"/>
                      <w:sz w:val="24"/>
                    </w:rPr>
                    <w:t>HIS和用户手工维护更新本地字典；</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支持维护医护人员、麻醉方式等基本字典信息；</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支持维护操作间字典、床位字典；</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支持配置手术室外麻醉记录字典，包括麻醉事件、麻醉常用量、麻醉方法等；</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支持维护医院名称及徽标信息；</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支持配置文书模板，包括手术室外麻醉记录、麻醉风险评估及麻醉同意书模板</w:t>
                  </w:r>
                </w:p>
              </w:tc>
              <w:tc>
                <w:tcPr>
                  <w:tcW w:type="dxa" w:w="47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提供数据库备份机制，定期对数据进行备份</w:t>
                  </w:r>
                </w:p>
              </w:tc>
              <w:tc>
                <w:tcPr>
                  <w:tcW w:type="dxa" w:w="475"/>
                  <w:vMerge/>
                  <w:tcBorders>
                    <w:top w:val="none" w:color="000000" w:sz="4"/>
                    <w:left w:val="none" w:color="000000" w:sz="4"/>
                    <w:bottom w:val="single" w:color="000000" w:sz="4"/>
                    <w:right w:val="single" w:color="000000" w:sz="4"/>
                  </w:tcBorders>
                </w:tcPr>
                <w:p/>
              </w:tc>
            </w:tr>
            <w:tr>
              <w:tc>
                <w:tcPr>
                  <w:tcW w:type="dxa" w:w="252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手术室外麻醉系统硬件部分</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硬件</w:t>
                  </w:r>
                </w:p>
                <w:p>
                  <w:pPr>
                    <w:pStyle w:val="null3"/>
                    <w:jc w:val="center"/>
                  </w:pPr>
                  <w:r>
                    <w:rPr>
                      <w:rFonts w:ascii="仿宋_GB2312" w:hAnsi="仿宋_GB2312" w:cs="仿宋_GB2312" w:eastAsia="仿宋_GB2312"/>
                      <w:sz w:val="24"/>
                      <w:b/>
                    </w:rPr>
                    <w:t>名称</w:t>
                  </w:r>
                </w:p>
              </w:tc>
              <w:tc>
                <w:tcPr>
                  <w:tcW w:type="dxa" w:w="17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参数描述</w:t>
                  </w:r>
                </w:p>
              </w:tc>
              <w:tc>
                <w:tcPr>
                  <w:tcW w:type="dxa" w:w="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p>
                  <w:pPr>
                    <w:pStyle w:val="null3"/>
                    <w:jc w:val="center"/>
                  </w:pPr>
                  <w:r>
                    <w:rPr>
                      <w:rFonts w:ascii="仿宋_GB2312" w:hAnsi="仿宋_GB2312" w:cs="仿宋_GB2312" w:eastAsia="仿宋_GB2312"/>
                      <w:sz w:val="24"/>
                      <w:b/>
                    </w:rPr>
                    <w:t>（单位）</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PDA</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为支持舒适化麻醉移动工作站功能配套使用设备</w:t>
                  </w:r>
                </w:p>
                <w:p>
                  <w:pPr>
                    <w:pStyle w:val="null3"/>
                    <w:jc w:val="left"/>
                  </w:pPr>
                  <w:r>
                    <w:rPr>
                      <w:rFonts w:ascii="仿宋_GB2312" w:hAnsi="仿宋_GB2312" w:cs="仿宋_GB2312" w:eastAsia="仿宋_GB2312"/>
                      <w:sz w:val="24"/>
                    </w:rPr>
                    <w:t>1）屏幕：≥5寸，分辨率≥1920x1080，带触摸功能</w:t>
                  </w:r>
                </w:p>
                <w:p>
                  <w:pPr>
                    <w:pStyle w:val="null3"/>
                    <w:jc w:val="left"/>
                  </w:pPr>
                  <w:r>
                    <w:rPr>
                      <w:rFonts w:ascii="仿宋_GB2312" w:hAnsi="仿宋_GB2312" w:cs="仿宋_GB2312" w:eastAsia="仿宋_GB2312"/>
                      <w:sz w:val="24"/>
                    </w:rPr>
                    <w:t>2）CPU：≥8核</w:t>
                  </w:r>
                </w:p>
                <w:p>
                  <w:pPr>
                    <w:pStyle w:val="null3"/>
                    <w:jc w:val="left"/>
                  </w:pPr>
                  <w:r>
                    <w:rPr>
                      <w:rFonts w:ascii="仿宋_GB2312" w:hAnsi="仿宋_GB2312" w:cs="仿宋_GB2312" w:eastAsia="仿宋_GB2312"/>
                      <w:sz w:val="24"/>
                    </w:rPr>
                    <w:t>3）内存：≥4G或更好性能内存</w:t>
                  </w:r>
                </w:p>
                <w:p>
                  <w:pPr>
                    <w:pStyle w:val="null3"/>
                    <w:jc w:val="left"/>
                  </w:pPr>
                  <w:r>
                    <w:rPr>
                      <w:rFonts w:ascii="仿宋_GB2312" w:hAnsi="仿宋_GB2312" w:cs="仿宋_GB2312" w:eastAsia="仿宋_GB2312"/>
                      <w:sz w:val="24"/>
                    </w:rPr>
                    <w:t>4）存储：≥32G或更大的存储</w:t>
                  </w:r>
                </w:p>
                <w:p>
                  <w:pPr>
                    <w:pStyle w:val="null3"/>
                    <w:jc w:val="left"/>
                  </w:pPr>
                  <w:r>
                    <w:rPr>
                      <w:rFonts w:ascii="仿宋_GB2312" w:hAnsi="仿宋_GB2312" w:cs="仿宋_GB2312" w:eastAsia="仿宋_GB2312"/>
                      <w:sz w:val="24"/>
                    </w:rPr>
                    <w:t>5）网络：支持WIFI连接或物联网卡连接</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叫号</w:t>
                  </w:r>
                </w:p>
                <w:p>
                  <w:pPr>
                    <w:pStyle w:val="null3"/>
                    <w:jc w:val="center"/>
                  </w:pPr>
                  <w:r>
                    <w:rPr>
                      <w:rFonts w:ascii="仿宋_GB2312" w:hAnsi="仿宋_GB2312" w:cs="仿宋_GB2312" w:eastAsia="仿宋_GB2312"/>
                      <w:sz w:val="24"/>
                      <w:b/>
                    </w:rPr>
                    <w:t>大屏</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为支持叫号排队功能使用设备</w:t>
                  </w:r>
                </w:p>
                <w:p>
                  <w:pPr>
                    <w:pStyle w:val="null3"/>
                    <w:jc w:val="left"/>
                  </w:pPr>
                  <w:r>
                    <w:rPr>
                      <w:rFonts w:ascii="仿宋_GB2312" w:hAnsi="仿宋_GB2312" w:cs="仿宋_GB2312" w:eastAsia="仿宋_GB2312"/>
                      <w:sz w:val="24"/>
                    </w:rPr>
                    <w:t>1）屏幕：≥65寸，分辨率≥1920x1080，带触摸功能；</w:t>
                  </w:r>
                </w:p>
                <w:p>
                  <w:pPr>
                    <w:pStyle w:val="null3"/>
                    <w:jc w:val="left"/>
                  </w:pPr>
                  <w:r>
                    <w:rPr>
                      <w:rFonts w:ascii="仿宋_GB2312" w:hAnsi="仿宋_GB2312" w:cs="仿宋_GB2312" w:eastAsia="仿宋_GB2312"/>
                      <w:sz w:val="24"/>
                    </w:rPr>
                    <w:t>2）CPU:不低于8核或更高性能处理器</w:t>
                  </w:r>
                </w:p>
                <w:p>
                  <w:pPr>
                    <w:pStyle w:val="null3"/>
                    <w:jc w:val="left"/>
                  </w:pPr>
                  <w:r>
                    <w:rPr>
                      <w:rFonts w:ascii="仿宋_GB2312" w:hAnsi="仿宋_GB2312" w:cs="仿宋_GB2312" w:eastAsia="仿宋_GB2312"/>
                      <w:sz w:val="24"/>
                    </w:rPr>
                    <w:t>3）内存：≥4GB或更好性能内存</w:t>
                  </w:r>
                </w:p>
                <w:p>
                  <w:pPr>
                    <w:pStyle w:val="null3"/>
                    <w:jc w:val="left"/>
                  </w:pPr>
                  <w:r>
                    <w:rPr>
                      <w:rFonts w:ascii="仿宋_GB2312" w:hAnsi="仿宋_GB2312" w:cs="仿宋_GB2312" w:eastAsia="仿宋_GB2312"/>
                      <w:sz w:val="24"/>
                    </w:rPr>
                    <w:t>4）储存：≥128GB或更大的存储</w:t>
                  </w:r>
                </w:p>
                <w:p>
                  <w:pPr>
                    <w:pStyle w:val="null3"/>
                    <w:jc w:val="left"/>
                  </w:pPr>
                  <w:r>
                    <w:rPr>
                      <w:rFonts w:ascii="仿宋_GB2312" w:hAnsi="仿宋_GB2312" w:cs="仿宋_GB2312" w:eastAsia="仿宋_GB2312"/>
                      <w:sz w:val="24"/>
                    </w:rPr>
                    <w:t>5）扬声器：内置</w:t>
                  </w:r>
                </w:p>
                <w:p>
                  <w:pPr>
                    <w:pStyle w:val="null3"/>
                    <w:jc w:val="left"/>
                  </w:pPr>
                  <w:r>
                    <w:rPr>
                      <w:rFonts w:ascii="仿宋_GB2312" w:hAnsi="仿宋_GB2312" w:cs="仿宋_GB2312" w:eastAsia="仿宋_GB2312"/>
                      <w:sz w:val="24"/>
                    </w:rPr>
                    <w:t>6）含支架</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合同签订后，60天内完成安装、调试、培训、上线工作，投标人自行报项目完成工期。</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西北妇女儿童医院指定地点。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中标人完成合同及招标文件规定的全部内容,采购人确认系统上线试运行初步验收合格后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采购人确认系统完全正式上线运行正式验收合格后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1.投标人完成项目建设功能清单中功能模块试运行，由投标人提出试运行验收申请，采购人组织相关人员进行项目验收，出具项目验收报告，开始计算维保期。 2.在项目验收时，投标人须提供但不限于项目实施方案、需求说明书、使用人员签字的培训记录、系统操作说明、系统维护说明、验收申请、数据业务流、接口方案及文档、数据字典及表结构说明、用户手册、数据库用户名及密码等资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后，投标人提供不低于3年的免费服务，各投标人自报最长免费维保期。免费维保期满后，若为有偿维护，年维护费用原则上不高于成交金额的8%，各投标人自报最低年维护费用标准。投标人应负责对其提供的软件、设备、升级内容等进行维修、损坏件更换等服务，且不收取额外费用。涉及国家政策性相关内容产生的升级、维护、服务等工作需免费配合完成，并提供不少于30天的驻场服务，帮助采购人进行系统的部署与调试； 2.投标人在系统维保期内产品故障报修的响应时间：≤1小时，若电话中无法解决，4小时内到达现场进行维护。如因不可抗力因素不能在规定时间内到达的，双方另行商定。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在项目执行过程中发生纠纷，由双方协商解决，协商不成向采购人所在地人民法院提起诉讼。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其他补充事宜：1、本项目手术室外麻醉系统软件部分所属行业为：软件和信息技术服务业；PDA、叫号大屏所属行业为：工业。2、提供相同品牌产品且通过资格审查、符合性审查的不同投标人参加同一合同项下投标活动的，按一家投标人计算，评标后得分最高的同品牌供应商获得中标候选人推荐资格；评标得分相同的，采取随机抽取方式确定，其他同品牌投标人不作为中标候选人。非单一产品采购项目，多家投标人提供的核心产品（手术室外麻醉系统软件部分）品牌相同的，按以上规定处理。3、因电子化格式有限，供应商还需对以下支付方式进行响应： 付款方式：银行转账，分期付款。中标人完成合同及招标文件规定的全部内容,采购人确认系统上线试运行初步验收合格后,支付合同总价的35%； 采购人确认系统完全正式上线运行正式验收合格后,支付合同总价的65%；付款前，中标人提供符合税法规定的等额增值税发票。4、投标保证金（1）本项目须缴纳投标保证金额详见第二章 投标人须知，投标保证金须在投标文件递交截止时间前到账。（2）以银行转账缴纳保证金的，应从其公户转出，必须写明“SXHC2025-268项目投标保证金”，便于财务部查询登记。（3）未中标人的投标保证金，在中标通知书发出之日起5个工作日内退还；中标人的投标保证金在合同签订之日5个工作日内退还。（4）下列情况发生，保证金将不予退还：①投标人在递交投标文件截止时间后撤回投标文件的；②投标人在投标文件中提供虚假材料的；③除因不可抗力或招标文件认可的情形以外，中标人不与采购人签订合同的；④中标人将中标项目转让给他人，或者在投标文件中未说明且未经采购人同意将中标项目分包给他人的；⑤投标人相互串通投标或者与采购人串通投标的，向采购人或者评标委员会成员行贿谋取中标的，以他人名义投标或者以其他方式弄虚作假骗取中标的。5、为顺利推进政府采购电子化交易平台应用工作，供应商需要在线提交所有通过电子化交易平台实施的政府采购项目的投标文件，同时，线下提交纸质版投标文件贰份（密封）。若线上电子投标文件与纸质投标文件不一致的，以线上电子投标文件为准。线下递交文件时间：详见本项目采购公告提交投标文件截止时间前；线下递交文件地点：陕西省西安市高新区锦业路1号绿地领海B座10楼1006室。6、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注册会计师行业统一监管平台(网址http://acc.mof.gov.cn)赋码可查询的2023年度或2024年度审计报告（成立时间至提交响应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健全的财务会计制度.docx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投标人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法人提供自2025年1月1日以来至少一个月的纳税证明或完税证明，纳税证明或完税证明上应有代收机构或税务机关的公章或业务专用章；其他组织和自然人提供自2025年1月1日以来至少一个月缴纳税收的凭据；依法免税的供应商应提供相关文件证明。</w:t>
            </w:r>
          </w:p>
        </w:tc>
        <w:tc>
          <w:tcPr>
            <w:tcW w:type="dxa" w:w="1661"/>
          </w:tcPr>
          <w:p>
            <w:pPr>
              <w:pStyle w:val="null3"/>
            </w:pPr>
            <w:r>
              <w:rPr>
                <w:rFonts w:ascii="仿宋_GB2312" w:hAnsi="仿宋_GB2312" w:cs="仿宋_GB2312" w:eastAsia="仿宋_GB2312"/>
              </w:rPr>
              <w:t>税收缴纳证明.docx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提供自2025年1月1日以来至少一个月已缴纳的社会保障资金的证明（社会保障资金缴存单据或社保机构开具的社会保险参保缴费情况证明等)；依法不需要缴纳社会保障资金的供应商应提供相关证明文件。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rFonts w:ascii="仿宋_GB2312" w:hAnsi="仿宋_GB2312" w:cs="仿宋_GB2312" w:eastAsia="仿宋_GB2312"/>
              </w:rPr>
              <w:t>社会保障资金缴纳证明.docx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履行本合同所必需的设备和专业技术能力</w:t>
            </w:r>
          </w:p>
        </w:tc>
        <w:tc>
          <w:tcPr>
            <w:tcW w:type="dxa" w:w="3322"/>
          </w:tcPr>
          <w:p>
            <w:pPr>
              <w:pStyle w:val="null3"/>
            </w:pPr>
            <w:r>
              <w:rPr>
                <w:rFonts w:ascii="仿宋_GB2312" w:hAnsi="仿宋_GB2312" w:cs="仿宋_GB2312" w:eastAsia="仿宋_GB2312"/>
              </w:rPr>
              <w:t>投标人须提供具有履行合同所必需的设备和专业技术能力的承诺书。</w:t>
            </w:r>
          </w:p>
        </w:tc>
        <w:tc>
          <w:tcPr>
            <w:tcW w:type="dxa" w:w="1661"/>
          </w:tcPr>
          <w:p>
            <w:pPr>
              <w:pStyle w:val="null3"/>
            </w:pPr>
            <w:r>
              <w:rPr>
                <w:rFonts w:ascii="仿宋_GB2312" w:hAnsi="仿宋_GB2312" w:cs="仿宋_GB2312" w:eastAsia="仿宋_GB2312"/>
              </w:rPr>
              <w:t>履行本合同所必需的设备和专业技术能力.docx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投标人须提供参加本次采购活动前3年内在经营活动中没有重大违法记录的书面声明。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法定代表人/负责人身份证明或法定代表人/负责人授权书</w:t>
            </w:r>
          </w:p>
        </w:tc>
        <w:tc>
          <w:tcPr>
            <w:tcW w:type="dxa" w:w="3322"/>
          </w:tcPr>
          <w:p>
            <w:pPr>
              <w:pStyle w:val="null3"/>
            </w:pPr>
            <w:r>
              <w:rPr>
                <w:rFonts w:ascii="仿宋_GB2312" w:hAnsi="仿宋_GB2312" w:cs="仿宋_GB2312" w:eastAsia="仿宋_GB2312"/>
              </w:rPr>
              <w:t>投标人法定代表人/负责人直接参加的，须递交《法定代表人/负责人身份证明》；法定代表人/负责人授权代表参加的，须递交《法定代表人/负责人授权书》。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法定代表人（负责人）身份证明或法定代表人（负责人）授权书.docx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联合体要求</w:t>
            </w:r>
          </w:p>
        </w:tc>
        <w:tc>
          <w:tcPr>
            <w:tcW w:type="dxa" w:w="3322"/>
          </w:tcPr>
          <w:p>
            <w:pPr>
              <w:pStyle w:val="null3"/>
            </w:pPr>
            <w:r>
              <w:rPr>
                <w:rFonts w:ascii="仿宋_GB2312" w:hAnsi="仿宋_GB2312" w:cs="仿宋_GB2312" w:eastAsia="仿宋_GB2312"/>
              </w:rPr>
              <w:t>本项目不允许联合体参加。</w:t>
            </w:r>
          </w:p>
        </w:tc>
        <w:tc>
          <w:tcPr>
            <w:tcW w:type="dxa" w:w="1661"/>
          </w:tcPr>
          <w:p>
            <w:pPr>
              <w:pStyle w:val="null3"/>
            </w:pPr>
            <w:r>
              <w:rPr>
                <w:rFonts w:ascii="仿宋_GB2312" w:hAnsi="仿宋_GB2312" w:cs="仿宋_GB2312" w:eastAsia="仿宋_GB2312"/>
              </w:rPr>
              <w:t>非联合体投标声明.docx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2.报价货币符合招标文件要求; 3.未超出采购预算或招标文件规定的最高限价。</w:t>
            </w:r>
          </w:p>
        </w:tc>
        <w:tc>
          <w:tcPr>
            <w:tcW w:type="dxa" w:w="1661"/>
          </w:tcPr>
          <w:p>
            <w:pPr>
              <w:pStyle w:val="null3"/>
            </w:pPr>
            <w:r>
              <w:rPr>
                <w:rFonts w:ascii="仿宋_GB2312" w:hAnsi="仿宋_GB2312" w:cs="仿宋_GB2312" w:eastAsia="仿宋_GB2312"/>
              </w:rPr>
              <w:t>开标一览表.docx 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投标文件符合招标文件签署盖章要求</w:t>
            </w:r>
          </w:p>
        </w:tc>
        <w:tc>
          <w:tcPr>
            <w:tcW w:type="dxa" w:w="1661"/>
          </w:tcPr>
          <w:p>
            <w:pPr>
              <w:pStyle w:val="null3"/>
            </w:pPr>
            <w:r>
              <w:rPr>
                <w:rFonts w:ascii="仿宋_GB2312" w:hAnsi="仿宋_GB2312" w:cs="仿宋_GB2312" w:eastAsia="仿宋_GB2312"/>
              </w:rPr>
              <w:t>投标文件封面.docx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从递交投标文件的截止之日起算不少于90个日历日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响应招标文件合同条款未出现负偏离且响应的内容中未附有采购人不能接受的附加条件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不存在政府采购货物和服务招标投标管理办法（财政部第87号令）第三十七条规定的串通投标的情形</w:t>
            </w:r>
          </w:p>
        </w:tc>
        <w:tc>
          <w:tcPr>
            <w:tcW w:type="dxa" w:w="3322"/>
          </w:tcPr>
          <w:p>
            <w:pPr>
              <w:pStyle w:val="null3"/>
            </w:pPr>
            <w:r>
              <w:rPr>
                <w:rFonts w:ascii="仿宋_GB2312" w:hAnsi="仿宋_GB2312" w:cs="仿宋_GB2312" w:eastAsia="仿宋_GB2312"/>
              </w:rPr>
              <w:t>1.不同投标人的投标文件由同一单位或者个人编制； 2.不同投标人委托同一单位或者个人办理投标事宜； 3.不同投标人的投标文件载明的项目管理成员或者联系人员为同一人； 4.不同投标人的投标文件异常一致或者投标报价呈规律性差异； 5.不同投标人的投标文件相互混装； 6.不同投标人的投标保证金从同一单位或者个人的账户转出。</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技术要求中功能模块响应</w:t>
            </w:r>
          </w:p>
        </w:tc>
        <w:tc>
          <w:tcPr>
            <w:tcW w:type="dxa" w:w="3322"/>
          </w:tcPr>
          <w:p>
            <w:pPr>
              <w:pStyle w:val="null3"/>
            </w:pPr>
            <w:r>
              <w:rPr>
                <w:rFonts w:ascii="仿宋_GB2312" w:hAnsi="仿宋_GB2312" w:cs="仿宋_GB2312" w:eastAsia="仿宋_GB2312"/>
              </w:rPr>
              <w:t>功能模块响应中若负偏离≥30项，视为未实质性响应招标文件，其投标文件按无效标处理。</w:t>
            </w:r>
          </w:p>
        </w:tc>
        <w:tc>
          <w:tcPr>
            <w:tcW w:type="dxa" w:w="1661"/>
          </w:tcPr>
          <w:p>
            <w:pPr>
              <w:pStyle w:val="null3"/>
            </w:pPr>
            <w:r>
              <w:rPr>
                <w:rFonts w:ascii="仿宋_GB2312" w:hAnsi="仿宋_GB2312" w:cs="仿宋_GB2312" w:eastAsia="仿宋_GB2312"/>
              </w:rPr>
              <w:t>技术要求响应偏离表.docx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满足“★”项的技术参数并按要求提供相关证明材料。</w:t>
            </w:r>
          </w:p>
        </w:tc>
        <w:tc>
          <w:tcPr>
            <w:tcW w:type="dxa" w:w="1661"/>
          </w:tcPr>
          <w:p>
            <w:pPr>
              <w:pStyle w:val="null3"/>
            </w:pPr>
            <w:r>
              <w:rPr>
                <w:rFonts w:ascii="仿宋_GB2312" w:hAnsi="仿宋_GB2312" w:cs="仿宋_GB2312" w:eastAsia="仿宋_GB2312"/>
              </w:rPr>
              <w:t>技术要求响应偏离表.docx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强制节能产品采购</w:t>
            </w:r>
          </w:p>
        </w:tc>
        <w:tc>
          <w:tcPr>
            <w:tcW w:type="dxa" w:w="3322"/>
          </w:tcPr>
          <w:p>
            <w:pPr>
              <w:pStyle w:val="null3"/>
            </w:pPr>
            <w:r>
              <w:rPr>
                <w:rFonts w:ascii="仿宋_GB2312" w:hAnsi="仿宋_GB2312" w:cs="仿宋_GB2312" w:eastAsia="仿宋_GB2312"/>
              </w:rPr>
              <w:t>强制节能产品须填写节能产品、环境标志产品明细表，并提供相关认证证书。</w:t>
            </w:r>
          </w:p>
        </w:tc>
        <w:tc>
          <w:tcPr>
            <w:tcW w:type="dxa" w:w="1661"/>
          </w:tcPr>
          <w:p>
            <w:pPr>
              <w:pStyle w:val="null3"/>
            </w:pPr>
            <w:r>
              <w:rPr>
                <w:rFonts w:ascii="仿宋_GB2312" w:hAnsi="仿宋_GB2312" w:cs="仿宋_GB2312" w:eastAsia="仿宋_GB2312"/>
              </w:rPr>
              <w:t>节能产品、环境标志产品明细表.docx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系统设计方案</w:t>
            </w:r>
          </w:p>
        </w:tc>
        <w:tc>
          <w:tcPr>
            <w:tcW w:type="dxa" w:w="2492"/>
          </w:tcPr>
          <w:p>
            <w:pPr>
              <w:pStyle w:val="null3"/>
            </w:pPr>
            <w:r>
              <w:rPr>
                <w:rFonts w:ascii="仿宋_GB2312" w:hAnsi="仿宋_GB2312" w:cs="仿宋_GB2312" w:eastAsia="仿宋_GB2312"/>
              </w:rPr>
              <w:t>针对本项目提供具体可行的系统设计方案，包括但不限于总体设计的全面性、整体技术和架构的先进性、开放性，考察方案是否可行并具备可落地性、可扩展性，后续升级扩容的便捷性等方面进行赋分。根据响应情况进行赋分：内容完整、合理，完全满足采购人要求计（7-10]分；内容较为完整、较合理，基本满足采购人要求计（4-7]分；内容不完整，设计不合理，不满足采购人要求计（0-4]分，未提供不计分。 注：评审内容中“（、）”表示不包含此整数、“[、]”表示包含此整数。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功能模块响应</w:t>
            </w:r>
          </w:p>
        </w:tc>
        <w:tc>
          <w:tcPr>
            <w:tcW w:type="dxa" w:w="2492"/>
          </w:tcPr>
          <w:p>
            <w:pPr>
              <w:pStyle w:val="null3"/>
            </w:pPr>
            <w:r>
              <w:rPr>
                <w:rFonts w:ascii="仿宋_GB2312" w:hAnsi="仿宋_GB2312" w:cs="仿宋_GB2312" w:eastAsia="仿宋_GB2312"/>
              </w:rPr>
              <w:t>对采购参数中的功能模块指标进行逐项应答，技术参数完全满足或优于招标文件要求并按要求提供相关证明文件得满分20分，▲项每出现一项负偏离扣1分，非▲项每出现一项负偏离扣0.5分，扣完为止。 注：若评审时投标人此项负偏离≥30项，视为未实质性响应招标文件，其投标文件按无效标处理。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技术要求响应偏离表.docx</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投标人须现场进行系统功能演示，演示时长不超过15分钟。 演示内容包含：麻醉门诊工作站功能、操作间PC工作站功能、舒适化麻醉移动工作站功能、舒适化麻醉复苏工作站功能、舒适化儿童镇静护士工作站功能、舒适化麻醉数据中心功能、舒适化麻醉支撑平台功能等，从演示流畅度、系统操作便捷性、界面设计合理性、功能完整性等方面进行综合评价。 演示流畅度、系统操作便捷性及功能完整性高、界面设计合理，布局清晰，计（7-10]； 演示卡顿、系统操作便捷性一般、界面设计一般，能够涵盖基本功能，计（3-7]； 演示流畅度差、系统操作繁琐复杂、界面设计混乱、主要功能实现有缺项，计（0-3]。 未进行演示得0分。 （演示形式：投标人须使用真实环境下的系统进行现场演示，不接受采用ppt、截图等代替所投产品进行演示，否则此项不计分）。 注：评审内容中“（、）”表示不包含此整数、“[、]”表示包含此整数。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实施方案具有科学性、合理性、规范性和可操作性，主要内容包括： （1）软件开发、安装调试、测试、试运行、调优等工作开展措施； （2）工作时间进度计划和保证措施； （3）项目管理和协调方案、关键步骤的思路和要点； （4）交付及运营方案（包括但不限于交付标准、交付成果、验收方式、验收结论、推广、宣传、关注度、使用量等）。 根据响应情况赋分：内容完整、合理，完全满足采购人要求计（7-10]分；内容较为完整、较合理，基本满足采购人要求计（5-7]分；内容不完整，设计不合理，不满足采购人要求计（0-5]分，未提供不计分。注：评审内容中“（、）”表示不包含此整数、“[、]”表示包含此整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项目实施团队具有科学性、合理性和可操作性，主要内容包括： （1）实施团队人员配置清单； （2）拟承担的岗位及岗位职责； （3）类似项目实施经验。 根据响应情况赋分：内容完整、合理，完全满足采购人要求计（3-2]分；内容较为完整、较合理，基本满足采购人要求计（1-2]分；内容不完整，设计不合理，不满足采购人要求计（0-1]分，未提供不计分。 注：评审内容中“（、）”表示不包含此整数、“[、]”表示包含此整数。</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投标人具有有效的CMMI软件成熟度认证证书（5级）、ISO9001质量管理体系认证证书、ISO20000信息技术服务管理体系认证证书计、ISO27001信息安全管理体系认证证书。以上资质证书提供齐全计1分，少提供一个扣0.25分，扣完为止。 （2）投标人具有公安机关颁发的信息安全等级保护三级备案证书、网络安全等级保护测评报告和与本项目相关系统的软件著作权登记证书，需提供证书复印件并加盖公章，全部满足得1分，不全或未提供不得分。 （3）投标人提供的与本项目相关的系统能满足“信创”国产化要求，具有国产化技术认证证书：①国产服务器、②国产服务器操作系统、③国产数据库、④国产中间件，需提供证书复印件并加盖公章，每提供一个得0.25分，最高得1分，未提供不得分。 备注：以上证书投标文件中提供复印件并加盖投标人公章。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售后服务方案具有科学性、合理性、规范性和可操作性，主要内容包括： （1）提供拟投入售后服务地点及人员配备； （2）提供产品的保修时间、保修期内的保修内容与范围； （3）提供项目交付后采购人出现故障的响应时间、解决故障时间、补救措施等。 根据响应情况赋分：内容完整、合理，完全满足采购人要求计（3-4]分；内容较为完整、较合理，基本满足采购人要求计（2-3]分；内容不完整，设计不合理，不满足采购人要求计（0-2]分，未提供不计分。 注：评审内容中“（、）”表示不包含此整数、“[、]”表示包含此整数。</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培训方案具有科学性、合理性、规范性和可操作性，主要内容包括： （1）培训课程内容和培训计划； （2）培训技术讲师人员和培训时间安排等。 根据响应情况赋分：内容完整、合理，完全满足采购人要求计（3-4]分；内容较为完整、较合理，基本满足采购人要求计（2-3]分；内容不完整，设计不合理，不满足采购人要求计（0-2]分，未提供不计分。 注：评审内容中“（、）”表示不包含此整数、“[、]”表示包含此整数。</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年维护费用</w:t>
            </w:r>
          </w:p>
        </w:tc>
        <w:tc>
          <w:tcPr>
            <w:tcW w:type="dxa" w:w="2492"/>
          </w:tcPr>
          <w:p>
            <w:pPr>
              <w:pStyle w:val="null3"/>
            </w:pPr>
            <w:r>
              <w:rPr>
                <w:rFonts w:ascii="仿宋_GB2312" w:hAnsi="仿宋_GB2312" w:cs="仿宋_GB2312" w:eastAsia="仿宋_GB2312"/>
              </w:rPr>
              <w:t>各投标人根据项目建设情况及医疗软件项目行业现状，以每年不超过中标金额的8%对项目质保期满后的服务费进行报价，按报价比例赋分。中标金额的8%不得分，中标金额的7%计0.5分，中标金额的6%计1分；中标金额的5%计1.5分，中标金额的4%计2分，中标金额的3%计3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投标人或所投产品生产厂家具有2022年01月01日至今同类项目业绩（以合同签订日期为准），投标文件中提供合同复印件加盖投标人公章，每提供一个计1分，满分3分。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价格分统一采用低价优先法计算，即满足招标文件要求且报价最低的投标报价为评标基准价，其价格分为满分。 其他投标人的价格分统一按照下列公式计算： 投标报价得分=(评标基准价／投标报价)×价格权值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详见附件：健全的财务会计制度.docx</w:t>
      </w:r>
    </w:p>
    <w:p>
      <w:pPr>
        <w:pStyle w:val="null3"/>
        <w:ind w:firstLine="960"/>
      </w:pPr>
      <w:r>
        <w:rPr>
          <w:rFonts w:ascii="仿宋_GB2312" w:hAnsi="仿宋_GB2312" w:cs="仿宋_GB2312" w:eastAsia="仿宋_GB2312"/>
        </w:rPr>
        <w:t>详见附件：税收缴纳证明.docx</w:t>
      </w:r>
    </w:p>
    <w:p>
      <w:pPr>
        <w:pStyle w:val="null3"/>
        <w:ind w:firstLine="960"/>
      </w:pPr>
      <w:r>
        <w:rPr>
          <w:rFonts w:ascii="仿宋_GB2312" w:hAnsi="仿宋_GB2312" w:cs="仿宋_GB2312" w:eastAsia="仿宋_GB2312"/>
        </w:rPr>
        <w:t>详见附件：社会保障资金缴纳证明.docx</w:t>
      </w:r>
    </w:p>
    <w:p>
      <w:pPr>
        <w:pStyle w:val="null3"/>
        <w:ind w:firstLine="960"/>
      </w:pPr>
      <w:r>
        <w:rPr>
          <w:rFonts w:ascii="仿宋_GB2312" w:hAnsi="仿宋_GB2312" w:cs="仿宋_GB2312" w:eastAsia="仿宋_GB2312"/>
        </w:rPr>
        <w:t>详见附件：履行本合同所必需的设备和专业技术能力.docx</w:t>
      </w:r>
    </w:p>
    <w:p>
      <w:pPr>
        <w:pStyle w:val="null3"/>
        <w:ind w:firstLine="960"/>
      </w:pPr>
      <w:r>
        <w:rPr>
          <w:rFonts w:ascii="仿宋_GB2312" w:hAnsi="仿宋_GB2312" w:cs="仿宋_GB2312" w:eastAsia="仿宋_GB2312"/>
        </w:rPr>
        <w:t>详见附件：无重大违法记录书面声明.docx</w:t>
      </w:r>
    </w:p>
    <w:p>
      <w:pPr>
        <w:pStyle w:val="null3"/>
        <w:ind w:firstLine="960"/>
      </w:pPr>
      <w:r>
        <w:rPr>
          <w:rFonts w:ascii="仿宋_GB2312" w:hAnsi="仿宋_GB2312" w:cs="仿宋_GB2312" w:eastAsia="仿宋_GB2312"/>
        </w:rPr>
        <w:t>详见附件：非联合体投标声明.docx</w:t>
      </w:r>
    </w:p>
    <w:p>
      <w:pPr>
        <w:pStyle w:val="null3"/>
        <w:ind w:firstLine="960"/>
      </w:pPr>
      <w:r>
        <w:rPr>
          <w:rFonts w:ascii="仿宋_GB2312" w:hAnsi="仿宋_GB2312" w:cs="仿宋_GB2312" w:eastAsia="仿宋_GB2312"/>
        </w:rPr>
        <w:t>详见附件：法定代表人（负责人）身份证明或法定代表人（负责人）授权书.docx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详见附件：技术要求响应偏离表.docx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