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版本号：SZT2025-SN-SC-ZC-FW-024020251225001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学校发展数据相关监测平台采购项目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SZT2025-SN-SC-ZC-FW-0240</w:t>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学校发展数据相关监测平台采购项目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SZT2025-SN-SC-ZC-FW-0240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学校发展数据相关监测平台采购项目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西安建筑科技大学学校发展数据相关监测平台，1项，具体内容详见单一来源采购文件第三部分。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采购包1（学校发展数据相关监测平台）：属于专门面向中小企业采购。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2、100万元(含)以上的项目，按照文件标准上限75%计费。3、本项目代理服务费按服务计取。 开户名称：陕西中技招标有限公司 开户行名称：招商银行西安分行营业部 账号：129916812810001 转账事由：(编号后四位）项目招标代理服务费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西安建筑科技大学学校发展数据相关监测平台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学校发展数据相关监测平台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标的名称：学校发展数据相关监测平台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一、技术要求</w:t>
            </w:r>
          </w:p>
          <w:tbl>
            <w:tblPr>
              <w:tblBorders>
                <w:top w:val="none" w:color="000000" w:sz="4"/>
                <w:left w:val="none" w:color="000000" w:sz="4"/>
                <w:bottom w:val="none" w:color="000000" w:sz="4"/>
                <w:right w:val="none" w:color="000000" w:sz="4"/>
                <w:insideH w:val="none"/>
                <w:insideV w:val="none"/>
              </w:tblBorders>
            </w:tblPr>
            <w:tblGrid>
              <w:gridCol w:w="304"/>
              <w:gridCol w:w="266"/>
              <w:gridCol w:w="963"/>
              <w:gridCol w:w="697"/>
              <w:gridCol w:w="323"/>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技术标准</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配置要求</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大学</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大学</w:t>
                  </w:r>
                  <w:r>
                    <w:rPr>
                      <w:rFonts w:ascii="仿宋_GB2312" w:hAnsi="仿宋_GB2312" w:cs="仿宋_GB2312" w:eastAsia="仿宋_GB2312"/>
                      <w:sz w:val="20"/>
                    </w:rPr>
                    <w:t>360度数据监测平台能够从办学层次、学科水平、办学资源、师资规模与结构、人才培养、科学研究、服务社会、高端人才、重大项目与成果、国际竞争力十个评价模块，细分评价维度、评价指标，全面诊断学校整体的发展状况；</w:t>
                  </w:r>
                </w:p>
              </w:tc>
              <w:tc>
                <w:tcPr>
                  <w:tcW w:type="dxa" w:w="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技术培训服务：</w:t>
                  </w:r>
                </w:p>
                <w:p>
                  <w:pPr>
                    <w:pStyle w:val="null3"/>
                    <w:jc w:val="both"/>
                  </w:pPr>
                  <w:r>
                    <w:rPr>
                      <w:rFonts w:ascii="仿宋_GB2312" w:hAnsi="仿宋_GB2312" w:cs="仿宋_GB2312" w:eastAsia="仿宋_GB2312"/>
                      <w:sz w:val="20"/>
                    </w:rPr>
                    <w:t>平台安装成功后，服务期内供应商为采购人免费提供平台培训</w:t>
                  </w:r>
                  <w:r>
                    <w:rPr>
                      <w:rFonts w:ascii="仿宋_GB2312" w:hAnsi="仿宋_GB2312" w:cs="仿宋_GB2312" w:eastAsia="仿宋_GB2312"/>
                      <w:sz w:val="20"/>
                    </w:rPr>
                    <w:t>1次，培训形式包括电话培训、网络培训、现场培训。根据项目具体情况制定培训方案，培训方式和时间由双方友好协商决定。</w:t>
                  </w:r>
                </w:p>
                <w:p>
                  <w:pPr>
                    <w:pStyle w:val="null3"/>
                    <w:jc w:val="both"/>
                  </w:pPr>
                  <w:r>
                    <w:rPr>
                      <w:rFonts w:ascii="仿宋_GB2312" w:hAnsi="仿宋_GB2312" w:cs="仿宋_GB2312" w:eastAsia="仿宋_GB2312"/>
                      <w:sz w:val="20"/>
                      <w:b/>
                    </w:rPr>
                    <w:t>售后服务</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在维保期内，供应商提供以下技术服务与支持：</w:t>
                  </w:r>
                </w:p>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7*24小时邮件、微信群、热线电话等远程支持。</w:t>
                  </w:r>
                </w:p>
                <w:p>
                  <w:pPr>
                    <w:pStyle w:val="null3"/>
                    <w:jc w:val="both"/>
                  </w:pPr>
                  <w:r>
                    <w:rPr>
                      <w:rFonts w:ascii="仿宋_GB2312" w:hAnsi="仿宋_GB2312" w:cs="仿宋_GB2312" w:eastAsia="仿宋_GB2312"/>
                      <w:sz w:val="20"/>
                      <w:b/>
                    </w:rPr>
                    <w:t>系统维护：</w:t>
                  </w:r>
                </w:p>
                <w:p>
                  <w:pPr>
                    <w:pStyle w:val="null3"/>
                    <w:jc w:val="both"/>
                  </w:pPr>
                  <w:r>
                    <w:rPr>
                      <w:rFonts w:ascii="仿宋_GB2312" w:hAnsi="仿宋_GB2312" w:cs="仿宋_GB2312" w:eastAsia="仿宋_GB2312"/>
                      <w:sz w:val="20"/>
                    </w:rPr>
                    <w:t>系统出现问题</w:t>
                  </w:r>
                  <w:r>
                    <w:rPr>
                      <w:rFonts w:ascii="仿宋_GB2312" w:hAnsi="仿宋_GB2312" w:cs="仿宋_GB2312" w:eastAsia="仿宋_GB2312"/>
                      <w:sz w:val="20"/>
                    </w:rPr>
                    <w:t>1小时内响应，4小时内解决。采购人原因造成的产品使用故障，通过电话支持、网络服务等方式协助用户排查。特殊情况下可派技术人员上门协助解决。产品本身原因造成的使用故障由供应商负责排除。</w:t>
                  </w:r>
                </w:p>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学科</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学科发展水平数据监测平台可以不依赖于学校内部的统计部门，能够完全从外部对各个学科的高端人才、平台项目、成果获奖、学术论文、人才培养等多维关键指标实时监测，监控数据完善，无需二次采集；</w:t>
                  </w:r>
                </w:p>
              </w:tc>
              <w:tc>
                <w:tcPr>
                  <w:tcW w:type="dxa" w:w="697"/>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业建设水平数据监测项目针对学校开展专业评价、优化专业布局、提升专业水平等专业建设典型场景需求进行数据分析，可以不依赖于学校内部的统计部门，完全从外部对专业建设相关的核心指标实施有效监测。专业建设水平数据监测系统具有专业对比、专业排名、排名模拟等专业建设分析核心功能；</w:t>
                  </w:r>
                </w:p>
              </w:tc>
              <w:tc>
                <w:tcPr>
                  <w:tcW w:type="dxa" w:w="697"/>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申博点</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专门构建的申博点潜力评价体系，计算得到学校各个学术型硕士点在全国所有学术型硕士点中的排序情况，并结合对下轮申报的预估得到各个硕士点的申博成功几率，从而对学校所有学术型硕士点的申博态势进行系统定位和分析。</w:t>
                  </w:r>
                </w:p>
              </w:tc>
              <w:tc>
                <w:tcPr>
                  <w:tcW w:type="dxa" w:w="697"/>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r>
          </w:tbl>
          <w:p>
            <w:pPr>
              <w:pStyle w:val="null3"/>
            </w:pPr>
            <w:r>
              <w:rPr>
                <w:rFonts w:ascii="仿宋_GB2312" w:hAnsi="仿宋_GB2312" w:cs="仿宋_GB2312" w:eastAsia="仿宋_GB2312"/>
                <w:sz w:val="20"/>
              </w:rPr>
              <w:t>二、知识产权（</w:t>
            </w:r>
            <w:r>
              <w:rPr>
                <w:rFonts w:ascii="仿宋_GB2312" w:hAnsi="仿宋_GB2312" w:cs="仿宋_GB2312" w:eastAsia="仿宋_GB2312"/>
                <w:sz w:val="20"/>
              </w:rPr>
              <w:t>因电子化交易系统限制原因，实际</w:t>
            </w:r>
            <w:r>
              <w:rPr>
                <w:rFonts w:ascii="仿宋_GB2312" w:hAnsi="仿宋_GB2312" w:cs="仿宋_GB2312" w:eastAsia="仿宋_GB2312"/>
                <w:sz w:val="20"/>
              </w:rPr>
              <w:t>知识产权相关要求</w:t>
            </w:r>
            <w:r>
              <w:rPr>
                <w:rFonts w:ascii="仿宋_GB2312" w:hAnsi="仿宋_GB2312" w:cs="仿宋_GB2312" w:eastAsia="仿宋_GB2312"/>
                <w:sz w:val="20"/>
              </w:rPr>
              <w:t>以此为准</w:t>
            </w:r>
            <w:r>
              <w:rPr>
                <w:rFonts w:ascii="仿宋_GB2312" w:hAnsi="仿宋_GB2312" w:cs="仿宋_GB2312" w:eastAsia="仿宋_GB2312"/>
                <w:sz w:val="20"/>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供应商应保证在本项目中使用的任何技术、产品和服务</w:t>
            </w:r>
            <w:r>
              <w:rPr>
                <w:rFonts w:ascii="仿宋_GB2312" w:hAnsi="仿宋_GB2312" w:cs="仿宋_GB2312" w:eastAsia="仿宋_GB2312"/>
                <w:sz w:val="20"/>
              </w:rPr>
              <w:t>(包括部分使用)，不会产生因第三方提出侵犯其专利权、商标权或其它知识产权而引起的法律和经济纠纷，如因专利权、商标权或其它知识产权而引起法律和经济纠纷，由供应商承担所有相关责任。</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若采用成交供应商所不拥有的知识产权，则在响应报价中必须包括合法使用该知识产权的相关费用。</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合同签订且开通用户账号之日起1年。项目款项到后5日内，供应商根据合同服务内容为采购人开通用户平台系统账号。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1、成交供应商在领取成交通知书时，提交响应文件正本壹份、副本壹套，纸质版文件需与系统电子响应文件保持一致。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标的清单 报价表 谈判报价表.docx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商务及技术要求偏离表.docx 谈判报价表.docx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响应文件是否满足采购要求</w:t>
            </w:r>
          </w:p>
        </w:tc>
        <w:tc>
          <w:tcPr>
            <w:tcW w:type="dxa" w:w="1661"/>
          </w:tcPr>
          <w:p>
            <w:pPr>
              <w:pStyle w:val="null3"/>
            </w:pPr>
            <w:r>
              <w:rPr>
                <w:rFonts w:ascii="仿宋_GB2312" w:hAnsi="仿宋_GB2312" w:cs="仿宋_GB2312" w:eastAsia="仿宋_GB2312"/>
              </w:rPr>
              <w:t>商务及技术要求偏离表.docx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服务方案.docx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详见附件：商务及技术要求偏离表.docx</w:t>
      </w:r>
    </w:p>
    <w:p>
      <w:pPr>
        <w:pStyle w:val="null3"/>
        <w:ind w:firstLine="960"/>
      </w:pPr>
      <w:r>
        <w:rPr>
          <w:rFonts w:ascii="仿宋_GB2312" w:hAnsi="仿宋_GB2312" w:cs="仿宋_GB2312" w:eastAsia="仿宋_GB2312"/>
        </w:rPr>
        <w:t>详见附件：谈判报价表.docx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