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版本号：ZMZB2025YDDX-447A20251226002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高轨卫星小站及终端采购项目（三次）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ZMZB2025YDDX-447A</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高轨卫星小站及终端采购项目（三次）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ZMZB2025YDDX-447A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高轨卫星小站及终端采购项目（三次）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高轨卫星小站及终端采购项目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高轨卫星小站及终端采购项目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高轨卫星小站及终端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标的名称：高轨卫星小站及终端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一、动中通卫星天线：</w:t>
            </w:r>
            <w:r>
              <w:rPr>
                <w:rFonts w:ascii="仿宋_GB2312" w:hAnsi="仿宋_GB2312" w:cs="仿宋_GB2312" w:eastAsia="仿宋_GB2312"/>
                <w:b/>
              </w:rPr>
              <w:t>1套</w:t>
            </w:r>
          </w:p>
          <w:p>
            <w:pPr>
              <w:pStyle w:val="null3"/>
            </w:pPr>
            <w:r>
              <w:rPr>
                <w:rFonts w:ascii="仿宋_GB2312" w:hAnsi="仿宋_GB2312" w:cs="仿宋_GB2312" w:eastAsia="仿宋_GB2312"/>
              </w:rPr>
              <w:t>（</w:t>
            </w:r>
            <w:r>
              <w:rPr>
                <w:rFonts w:ascii="仿宋_GB2312" w:hAnsi="仿宋_GB2312" w:cs="仿宋_GB2312" w:eastAsia="仿宋_GB2312"/>
              </w:rPr>
              <w:t>1）天线类型：机电混合扫描/人工电磁材料透镜相控阵天线；</w:t>
            </w:r>
            <w:r>
              <w:rPr>
                <w:rFonts w:ascii="仿宋_GB2312" w:hAnsi="仿宋_GB2312" w:cs="仿宋_GB2312" w:eastAsia="仿宋_GB2312"/>
              </w:rPr>
              <w:t>（提供证明材料，包括但不限于检测报告或产品彩页或技术白皮书或官网截图等）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天线等效</w:t>
            </w:r>
            <w:r>
              <w:rPr>
                <w:rFonts w:ascii="仿宋_GB2312" w:hAnsi="仿宋_GB2312" w:cs="仿宋_GB2312" w:eastAsia="仿宋_GB2312"/>
              </w:rPr>
              <w:t>口径</w:t>
            </w:r>
            <w:r>
              <w:rPr>
                <w:rFonts w:ascii="仿宋_GB2312" w:hAnsi="仿宋_GB2312" w:cs="仿宋_GB2312" w:eastAsia="仿宋_GB2312"/>
              </w:rPr>
              <w:t>：</w:t>
            </w:r>
            <w:r>
              <w:rPr>
                <w:rFonts w:ascii="仿宋_GB2312" w:hAnsi="仿宋_GB2312" w:cs="仿宋_GB2312" w:eastAsia="仿宋_GB2312"/>
              </w:rPr>
              <w:t>≥0.6m；</w:t>
            </w:r>
            <w:r>
              <w:rPr>
                <w:rFonts w:ascii="仿宋_GB2312" w:hAnsi="仿宋_GB2312" w:cs="仿宋_GB2312" w:eastAsia="仿宋_GB2312"/>
              </w:rPr>
              <w:t>（提供证明材料，包括但不限于检测报告或产品彩页或技术白皮书或官网截图等）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3）工作频率：接收10.7～12.75GHz；发射13.75～14.5GHz；</w:t>
            </w:r>
          </w:p>
          <w:p>
            <w:pPr>
              <w:pStyle w:val="null3"/>
            </w:pPr>
            <w:r>
              <w:rPr>
                <w:rFonts w:ascii="仿宋_GB2312" w:hAnsi="仿宋_GB2312" w:cs="仿宋_GB2312" w:eastAsia="仿宋_GB2312"/>
              </w:rPr>
              <w:t>（</w:t>
            </w:r>
            <w:r>
              <w:rPr>
                <w:rFonts w:ascii="仿宋_GB2312" w:hAnsi="仿宋_GB2312" w:cs="仿宋_GB2312" w:eastAsia="仿宋_GB2312"/>
              </w:rPr>
              <w:t>4）接收G/T值：Max≥</w:t>
            </w:r>
            <w:r>
              <w:rPr>
                <w:rFonts w:ascii="仿宋_GB2312" w:hAnsi="仿宋_GB2312" w:cs="仿宋_GB2312" w:eastAsia="仿宋_GB2312"/>
              </w:rPr>
              <w:t>9dB/K</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发射</w:t>
            </w:r>
            <w:r>
              <w:rPr>
                <w:rFonts w:ascii="仿宋_GB2312" w:hAnsi="仿宋_GB2312" w:cs="仿宋_GB2312" w:eastAsia="仿宋_GB2312"/>
              </w:rPr>
              <w:t>EIRP：≥45.5dBW@14.0GHz；</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极化方式：</w:t>
            </w:r>
            <w:r>
              <w:rPr>
                <w:rFonts w:ascii="仿宋_GB2312" w:hAnsi="仿宋_GB2312" w:cs="仿宋_GB2312" w:eastAsia="仿宋_GB2312"/>
              </w:rPr>
              <w:t>线极化</w:t>
            </w:r>
            <w:r>
              <w:rPr>
                <w:rFonts w:ascii="仿宋_GB2312" w:hAnsi="仿宋_GB2312" w:cs="仿宋_GB2312" w:eastAsia="仿宋_GB2312"/>
              </w:rPr>
              <w:t>，软件控制（提供证明材料，包括但不限于检测报告或产品彩页或技术白皮书或官网截图等）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）对星方式：支持一键自动搜星、锁星；</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）方位向跟踪范围：机械</w:t>
            </w:r>
            <w:r>
              <w:rPr>
                <w:rFonts w:ascii="仿宋_GB2312" w:hAnsi="仿宋_GB2312" w:cs="仿宋_GB2312" w:eastAsia="仿宋_GB2312"/>
              </w:rPr>
              <w:t>360° 连续旋转；</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 xml:space="preserve"> </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）俯仰向跟踪范围：</w:t>
            </w:r>
            <w:r>
              <w:rPr>
                <w:rFonts w:ascii="仿宋_GB2312" w:hAnsi="仿宋_GB2312" w:cs="仿宋_GB2312" w:eastAsia="仿宋_GB2312"/>
              </w:rPr>
              <w:t>+15</w:t>
            </w:r>
            <w:r>
              <w:rPr>
                <w:rFonts w:ascii="仿宋_GB2312" w:hAnsi="仿宋_GB2312" w:cs="仿宋_GB2312" w:eastAsia="仿宋_GB2312"/>
              </w:rPr>
              <w:t>°～</w:t>
            </w:r>
            <w:r>
              <w:rPr>
                <w:rFonts w:ascii="仿宋_GB2312" w:hAnsi="仿宋_GB2312" w:cs="仿宋_GB2312" w:eastAsia="仿宋_GB2312"/>
              </w:rPr>
              <w:t>+90</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 xml:space="preserve"> </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）跟踪精度：</w:t>
            </w:r>
            <w:r>
              <w:rPr>
                <w:rFonts w:ascii="仿宋_GB2312" w:hAnsi="仿宋_GB2312" w:cs="仿宋_GB2312" w:eastAsia="仿宋_GB2312"/>
              </w:rPr>
              <w:t>≤0.2°RMS；</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）初始锁星时间：</w:t>
            </w:r>
            <w:r>
              <w:rPr>
                <w:rFonts w:ascii="仿宋_GB2312" w:hAnsi="仿宋_GB2312" w:cs="仿宋_GB2312" w:eastAsia="仿宋_GB2312"/>
              </w:rPr>
              <w:t>≤120s；</w:t>
            </w:r>
            <w:r>
              <w:rPr>
                <w:rFonts w:ascii="仿宋_GB2312" w:hAnsi="仿宋_GB2312" w:cs="仿宋_GB2312" w:eastAsia="仿宋_GB2312"/>
              </w:rPr>
              <w:t>（提供证明材料，包括但不限于检测报告或产品彩页或技术白皮书或官网截图等）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）遮挡恢复时间要求：</w:t>
            </w:r>
            <w:r>
              <w:rPr>
                <w:rFonts w:ascii="仿宋_GB2312" w:hAnsi="仿宋_GB2312" w:cs="仿宋_GB2312" w:eastAsia="仿宋_GB2312"/>
              </w:rPr>
              <w:t>10mins＜遮挡时间≤30mins，恢复时间≤5s；遮挡时间＞30mins，恢复时间≤10s；</w:t>
            </w:r>
            <w:r>
              <w:rPr>
                <w:rFonts w:ascii="仿宋_GB2312" w:hAnsi="仿宋_GB2312" w:cs="仿宋_GB2312" w:eastAsia="仿宋_GB2312"/>
              </w:rPr>
              <w:t>（提供证明材料，包括但不限于检测报告或产品彩页或技术白皮书或官网截图等）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）天线接口：复合航插（含供电、控制、中频）；</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）功耗：</w:t>
            </w:r>
            <w:r>
              <w:rPr>
                <w:rFonts w:ascii="仿宋_GB2312" w:hAnsi="仿宋_GB2312" w:cs="仿宋_GB2312" w:eastAsia="仿宋_GB2312"/>
              </w:rPr>
              <w:t>≤450W (典型值，含功放)；</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）天线尺寸：</w:t>
            </w:r>
            <w:r>
              <w:rPr>
                <w:rFonts w:ascii="仿宋_GB2312" w:hAnsi="仿宋_GB2312" w:cs="仿宋_GB2312" w:eastAsia="仿宋_GB2312"/>
              </w:rPr>
              <w:t>≤</w:t>
            </w:r>
            <w:r>
              <w:rPr>
                <w:rFonts w:ascii="仿宋_GB2312" w:hAnsi="仿宋_GB2312" w:cs="仿宋_GB2312" w:eastAsia="仿宋_GB2312"/>
              </w:rPr>
              <w:t>90</w:t>
            </w:r>
            <w:r>
              <w:rPr>
                <w:rFonts w:ascii="仿宋_GB2312" w:hAnsi="仿宋_GB2312" w:cs="仿宋_GB2312" w:eastAsia="仿宋_GB2312"/>
              </w:rPr>
              <w:t>*</w:t>
            </w:r>
            <w:r>
              <w:rPr>
                <w:rFonts w:ascii="仿宋_GB2312" w:hAnsi="仿宋_GB2312" w:cs="仿宋_GB2312" w:eastAsia="仿宋_GB2312"/>
              </w:rPr>
              <w:t>90</w:t>
            </w:r>
            <w:r>
              <w:rPr>
                <w:rFonts w:ascii="仿宋_GB2312" w:hAnsi="仿宋_GB2312" w:cs="仿宋_GB2312" w:eastAsia="仿宋_GB2312"/>
              </w:rPr>
              <w:t>*1</w:t>
            </w:r>
            <w:r>
              <w:rPr>
                <w:rFonts w:ascii="仿宋_GB2312" w:hAnsi="仿宋_GB2312" w:cs="仿宋_GB2312" w:eastAsia="仿宋_GB2312"/>
              </w:rPr>
              <w:t>4c</w:t>
            </w:r>
            <w:r>
              <w:rPr>
                <w:rFonts w:ascii="仿宋_GB2312" w:hAnsi="仿宋_GB2312" w:cs="仿宋_GB2312" w:eastAsia="仿宋_GB2312"/>
              </w:rPr>
              <w:t>m (L*W*H)；</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 xml:space="preserve"> </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6</w:t>
            </w:r>
            <w:r>
              <w:rPr>
                <w:rFonts w:ascii="仿宋_GB2312" w:hAnsi="仿宋_GB2312" w:cs="仿宋_GB2312" w:eastAsia="仿宋_GB2312"/>
              </w:rPr>
              <w:t>）天线重量：</w:t>
            </w:r>
            <w:r>
              <w:rPr>
                <w:rFonts w:ascii="仿宋_GB2312" w:hAnsi="仿宋_GB2312" w:cs="仿宋_GB2312" w:eastAsia="仿宋_GB2312"/>
              </w:rPr>
              <w:t>≤</w:t>
            </w:r>
            <w:r>
              <w:rPr>
                <w:rFonts w:ascii="仿宋_GB2312" w:hAnsi="仿宋_GB2312" w:cs="仿宋_GB2312" w:eastAsia="仿宋_GB2312"/>
              </w:rPr>
              <w:t>34.5</w:t>
            </w:r>
            <w:r>
              <w:rPr>
                <w:rFonts w:ascii="仿宋_GB2312" w:hAnsi="仿宋_GB2312" w:cs="仿宋_GB2312" w:eastAsia="仿宋_GB2312"/>
              </w:rPr>
              <w:t>kg；</w:t>
            </w:r>
            <w:r>
              <w:rPr>
                <w:rFonts w:ascii="仿宋_GB2312" w:hAnsi="仿宋_GB2312" w:cs="仿宋_GB2312" w:eastAsia="仿宋_GB2312"/>
              </w:rPr>
              <w:t>（提供证明材料，包括但不限于检测报告或产品彩页或技术白皮书或官网截图等）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7</w:t>
            </w:r>
            <w:r>
              <w:rPr>
                <w:rFonts w:ascii="仿宋_GB2312" w:hAnsi="仿宋_GB2312" w:cs="仿宋_GB2312" w:eastAsia="仿宋_GB2312"/>
              </w:rPr>
              <w:t>）外壳防护等级：</w:t>
            </w:r>
            <w:r>
              <w:rPr>
                <w:rFonts w:ascii="仿宋_GB2312" w:hAnsi="仿宋_GB2312" w:cs="仿宋_GB2312" w:eastAsia="仿宋_GB2312"/>
              </w:rPr>
              <w:t>≥IP66；</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）工作温度：</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5℃。</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二、高功率上变频放大器：</w:t>
            </w:r>
            <w:r>
              <w:rPr>
                <w:rFonts w:ascii="仿宋_GB2312" w:hAnsi="仿宋_GB2312" w:cs="仿宋_GB2312" w:eastAsia="仿宋_GB2312"/>
                <w:b/>
              </w:rPr>
              <w:t>1套</w:t>
            </w:r>
          </w:p>
          <w:p>
            <w:pPr>
              <w:pStyle w:val="null3"/>
            </w:pPr>
            <w:r>
              <w:rPr>
                <w:rFonts w:ascii="仿宋_GB2312" w:hAnsi="仿宋_GB2312" w:cs="仿宋_GB2312" w:eastAsia="仿宋_GB2312"/>
              </w:rPr>
              <w:t>（</w:t>
            </w:r>
            <w:r>
              <w:rPr>
                <w:rFonts w:ascii="仿宋_GB2312" w:hAnsi="仿宋_GB2312" w:cs="仿宋_GB2312" w:eastAsia="仿宋_GB2312"/>
              </w:rPr>
              <w:t>1）集成于天线内部；</w:t>
            </w:r>
          </w:p>
          <w:p>
            <w:pPr>
              <w:pStyle w:val="null3"/>
            </w:pPr>
            <w:r>
              <w:rPr>
                <w:rFonts w:ascii="仿宋_GB2312" w:hAnsi="仿宋_GB2312" w:cs="仿宋_GB2312" w:eastAsia="仿宋_GB2312"/>
              </w:rPr>
              <w:t>（</w:t>
            </w:r>
            <w:r>
              <w:rPr>
                <w:rFonts w:ascii="仿宋_GB2312" w:hAnsi="仿宋_GB2312" w:cs="仿宋_GB2312" w:eastAsia="仿宋_GB2312"/>
              </w:rPr>
              <w:t>2）本振：12800MHz；</w:t>
            </w:r>
          </w:p>
          <w:p>
            <w:pPr>
              <w:pStyle w:val="null3"/>
            </w:pPr>
            <w:r>
              <w:rPr>
                <w:rFonts w:ascii="仿宋_GB2312" w:hAnsi="仿宋_GB2312" w:cs="仿宋_GB2312" w:eastAsia="仿宋_GB2312"/>
              </w:rPr>
              <w:t>（</w:t>
            </w:r>
            <w:r>
              <w:rPr>
                <w:rFonts w:ascii="仿宋_GB2312" w:hAnsi="仿宋_GB2312" w:cs="仿宋_GB2312" w:eastAsia="仿宋_GB2312"/>
              </w:rPr>
              <w:t>3）输出频率：13.75GHz～14.5GHz；（提供证明材料，包括但不限于检测报告或产品彩页或技术白皮书或官网截图等）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4）输入频率：950MHz～1700MHz；</w:t>
            </w:r>
          </w:p>
          <w:p>
            <w:pPr>
              <w:pStyle w:val="null3"/>
            </w:pPr>
            <w:r>
              <w:rPr>
                <w:rFonts w:ascii="仿宋_GB2312" w:hAnsi="仿宋_GB2312" w:cs="仿宋_GB2312" w:eastAsia="仿宋_GB2312"/>
              </w:rPr>
              <w:t>（</w:t>
            </w:r>
            <w:r>
              <w:rPr>
                <w:rFonts w:ascii="仿宋_GB2312" w:hAnsi="仿宋_GB2312" w:cs="仿宋_GB2312" w:eastAsia="仿宋_GB2312"/>
              </w:rPr>
              <w:t>5）外置频率参考（10MHz）：0dBm±5dB；</w:t>
            </w:r>
          </w:p>
          <w:p>
            <w:pPr>
              <w:pStyle w:val="null3"/>
            </w:pPr>
            <w:r>
              <w:rPr>
                <w:rFonts w:ascii="仿宋_GB2312" w:hAnsi="仿宋_GB2312" w:cs="仿宋_GB2312" w:eastAsia="仿宋_GB2312"/>
              </w:rPr>
              <w:t>（</w:t>
            </w:r>
            <w:r>
              <w:rPr>
                <w:rFonts w:ascii="仿宋_GB2312" w:hAnsi="仿宋_GB2312" w:cs="仿宋_GB2312" w:eastAsia="仿宋_GB2312"/>
              </w:rPr>
              <w:t>6）工作温度：-45°C ～ +65°C；</w:t>
            </w:r>
          </w:p>
          <w:p>
            <w:pPr>
              <w:pStyle w:val="null3"/>
            </w:pPr>
            <w:r>
              <w:rPr>
                <w:rFonts w:ascii="仿宋_GB2312" w:hAnsi="仿宋_GB2312" w:cs="仿宋_GB2312" w:eastAsia="仿宋_GB2312"/>
                <w:sz w:val="21"/>
              </w:rPr>
              <w:t>（</w:t>
            </w:r>
            <w:r>
              <w:rPr>
                <w:rFonts w:ascii="仿宋_GB2312" w:hAnsi="仿宋_GB2312" w:cs="仿宋_GB2312" w:eastAsia="仿宋_GB2312"/>
                <w:sz w:val="21"/>
              </w:rPr>
              <w:t>7）输出功率：≥40W。（提供证明材料，包括但不限于检测报告或产品彩页或技术白皮书或官网截图等）</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三、低噪声下变频放大器：</w:t>
            </w:r>
            <w:r>
              <w:rPr>
                <w:rFonts w:ascii="仿宋_GB2312" w:hAnsi="仿宋_GB2312" w:cs="仿宋_GB2312" w:eastAsia="仿宋_GB2312"/>
                <w:b/>
              </w:rPr>
              <w:t>1套</w:t>
            </w:r>
          </w:p>
          <w:p>
            <w:pPr>
              <w:pStyle w:val="null3"/>
            </w:pPr>
            <w:r>
              <w:rPr>
                <w:rFonts w:ascii="仿宋_GB2312" w:hAnsi="仿宋_GB2312" w:cs="仿宋_GB2312" w:eastAsia="仿宋_GB2312"/>
              </w:rPr>
              <w:t>（</w:t>
            </w:r>
            <w:r>
              <w:rPr>
                <w:rFonts w:ascii="仿宋_GB2312" w:hAnsi="仿宋_GB2312" w:cs="仿宋_GB2312" w:eastAsia="仿宋_GB2312"/>
              </w:rPr>
              <w:t>1）集成于天线内部；（提供证明材料，包括但不限于检测报告或产品彩页或技术白皮书或官网截图等）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2）射频频率：10.7GHz～12.75GHz；</w:t>
            </w:r>
          </w:p>
          <w:p>
            <w:pPr>
              <w:pStyle w:val="null3"/>
            </w:pPr>
            <w:r>
              <w:rPr>
                <w:rFonts w:ascii="仿宋_GB2312" w:hAnsi="仿宋_GB2312" w:cs="仿宋_GB2312" w:eastAsia="仿宋_GB2312"/>
              </w:rPr>
              <w:t>（</w:t>
            </w:r>
            <w:r>
              <w:rPr>
                <w:rFonts w:ascii="仿宋_GB2312" w:hAnsi="仿宋_GB2312" w:cs="仿宋_GB2312" w:eastAsia="仿宋_GB2312"/>
              </w:rPr>
              <w:t>3）输出频率范围：950～2150MHz；</w:t>
            </w:r>
          </w:p>
          <w:p>
            <w:pPr>
              <w:pStyle w:val="null3"/>
            </w:pPr>
            <w:r>
              <w:rPr>
                <w:rFonts w:ascii="仿宋_GB2312" w:hAnsi="仿宋_GB2312" w:cs="仿宋_GB2312" w:eastAsia="仿宋_GB2312"/>
              </w:rPr>
              <w:t>（</w:t>
            </w:r>
            <w:r>
              <w:rPr>
                <w:rFonts w:ascii="仿宋_GB2312" w:hAnsi="仿宋_GB2312" w:cs="仿宋_GB2312" w:eastAsia="仿宋_GB2312"/>
              </w:rPr>
              <w:t>4）本振频率：9750MHz/10600MHz；</w:t>
            </w:r>
          </w:p>
          <w:p>
            <w:pPr>
              <w:pStyle w:val="null3"/>
            </w:pPr>
            <w:r>
              <w:rPr>
                <w:rFonts w:ascii="仿宋_GB2312" w:hAnsi="仿宋_GB2312" w:cs="仿宋_GB2312" w:eastAsia="仿宋_GB2312"/>
              </w:rPr>
              <w:t>（</w:t>
            </w:r>
            <w:r>
              <w:rPr>
                <w:rFonts w:ascii="仿宋_GB2312" w:hAnsi="仿宋_GB2312" w:cs="仿宋_GB2312" w:eastAsia="仿宋_GB2312"/>
              </w:rPr>
              <w:t>5）内参考频率源：10MHz；</w:t>
            </w:r>
          </w:p>
          <w:p>
            <w:pPr>
              <w:pStyle w:val="null3"/>
            </w:pPr>
            <w:r>
              <w:rPr>
                <w:rFonts w:ascii="仿宋_GB2312" w:hAnsi="仿宋_GB2312" w:cs="仿宋_GB2312" w:eastAsia="仿宋_GB2312"/>
              </w:rPr>
              <w:t>（</w:t>
            </w:r>
            <w:r>
              <w:rPr>
                <w:rFonts w:ascii="仿宋_GB2312" w:hAnsi="仿宋_GB2312" w:cs="仿宋_GB2312" w:eastAsia="仿宋_GB2312"/>
              </w:rPr>
              <w:t>6）噪声系数（温度：25℃）： ≤1.0dB；（提供证明材料，包括但不限于检测报告或产品彩页或技术白皮书或官网截图等）</w:t>
            </w:r>
          </w:p>
          <w:p>
            <w:pPr>
              <w:pStyle w:val="null3"/>
            </w:pPr>
            <w:r>
              <w:rPr>
                <w:rFonts w:ascii="仿宋_GB2312" w:hAnsi="仿宋_GB2312" w:cs="仿宋_GB2312" w:eastAsia="仿宋_GB2312"/>
                <w:sz w:val="21"/>
              </w:rPr>
              <w:t>（</w:t>
            </w:r>
            <w:r>
              <w:rPr>
                <w:rFonts w:ascii="仿宋_GB2312" w:hAnsi="仿宋_GB2312" w:cs="仿宋_GB2312" w:eastAsia="仿宋_GB2312"/>
                <w:sz w:val="21"/>
              </w:rPr>
              <w:t>7）线性增益（温度：25℃）：60dB±2dB</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四、高通量调制解调器：</w:t>
            </w:r>
            <w:r>
              <w:rPr>
                <w:rFonts w:ascii="仿宋_GB2312" w:hAnsi="仿宋_GB2312" w:cs="仿宋_GB2312" w:eastAsia="仿宋_GB2312"/>
                <w:b/>
              </w:rPr>
              <w:t>1套</w:t>
            </w:r>
          </w:p>
          <w:p>
            <w:pPr>
              <w:pStyle w:val="null3"/>
            </w:pPr>
            <w:r>
              <w:rPr>
                <w:rFonts w:ascii="仿宋_GB2312" w:hAnsi="仿宋_GB2312" w:cs="仿宋_GB2312" w:eastAsia="仿宋_GB2312"/>
              </w:rPr>
              <w:t>（</w:t>
            </w:r>
            <w:r>
              <w:rPr>
                <w:rFonts w:ascii="仿宋_GB2312" w:hAnsi="仿宋_GB2312" w:cs="仿宋_GB2312" w:eastAsia="仿宋_GB2312"/>
              </w:rPr>
              <w:t>1）外观尺寸：1U机箱；</w:t>
            </w:r>
          </w:p>
          <w:p>
            <w:pPr>
              <w:pStyle w:val="null3"/>
            </w:pPr>
            <w:r>
              <w:rPr>
                <w:rFonts w:ascii="仿宋_GB2312" w:hAnsi="仿宋_GB2312" w:cs="仿宋_GB2312" w:eastAsia="仿宋_GB2312"/>
              </w:rPr>
              <w:t>（</w:t>
            </w:r>
            <w:r>
              <w:rPr>
                <w:rFonts w:ascii="仿宋_GB2312" w:hAnsi="仿宋_GB2312" w:cs="仿宋_GB2312" w:eastAsia="仿宋_GB2312"/>
              </w:rPr>
              <w:t>2）重量：≤4.5kg；</w:t>
            </w:r>
          </w:p>
          <w:p>
            <w:pPr>
              <w:pStyle w:val="null3"/>
            </w:pPr>
            <w:r>
              <w:rPr>
                <w:rFonts w:ascii="仿宋_GB2312" w:hAnsi="仿宋_GB2312" w:cs="仿宋_GB2312" w:eastAsia="仿宋_GB2312"/>
              </w:rPr>
              <w:t>（</w:t>
            </w:r>
            <w:r>
              <w:rPr>
                <w:rFonts w:ascii="仿宋_GB2312" w:hAnsi="仿宋_GB2312" w:cs="仿宋_GB2312" w:eastAsia="仿宋_GB2312"/>
              </w:rPr>
              <w:t>3）工作温度：0℃～+60℃； 存储温度：-40℃～+85℃；</w:t>
            </w:r>
          </w:p>
          <w:p>
            <w:pPr>
              <w:pStyle w:val="null3"/>
            </w:pPr>
            <w:r>
              <w:rPr>
                <w:rFonts w:ascii="仿宋_GB2312" w:hAnsi="仿宋_GB2312" w:cs="仿宋_GB2312" w:eastAsia="仿宋_GB2312"/>
              </w:rPr>
              <w:t>（</w:t>
            </w:r>
            <w:r>
              <w:rPr>
                <w:rFonts w:ascii="仿宋_GB2312" w:hAnsi="仿宋_GB2312" w:cs="仿宋_GB2312" w:eastAsia="仿宋_GB2312"/>
              </w:rPr>
              <w:t>4）调制方式：接收：QPSK,8PSK,16APSK,32APSK等；</w:t>
            </w:r>
          </w:p>
          <w:p>
            <w:pPr>
              <w:pStyle w:val="null3"/>
            </w:pPr>
            <w:r>
              <w:rPr>
                <w:rFonts w:ascii="仿宋_GB2312" w:hAnsi="仿宋_GB2312" w:cs="仿宋_GB2312" w:eastAsia="仿宋_GB2312"/>
              </w:rPr>
              <w:t>发射：</w:t>
            </w:r>
            <w:r>
              <w:rPr>
                <w:rFonts w:ascii="仿宋_GB2312" w:hAnsi="仿宋_GB2312" w:cs="仿宋_GB2312" w:eastAsia="仿宋_GB2312"/>
              </w:rPr>
              <w:t>QPSK,8PSK,16QAM等</w:t>
            </w:r>
            <w:r>
              <w:rPr>
                <w:rFonts w:ascii="仿宋_GB2312" w:hAnsi="仿宋_GB2312" w:cs="仿宋_GB2312" w:eastAsia="仿宋_GB2312"/>
              </w:rPr>
              <w:t>，</w:t>
            </w:r>
            <w:r>
              <w:rPr>
                <w:rFonts w:ascii="仿宋_GB2312" w:hAnsi="仿宋_GB2312" w:cs="仿宋_GB2312" w:eastAsia="仿宋_GB2312"/>
              </w:rPr>
              <w:t>适用于</w:t>
            </w:r>
            <w:r>
              <w:rPr>
                <w:rFonts w:ascii="仿宋_GB2312" w:hAnsi="仿宋_GB2312" w:cs="仿宋_GB2312" w:eastAsia="仿宋_GB2312"/>
              </w:rPr>
              <w:t>TDMA终端</w:t>
            </w:r>
            <w:r>
              <w:rPr>
                <w:rFonts w:ascii="仿宋_GB2312" w:hAnsi="仿宋_GB2312" w:cs="仿宋_GB2312" w:eastAsia="仿宋_GB2312"/>
              </w:rPr>
              <w:t>；（提供证明材料，包括但不限于检测报告或产品彩页或技术白皮书或官网截图等）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5）符号率：接收：1</w:t>
            </w:r>
            <w:r>
              <w:rPr>
                <w:rFonts w:ascii="仿宋_GB2312" w:hAnsi="仿宋_GB2312" w:cs="仿宋_GB2312" w:eastAsia="仿宋_GB2312"/>
              </w:rPr>
              <w:t>Msps</w:t>
            </w:r>
            <w:r>
              <w:rPr>
                <w:rFonts w:ascii="仿宋_GB2312" w:hAnsi="仿宋_GB2312" w:cs="仿宋_GB2312" w:eastAsia="仿宋_GB2312"/>
              </w:rPr>
              <w:t>-45 Msps，发射：128 Ksps -15 Msps；</w:t>
            </w:r>
          </w:p>
          <w:p>
            <w:pPr>
              <w:pStyle w:val="null3"/>
            </w:pPr>
            <w:r>
              <w:rPr>
                <w:rFonts w:ascii="仿宋_GB2312" w:hAnsi="仿宋_GB2312" w:cs="仿宋_GB2312" w:eastAsia="仿宋_GB2312"/>
              </w:rPr>
              <w:t>（</w:t>
            </w:r>
            <w:r>
              <w:rPr>
                <w:rFonts w:ascii="仿宋_GB2312" w:hAnsi="仿宋_GB2312" w:cs="仿宋_GB2312" w:eastAsia="仿宋_GB2312"/>
              </w:rPr>
              <w:t>6）波束切换：支持自动波束切换；（提供证明材料，包括但不限于检测报告或产品彩页或技术白皮书或官网截图等）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7）控制管理：支持网管系统、终端Web程序、控制管理等；支持OTA和本地升级等；（提供证明材料，包括但不限于检测报告或产品彩页或技术白皮书或官网截图等）</w:t>
            </w:r>
          </w:p>
          <w:p>
            <w:pPr>
              <w:pStyle w:val="null3"/>
            </w:pPr>
            <w:r>
              <w:rPr>
                <w:rFonts w:ascii="仿宋_GB2312" w:hAnsi="仿宋_GB2312" w:cs="仿宋_GB2312" w:eastAsia="仿宋_GB2312"/>
                <w:sz w:val="21"/>
              </w:rPr>
              <w:t>（</w:t>
            </w:r>
            <w:r>
              <w:rPr>
                <w:rFonts w:ascii="仿宋_GB2312" w:hAnsi="仿宋_GB2312" w:cs="仿宋_GB2312" w:eastAsia="仿宋_GB2312"/>
                <w:sz w:val="21"/>
              </w:rPr>
              <w:t>8）提供1年不限量公网卫星Ku波段高通量流量包服务，支持单端站接入，提供上行速率不低于5Mbps,下行速率不低于10Mbps；包含一次性业务入网受理费用（须提供公网卫星KU波段运营商出具的接入授权证明）</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五</w:t>
            </w:r>
            <w:r>
              <w:rPr>
                <w:rFonts w:ascii="仿宋_GB2312" w:hAnsi="仿宋_GB2312" w:cs="仿宋_GB2312" w:eastAsia="仿宋_GB2312"/>
                <w:sz w:val="21"/>
                <w:b/>
              </w:rPr>
              <w:t>、上述技术要求，</w:t>
            </w:r>
            <w:r>
              <w:rPr>
                <w:rFonts w:ascii="仿宋_GB2312" w:hAnsi="仿宋_GB2312" w:cs="仿宋_GB2312" w:eastAsia="仿宋_GB2312"/>
                <w:sz w:val="21"/>
              </w:rPr>
              <w:t>中标后需提供具有国家级</w:t>
            </w:r>
            <w:r>
              <w:rPr>
                <w:rFonts w:ascii="仿宋_GB2312" w:hAnsi="仿宋_GB2312" w:cs="仿宋_GB2312" w:eastAsia="仿宋_GB2312"/>
                <w:sz w:val="21"/>
              </w:rPr>
              <w:t>CNAS和CMA资质的第三方检测机构出具的检测报告由采购人核查</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备注：以上参数为实质性要求，供应商任意一项负偏离，按无效响应处理。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为交钥匙工程，供货方除了提供项目所涵盖货物以外，还需根据设计实施方案完成系统部署、整体调试、系统试运行等工作，试运行30天内系统工作正常，方可向甲方提请验收，由甲方组织专家，根据验收大纲逐项进行核验，如有不合格情况，需限期整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要求：自验收合格之日起计算，供货方需提供3年的质保服务。质保期内，除人为使用不当因素除外，供货方需提供免费软硬件质保、维修、升级技术支持等配套技术服务。质保期外，供货方应承诺提供长期技术服务，价格不超过此次项目报价。免费提供一次设备移机服务。 2.培训要求： 供货方需结合项目实际情况，提供详细的培训计划，包含不限于培训内容、培训教材、培训组织、培训形式、培训考核等，配合采购方做好人员的培训工作。 3.核心产品：动中通卫星天线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