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版本号：LHZBZC2025183S20251226001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红外热成像仪</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LHZBZC2025183S</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红外热成像仪</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LHZBZC2025183S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红外热成像仪</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西安理工大学电工材料实验室预购置一台高速红外热成像仪用于测量气雾化过程中雾化锥的温度场动态变化。</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具有财务审计资质的单位出具的财务审计报告（成立时间至投标时间不足一年的可提供成立后任意时段的财务报表）或投标前三个月内基本开户银行出具的资信证明或财政部门认可的政府采购专业担保机构出具的投标担保函。</w:t>
      </w:r>
    </w:p>
    <w:p>
      <w:pPr>
        <w:pStyle w:val="null3"/>
      </w:pPr>
      <w:r>
        <w:rPr>
          <w:rFonts w:ascii="仿宋_GB2312" w:hAnsi="仿宋_GB2312" w:cs="仿宋_GB2312" w:eastAsia="仿宋_GB2312"/>
        </w:rPr>
        <w:t>3、社保缴纳证明：提供自2025年01月01日至递交投标文件截止之日内任意一个月的社会保障资金缴存单据或社保机构开具的社会保险参保缴费情况证明。依法不需要缴纳社会保障资金的供应商应提供相关文件证明。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自2025年01月01日至递交投标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61125884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西安市未央区太华北路甲字88号大明宫中央广场A座22层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高禧、宋妍、陈新鹏、黄沛、李晨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开户名称：凌辉建设工程咨询有限公司</w:t>
            </w:r>
          </w:p>
          <w:p>
            <w:pPr>
              <w:pStyle w:val="null3"/>
            </w:pPr>
            <w:r>
              <w:rPr>
                <w:rFonts w:ascii="仿宋_GB2312" w:hAnsi="仿宋_GB2312" w:cs="仿宋_GB2312" w:eastAsia="仿宋_GB2312"/>
              </w:rPr>
              <w:t>开户银行：招商银行西安分行南大街支行</w:t>
            </w:r>
          </w:p>
          <w:p>
            <w:pPr>
              <w:pStyle w:val="null3"/>
            </w:pPr>
            <w:r>
              <w:rPr>
                <w:rFonts w:ascii="仿宋_GB2312" w:hAnsi="仿宋_GB2312" w:cs="仿宋_GB2312" w:eastAsia="仿宋_GB2312"/>
              </w:rPr>
              <w:t>银行账号：292083674310001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80万以下项目招标代理服务费：5000.00元/项；80万～400万元项目参照国家计委颁发的《招标代理服务收费管理暂行办法》（计价格〔2002〕1980号）及（发改办价格〔2011〕534号）规定的70.00%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联系人：高禧、宋妍、陈新鹏、黄沛、李晨</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地址：西安市未央区太华北路甲字88号大明宫中央广场A座22层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西安理工大学电工材料实验室预购置一台高速红外热成像仪用于测量气雾化过程中雾化锥的温度场动态变化。</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红外热成像仪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标的名称：红外热成像仪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jc w:val="left"/>
            </w:pPr>
            <w:r>
              <w:rPr>
                <w:rFonts w:ascii="仿宋_GB2312" w:hAnsi="仿宋_GB2312" w:cs="仿宋_GB2312" w:eastAsia="仿宋_GB2312"/>
                <w:sz w:val="21"/>
                <w:color w:val="000000"/>
              </w:rPr>
              <w:t>红外热成像仪（核心产品）</w:t>
            </w:r>
          </w:p>
          <w:p>
            <w:pPr>
              <w:pStyle w:val="null3"/>
              <w:spacing w:before="60" w:after="6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探测器：像素大小</w:t>
            </w:r>
            <w:r>
              <w:rPr>
                <w:rFonts w:ascii="仿宋_GB2312" w:hAnsi="仿宋_GB2312" w:cs="仿宋_GB2312" w:eastAsia="仿宋_GB2312"/>
                <w:sz w:val="21"/>
                <w:color w:val="000000"/>
              </w:rPr>
              <w:t>≥</w:t>
            </w:r>
            <w:r>
              <w:rPr>
                <w:rFonts w:ascii="仿宋_GB2312" w:hAnsi="仿宋_GB2312" w:cs="仿宋_GB2312" w:eastAsia="仿宋_GB2312"/>
                <w:sz w:val="21"/>
                <w:color w:val="000000"/>
              </w:rPr>
              <w:t>640*512</w:t>
            </w:r>
            <w:r>
              <w:rPr>
                <w:rFonts w:ascii="仿宋_GB2312" w:hAnsi="仿宋_GB2312" w:cs="仿宋_GB2312" w:eastAsia="仿宋_GB2312"/>
                <w:sz w:val="21"/>
                <w:color w:val="000000"/>
              </w:rPr>
              <w:t>，</w:t>
            </w:r>
            <w:r>
              <w:rPr>
                <w:rFonts w:ascii="仿宋_GB2312" w:hAnsi="仿宋_GB2312" w:cs="仿宋_GB2312" w:eastAsia="仿宋_GB2312"/>
                <w:sz w:val="21"/>
                <w:color w:val="000000"/>
              </w:rPr>
              <w:t>InSb</w:t>
            </w:r>
            <w:r>
              <w:rPr>
                <w:rFonts w:ascii="仿宋_GB2312" w:hAnsi="仿宋_GB2312" w:cs="仿宋_GB2312" w:eastAsia="仿宋_GB2312"/>
                <w:sz w:val="21"/>
                <w:color w:val="000000"/>
              </w:rPr>
              <w:t>材料；</w:t>
            </w:r>
          </w:p>
          <w:p>
            <w:pPr>
              <w:pStyle w:val="null3"/>
              <w:spacing w:before="60" w:after="6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像素间距：</w:t>
            </w:r>
            <w:r>
              <w:rPr>
                <w:rFonts w:ascii="仿宋_GB2312" w:hAnsi="仿宋_GB2312" w:cs="仿宋_GB2312" w:eastAsia="仿宋_GB2312"/>
                <w:sz w:val="21"/>
                <w:color w:val="000000"/>
              </w:rPr>
              <w:t>≥</w:t>
            </w:r>
            <w:r>
              <w:rPr>
                <w:rFonts w:ascii="仿宋_GB2312" w:hAnsi="仿宋_GB2312" w:cs="仿宋_GB2312" w:eastAsia="仿宋_GB2312"/>
                <w:sz w:val="21"/>
                <w:color w:val="000000"/>
              </w:rPr>
              <w:t>15μm</w:t>
            </w:r>
            <w:r>
              <w:rPr>
                <w:rFonts w:ascii="仿宋_GB2312" w:hAnsi="仿宋_GB2312" w:cs="仿宋_GB2312" w:eastAsia="仿宋_GB2312"/>
                <w:sz w:val="21"/>
                <w:color w:val="000000"/>
              </w:rPr>
              <w:t>；</w:t>
            </w:r>
          </w:p>
          <w:p>
            <w:pPr>
              <w:pStyle w:val="null3"/>
              <w:spacing w:before="60" w:after="60"/>
              <w:ind w:left="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帧频</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支持用户自定义窗口大小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00Hz@640*512</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1100Hz@320*256</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2500Hz@160*128</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3380Hz@80*64</w:t>
            </w:r>
            <w:r>
              <w:rPr>
                <w:rFonts w:ascii="仿宋_GB2312" w:hAnsi="仿宋_GB2312" w:cs="仿宋_GB2312" w:eastAsia="仿宋_GB2312"/>
                <w:sz w:val="21"/>
                <w:color w:val="000000"/>
              </w:rPr>
              <w:t>；</w:t>
            </w:r>
          </w:p>
          <w:p>
            <w:pPr>
              <w:pStyle w:val="null3"/>
              <w:spacing w:before="60" w:after="6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波长响应范围：</w:t>
            </w:r>
            <w:r>
              <w:rPr>
                <w:rFonts w:ascii="仿宋_GB2312" w:hAnsi="仿宋_GB2312" w:cs="仿宋_GB2312" w:eastAsia="仿宋_GB2312"/>
                <w:sz w:val="21"/>
                <w:color w:val="000000"/>
              </w:rPr>
              <w:t>3.0 μm-5.0 μm</w:t>
            </w:r>
            <w:r>
              <w:rPr>
                <w:rFonts w:ascii="仿宋_GB2312" w:hAnsi="仿宋_GB2312" w:cs="仿宋_GB2312" w:eastAsia="仿宋_GB2312"/>
                <w:sz w:val="21"/>
                <w:color w:val="000000"/>
              </w:rPr>
              <w:t>；</w:t>
            </w:r>
          </w:p>
          <w:p>
            <w:pPr>
              <w:pStyle w:val="null3"/>
              <w:spacing w:before="60" w:after="6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积分时间调节范围：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0.3 μs</w:t>
            </w:r>
            <w:r>
              <w:rPr>
                <w:rFonts w:ascii="仿宋_GB2312" w:hAnsi="仿宋_GB2312" w:cs="仿宋_GB2312" w:eastAsia="仿宋_GB2312"/>
                <w:sz w:val="21"/>
                <w:color w:val="000000"/>
              </w:rPr>
              <w:t>；</w:t>
            </w:r>
          </w:p>
          <w:p>
            <w:pPr>
              <w:pStyle w:val="null3"/>
              <w:spacing w:before="60" w:after="6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制冷方式：斯特林制冷器；</w:t>
            </w:r>
          </w:p>
          <w:p>
            <w:pPr>
              <w:pStyle w:val="null3"/>
              <w:spacing w:before="60" w:after="6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F</w:t>
            </w:r>
            <w:r>
              <w:rPr>
                <w:rFonts w:ascii="仿宋_GB2312" w:hAnsi="仿宋_GB2312" w:cs="仿宋_GB2312" w:eastAsia="仿宋_GB2312"/>
                <w:sz w:val="21"/>
                <w:color w:val="000000"/>
              </w:rPr>
              <w:t>数：</w:t>
            </w:r>
            <w:r>
              <w:rPr>
                <w:rFonts w:ascii="仿宋_GB2312" w:hAnsi="仿宋_GB2312" w:cs="仿宋_GB2312" w:eastAsia="仿宋_GB2312"/>
                <w:sz w:val="21"/>
                <w:color w:val="000000"/>
              </w:rPr>
              <w:t xml:space="preserve">F </w:t>
            </w:r>
            <w:r>
              <w:rPr>
                <w:rFonts w:ascii="仿宋_GB2312" w:hAnsi="仿宋_GB2312" w:cs="仿宋_GB2312" w:eastAsia="仿宋_GB2312"/>
                <w:sz w:val="21"/>
                <w:color w:val="000000"/>
              </w:rPr>
              <w:t>值</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p>
          <w:p>
            <w:pPr>
              <w:pStyle w:val="null3"/>
              <w:spacing w:before="60" w:after="6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动态范围：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14 Bit</w:t>
            </w:r>
            <w:r>
              <w:rPr>
                <w:rFonts w:ascii="仿宋_GB2312" w:hAnsi="仿宋_GB2312" w:cs="仿宋_GB2312" w:eastAsia="仿宋_GB2312"/>
                <w:sz w:val="21"/>
                <w:color w:val="000000"/>
              </w:rPr>
              <w:t>；</w:t>
            </w:r>
          </w:p>
          <w:p>
            <w:pPr>
              <w:pStyle w:val="null3"/>
              <w:spacing w:before="60" w:after="6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热灵敏度：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0.025°С</w:t>
            </w:r>
            <w:r>
              <w:rPr>
                <w:rFonts w:ascii="仿宋_GB2312" w:hAnsi="仿宋_GB2312" w:cs="仿宋_GB2312" w:eastAsia="仿宋_GB2312"/>
                <w:sz w:val="21"/>
              </w:rPr>
              <w:t>@25</w:t>
            </w:r>
            <w:r>
              <w:rPr>
                <w:rFonts w:ascii="仿宋_GB2312" w:hAnsi="仿宋_GB2312" w:cs="仿宋_GB2312" w:eastAsia="仿宋_GB2312"/>
                <w:sz w:val="21"/>
                <w:color w:val="000000"/>
              </w:rPr>
              <w:t>°С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或</w:t>
            </w:r>
            <w:r>
              <w:rPr>
                <w:rFonts w:ascii="仿宋_GB2312" w:hAnsi="仿宋_GB2312" w:cs="仿宋_GB2312" w:eastAsia="仿宋_GB2312"/>
                <w:sz w:val="21"/>
              </w:rPr>
              <w:t>30</w:t>
            </w:r>
            <w:r>
              <w:rPr>
                <w:rFonts w:ascii="仿宋_GB2312" w:hAnsi="仿宋_GB2312" w:cs="仿宋_GB2312" w:eastAsia="仿宋_GB2312"/>
                <w:sz w:val="21"/>
                <w:color w:val="000000"/>
              </w:rPr>
              <w:t>°С</w:t>
            </w:r>
            <w:r>
              <w:rPr>
                <w:rFonts w:ascii="仿宋_GB2312" w:hAnsi="仿宋_GB2312" w:cs="仿宋_GB2312" w:eastAsia="仿宋_GB2312"/>
                <w:sz w:val="21"/>
                <w:color w:val="000000"/>
              </w:rPr>
              <w:t>；</w:t>
            </w:r>
          </w:p>
          <w:p>
            <w:pPr>
              <w:pStyle w:val="null3"/>
              <w:spacing w:before="60" w:after="6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测温范围：</w:t>
            </w:r>
            <w:r>
              <w:rPr>
                <w:rFonts w:ascii="仿宋_GB2312" w:hAnsi="仿宋_GB2312" w:cs="仿宋_GB2312" w:eastAsia="仿宋_GB2312"/>
                <w:sz w:val="21"/>
                <w:color w:val="000000"/>
              </w:rPr>
              <w:t>-20°С</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00°С</w:t>
            </w:r>
            <w:r>
              <w:rPr>
                <w:rFonts w:ascii="仿宋_GB2312" w:hAnsi="仿宋_GB2312" w:cs="仿宋_GB2312" w:eastAsia="仿宋_GB2312"/>
                <w:sz w:val="21"/>
                <w:color w:val="000000"/>
              </w:rPr>
              <w:t>；</w:t>
            </w:r>
          </w:p>
          <w:p>
            <w:pPr>
              <w:pStyle w:val="null3"/>
              <w:spacing w:before="60" w:after="6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测温精度：全量程</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°С</w:t>
            </w:r>
            <w:r>
              <w:rPr>
                <w:rFonts w:ascii="仿宋_GB2312" w:hAnsi="仿宋_GB2312" w:cs="仿宋_GB2312" w:eastAsia="仿宋_GB2312"/>
                <w:sz w:val="21"/>
                <w:color w:val="000000"/>
              </w:rPr>
              <w:t>或</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0-1500°С</w:t>
            </w:r>
            <w:r>
              <w:rPr>
                <w:rFonts w:ascii="仿宋_GB2312" w:hAnsi="仿宋_GB2312" w:cs="仿宋_GB2312" w:eastAsia="仿宋_GB2312"/>
                <w:sz w:val="21"/>
                <w:color w:val="000000"/>
              </w:rPr>
              <w:t>范围内</w:t>
            </w:r>
            <w:r>
              <w:rPr>
                <w:rFonts w:ascii="仿宋_GB2312" w:hAnsi="仿宋_GB2312" w:cs="仿宋_GB2312" w:eastAsia="仿宋_GB2312"/>
                <w:sz w:val="21"/>
                <w:color w:val="000000"/>
              </w:rPr>
              <w:t>±1°С</w:t>
            </w:r>
            <w:r>
              <w:rPr>
                <w:rFonts w:ascii="仿宋_GB2312" w:hAnsi="仿宋_GB2312" w:cs="仿宋_GB2312" w:eastAsia="仿宋_GB2312"/>
                <w:sz w:val="21"/>
                <w:color w:val="000000"/>
              </w:rPr>
              <w:t>或</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p>
            <w:pPr>
              <w:pStyle w:val="null3"/>
              <w:spacing w:before="60" w:after="6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非均匀性校正：一键完成</w:t>
            </w:r>
            <w:r>
              <w:rPr>
                <w:rFonts w:ascii="仿宋_GB2312" w:hAnsi="仿宋_GB2312" w:cs="仿宋_GB2312" w:eastAsia="仿宋_GB2312"/>
                <w:sz w:val="21"/>
                <w:color w:val="000000"/>
              </w:rPr>
              <w:t>非均匀性校正</w:t>
            </w:r>
            <w:r>
              <w:rPr>
                <w:rFonts w:ascii="仿宋_GB2312" w:hAnsi="仿宋_GB2312" w:cs="仿宋_GB2312" w:eastAsia="仿宋_GB2312"/>
                <w:sz w:val="21"/>
                <w:color w:val="000000"/>
              </w:rPr>
              <w:t>；</w:t>
            </w:r>
          </w:p>
          <w:p>
            <w:pPr>
              <w:pStyle w:val="null3"/>
              <w:spacing w:before="60" w:after="60"/>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数据接口：千兆以太网；</w:t>
            </w:r>
          </w:p>
          <w:p>
            <w:pPr>
              <w:pStyle w:val="null3"/>
              <w:spacing w:before="60" w:after="6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同步接口：主机配备</w:t>
            </w:r>
            <w:r>
              <w:rPr>
                <w:rFonts w:ascii="仿宋_GB2312" w:hAnsi="仿宋_GB2312" w:cs="仿宋_GB2312" w:eastAsia="仿宋_GB2312"/>
                <w:sz w:val="21"/>
                <w:color w:val="000000"/>
              </w:rPr>
              <w:t>满足</w:t>
            </w:r>
            <w:r>
              <w:rPr>
                <w:rFonts w:ascii="仿宋_GB2312" w:hAnsi="仿宋_GB2312" w:cs="仿宋_GB2312" w:eastAsia="仿宋_GB2312"/>
                <w:sz w:val="21"/>
                <w:color w:val="000000"/>
              </w:rPr>
              <w:t>同步触发</w:t>
            </w:r>
            <w:r>
              <w:rPr>
                <w:rFonts w:ascii="仿宋_GB2312" w:hAnsi="仿宋_GB2312" w:cs="仿宋_GB2312" w:eastAsia="仿宋_GB2312"/>
                <w:sz w:val="21"/>
                <w:color w:val="000000"/>
              </w:rPr>
              <w:t>功能的信号</w:t>
            </w:r>
            <w:r>
              <w:rPr>
                <w:rFonts w:ascii="仿宋_GB2312" w:hAnsi="仿宋_GB2312" w:cs="仿宋_GB2312" w:eastAsia="仿宋_GB2312"/>
                <w:sz w:val="21"/>
                <w:color w:val="000000"/>
              </w:rPr>
              <w:t>接口；</w:t>
            </w:r>
          </w:p>
          <w:p>
            <w:pPr>
              <w:pStyle w:val="null3"/>
              <w:spacing w:before="60" w:after="60"/>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主机重量：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3.5kg</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软件：</w:t>
            </w:r>
            <w:r>
              <w:rPr>
                <w:rFonts w:ascii="仿宋_GB2312" w:hAnsi="仿宋_GB2312" w:cs="仿宋_GB2312" w:eastAsia="仿宋_GB2312"/>
                <w:sz w:val="21"/>
                <w:color w:val="000000"/>
              </w:rPr>
              <w:t>仪器控制、数据采集、数据后处理分析功能；满足软硬件运行要求的便携式数据采集处理系统：分辨率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3120</w:t>
            </w:r>
            <w:r>
              <w:rPr>
                <w:rFonts w:ascii="仿宋_GB2312" w:hAnsi="仿宋_GB2312" w:cs="仿宋_GB2312" w:eastAsia="仿宋_GB2312"/>
                <w:sz w:val="21"/>
                <w:color w:val="000000"/>
              </w:rPr>
              <w:t>×</w:t>
            </w:r>
            <w:r>
              <w:rPr>
                <w:rFonts w:ascii="仿宋_GB2312" w:hAnsi="仿宋_GB2312" w:cs="仿宋_GB2312" w:eastAsia="仿宋_GB2312"/>
                <w:sz w:val="21"/>
                <w:color w:val="000000"/>
              </w:rPr>
              <w:t>2080</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w:t>
            </w:r>
            <w:r>
              <w:rPr>
                <w:rFonts w:ascii="仿宋_GB2312" w:hAnsi="仿宋_GB2312" w:cs="仿宋_GB2312" w:eastAsia="仿宋_GB2312"/>
                <w:sz w:val="21"/>
                <w:color w:val="000000"/>
              </w:rPr>
              <w:t>USB-C</w:t>
            </w:r>
            <w:r>
              <w:rPr>
                <w:rFonts w:ascii="仿宋_GB2312" w:hAnsi="仿宋_GB2312" w:cs="仿宋_GB2312" w:eastAsia="仿宋_GB2312"/>
                <w:sz w:val="21"/>
                <w:color w:val="000000"/>
              </w:rPr>
              <w:t>接口，电池容量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0Wh</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英</w:t>
            </w:r>
            <w:r>
              <w:rPr>
                <w:rFonts w:ascii="仿宋_GB2312" w:hAnsi="仿宋_GB2312" w:cs="仿宋_GB2312" w:eastAsia="仿宋_GB2312"/>
                <w:sz w:val="21"/>
                <w:color w:val="000000"/>
              </w:rPr>
              <w:t>寸，运行内存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32GB</w:t>
            </w:r>
            <w:r>
              <w:rPr>
                <w:rFonts w:ascii="仿宋_GB2312" w:hAnsi="仿宋_GB2312" w:cs="仿宋_GB2312" w:eastAsia="仿宋_GB2312"/>
                <w:sz w:val="21"/>
                <w:color w:val="000000"/>
              </w:rPr>
              <w:t>，硬盘容量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5TB</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17.</w:t>
            </w:r>
            <w:r>
              <w:rPr>
                <w:rFonts w:ascii="仿宋_GB2312" w:hAnsi="仿宋_GB2312" w:cs="仿宋_GB2312" w:eastAsia="仿宋_GB2312"/>
                <w:sz w:val="21"/>
                <w:color w:val="000000"/>
              </w:rPr>
              <w:t>支架：承重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5Kg</w:t>
            </w:r>
            <w:r>
              <w:rPr>
                <w:rFonts w:ascii="仿宋_GB2312" w:hAnsi="仿宋_GB2312" w:cs="仿宋_GB2312" w:eastAsia="仿宋_GB2312"/>
                <w:sz w:val="21"/>
                <w:color w:val="000000"/>
              </w:rPr>
              <w:t>及</w:t>
            </w:r>
            <w:r>
              <w:rPr>
                <w:rFonts w:ascii="仿宋_GB2312" w:hAnsi="仿宋_GB2312" w:cs="仿宋_GB2312" w:eastAsia="仿宋_GB2312"/>
                <w:sz w:val="21"/>
                <w:color w:val="000000"/>
              </w:rPr>
              <w:t>360°</w:t>
            </w:r>
            <w:r>
              <w:rPr>
                <w:rFonts w:ascii="仿宋_GB2312" w:hAnsi="仿宋_GB2312" w:cs="仿宋_GB2312" w:eastAsia="仿宋_GB2312"/>
                <w:sz w:val="21"/>
                <w:color w:val="000000"/>
              </w:rPr>
              <w:t>旋转支架平台。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合同签订完成接采购人通知后60日内完成供货及安装工作，达到交付使用条件。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西安理工大学金花校区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合同签订后，中标人送货至指定地点，安装到位并经采购人验收合格后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招标文件、投标文件及技术澄清文件（函））； 国家/行业标准、规范（如GB、ISO、IEC等）。 （2）验收流程 ①到货初检（采购人、中标人共同参与）： 检查外包装完整性、防伪标识、运输损伤情况； 核对货物型号、数量、规格是否与合同一致； 检查随机文件（合格证、说明书、保修卡等）。 ②安装调试验收 执行原厂标准。 ③性能测试验收（关键指标实测） 连续运行48小时无故障； 关键参数与投标文件承诺值对比（允许±3%偏差）。 ④最终验收 签署《验收报告》，产品保修期自验收合格之日起算，由中标人提供产品保修文件。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（1）包装运输要求 包装标准：中标人提供产品及相关快递服务的包装要求，按照《商品包装政府采购需求标准（试行）》、《快递包装政府采购需求标准（试行）》执行，确保防潮、防震、防锈蚀； （2）运输方式：中标人自主选择，须购买全程运输保险，保证按期交付。不得断货，因断货造成的损失由中标人负责赔偿； （3）运输责任：运输由中标人负责，运杂费已包含在合同总价内。包括从货物供应地点运送至交付地点所含的运输费、装卸费、仓储费、保险费等； （4）存放与保管：货物到达采购人指定地点后，中标人应按有关技术规程和采购人要求进行存放，货物交货指定地址后保管责任由买方负责。</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lt;1&gt;质量保证：质保期1年，在质保期内供应商应提供本项目所有产品原制造厂商标准的售后服务并承担全部费用。在质保期外，供应商应提供终身的维修服务，维修所需的原材料费用由采购人承担，人工费由供应商承担。软件系统提供终身免费升级服务。要求制造商在中国建有售后服务中心且通过 ISO 质量体系认证及提供24小时内响应的售后维修服务。 &lt;2&gt;产品保修期（三包期）：自验收合格之日起1年 产品保修期（三包期）内，修理、更换、退货要求： （1）质量标准：中标人的产品质量应当符合国家行业规定的标准，并无任何瑕疵；中标人应按配置清单要求提供原装产品，除人为因素损坏外，对该产品实行三包（即包修、包退、包换，其中到货后7天内因质量问题原因可以协商整机包退或包换，7天后实行包修或更换有故障的部件。），免费提供所有设备正常使用所需的备品备件，且中标人维修所更换的配件和备品备件均为原设备厂家生产； （2）不符约定处理：如交付品种、型号、规格不符合同约定的，由中标人负责退换，由此产生的一切费用及给采购人造成的相关损失由中标人全部承担并赔偿相应损失； （3）不能修理或调换：如不能修理或者不能调换的，按不能交货处理，因此给采购人造成的所有经济损失中标人应予全额赔偿； （4）质保服务：保修期内由中标人免费质保，采购人报修后三日内投标人必须响应，否则将依据有关法律法规进行追偿； （5）瑕疵责任：中标人提供产品应无任何瑕疵，符合国际、国内相关标准。如在使用过程中本产品存在隐蔽瑕疵造成医疗事故而引发的纠纷，由中标人全额负责赔偿，并免费为采购人修复瑕疵或更新换代，期间产生的费用均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中标供应商未按合同约定的交货日期交货的，每逾期一日，向采购人支付逾期交付货物价款的0.3%的违约金，但不超过合同总金额的10%。中标供应商支付逾期交货违约金并不免除其交货的责任。 如中标供应商在政府采购合同规定的交货日期后仍未能交货，则视为中标供应商不能交货，采购人有权解除政府采购合同，中标供应商除退还已收取的货款外，还应向采购人偿付政府采购合同总金额10%的违约金。 中标供应商所交付货物及伴随的工程或服务不符合其投标承诺，存在偷工减料、以次充好情形的，采购人要求更换一次后仍不符合约定的，采购人有权解除政府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中标人在领取中标通知书时需提交纸质版投标文件正本壹份、副本贰套。质版文件内容应与电子版文件内容保持一致。纸质版投标文件的正本和副本应采用粘贴方式左侧装订，不得采用活页夹的可随时拆换的方式装订，不得有零散页。应按档案要求必须编制目录，无少页、缺页的现象，并连续页码（汇编材料要求首封面开始算第1页，后面只要有字的都算一页，连续编辑页码，尾封面有字算页码，无字不算页码，并在书脊处清楚写明项目名称）。文件送达地点：西安市未央区太华北路甲字88号大明宫中央广场A座22层代理部； （2）以保函形式交纳投标保证金的，供应商应在投标截止时间前将保函扫描成清晰的PDF文件，发送至邮箱670920970@qq.com（邮件或保证金转账命名：项目编号），并将保函原件单独递交至代理机构；供应商应在投标文件中附保函复印件或扫描件。保函须由具有开具投标保函资格的单位开具；若供应商违约，开具保函单位承担连带责任。 （3）安装调试要求 安装标准：执行原厂标准。 调试周期：连续72小时无故障运行测试； 人员培训：提供相关操作人员培训资料。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具有财务审计资质的单位出具的财务审计报告（成立时间至投标时间不足一年的可提供成立后任意时段的财务报表）或投标前三个月内基本开户银行出具的资信证明或财政部门认可的政府采购专业担保机构出具的投标担保函（复印件或扫描件加盖供应商单位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的单位出具的财务审计报告（成立时间至投标时间不足一年的可提供成立后任意时段的财务报表）或投标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提供自2025年01月01日至递交投标文件截止之日内任意一个月的社会保障资金缴存单据或社保机构开具的社会保险参保缴费情况证明。依法不需要缴纳社会保障资金的供应商应提供相关文件证明。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提供自2025年01月01日至递交投标文件截止之日内已缴存任意一个月的依法缴纳税收的相关凭据，凭据应有税务机关或代收机关的公章或业务专用章。依法免税或无须缴纳税收的供应商，应提供相应证明文件。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按招标文件格式要求加盖供应商公章和法定代表人或其委托代理人签字或加盖人名章。</w:t>
            </w:r>
          </w:p>
        </w:tc>
        <w:tc>
          <w:tcPr>
            <w:tcW w:type="dxa" w:w="1661"/>
          </w:tcPr>
          <w:p>
            <w:pPr>
              <w:pStyle w:val="null3"/>
            </w:pPr>
            <w:r>
              <w:rPr>
                <w:rFonts w:ascii="仿宋_GB2312" w:hAnsi="仿宋_GB2312" w:cs="仿宋_GB2312" w:eastAsia="仿宋_GB2312"/>
              </w:rPr>
              <w:t>偏离表 开标一览表 响应分项报价表 产品技术参数表 投标函 中小企业声明函 残疾人福利性单位声明函 商务应答表 供应商应提交的相关资格证明材料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带“★”符合“技术参数与性能指标”要求，无重大偏差</w:t>
            </w:r>
          </w:p>
        </w:tc>
        <w:tc>
          <w:tcPr>
            <w:tcW w:type="dxa" w:w="1661"/>
          </w:tcPr>
          <w:p>
            <w:pPr>
              <w:pStyle w:val="null3"/>
            </w:pPr>
            <w:r>
              <w:rPr>
                <w:rFonts w:ascii="仿宋_GB2312" w:hAnsi="仿宋_GB2312" w:cs="仿宋_GB2312" w:eastAsia="仿宋_GB2312"/>
              </w:rPr>
              <w:t>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根据技术参数与性能指标响应情况打分，完全满足采购技术要求的，得满分；标记为“▲”为重要技术条款，“▲”技术指标每负偏离一项扣5分；普通参数（偏离表）负偏离一项扣2.5分，扣完为止。 以上标记为“▲”项参数须有佐证材料，佐证材料例如：国家认可的检测机构出具的检测报告，产品彩页，官网功能截图等任意一种，不提供或缺漏项不得分。 注：投标人自行承担因材料提供不全导致的技术参数评审风险。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投标人需针对本项目提供完整的项目实施方案。内容包含：①供货组织及进度安排②对接及运输方案③安装调试方案④人员、物力调配安排。 二、评审标准 1、完整性：方案必须全面，对评审内容中的各项要求有详细描述； 2、可实施性：切合本项目实际情况，提出步骤清晰、合理的方案； 3、针对性：方案能够紧扣项目实际情况，内容科学合理。 三、赋分依据（满分6分） ①供货组织及进度安排：每完全满足一个评审标准得0.5分，满分1.5分； ②对接及运输方案:每完全满足一个评审标准得0.5分，满分1.5分； ③安装调试方案:每完全满足一个评审标准得0.5分，满分1.5分； ④人员、物力调配安排：每完全满足一个评审标准得0.5分，满分1.5分。 以上内容有缺陷扣0.5分，缺项或未提供得0分。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根据项目实际需求，提供质量保证方案。内容包含：①产品性能②使用效果③与高速相机联调联试； 二、评审标准 1、完整性：方案必须全面，对评审内容中的各项要求有详细描述； 2、可实施性：切合本项目实际情况，提出步骤清晰、合理的方案； 3、针对性：方案能够紧扣项目实际情况，内容科学合理。 三、赋分依据（满分9分） ①产品性能：每完全满足一个评审标准得1分，满分3分； ②使用及效果:每完全满足一个评审标准得1分，满分3分； ③与高速相机联调联试:每完全满足一个评审标准得1分，满分3分。 以上内容有缺陷扣0.5分，缺项或未提供得0分。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货期保证</w:t>
            </w:r>
          </w:p>
        </w:tc>
        <w:tc>
          <w:tcPr>
            <w:tcW w:type="dxa" w:w="2492"/>
          </w:tcPr>
          <w:p>
            <w:pPr>
              <w:pStyle w:val="null3"/>
            </w:pPr>
            <w:r>
              <w:rPr>
                <w:rFonts w:ascii="仿宋_GB2312" w:hAnsi="仿宋_GB2312" w:cs="仿宋_GB2312" w:eastAsia="仿宋_GB2312"/>
              </w:rPr>
              <w:t>承诺货期优于招标要求，每提前5天得1.5分，共计3分。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提供投标人2022年12月1日至今类似项目合同，每提供1个计1分，最高得5分（以合同签订日期为准）。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根据项目实际需求提供售后服务方案。内容包含：①售后服务范围②响应时间及方式及故障处理及补救措施③制造商国内完全维修能力承诺函④定期回访及维护。 二、评审标准 1、完整性：方案必须全面，对评审内容中的各项要求有详细描述； 2、可实施性：切合本项目实际情况，提出步骤清晰、合理的方案； 3、针对性：方案能够紧扣项目实际情况，内容科学合理。 三、赋分依据（满分12分） ①售后服务范围：每完全满足一个评审标准得1分，满分3分； ②响应时间及方式及故障处理及补救措施:每完全满足一个评审标准得1分，满分3分； ③制造商国内完全维修能力承诺函:每完全满足一个评审标准得1分，满分3分； ④定期回访及维护:每完全满足一个评审标准得1分，满分3分； 以上内容有缺陷扣0.5分，缺项或未提供得0分。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提供增值服务承诺：承诺在到货前提供与投标货物相同型号及配置的样机供临时应急使用的供应商得3分，满分3分。无承诺不得分。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制造商承诺质保期在满足招标文件（1年）要求的基础上，每增加一年得1分，满2分。无承诺不得分。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详见附件：响应分项报价表</w:t>
      </w:r>
    </w:p>
    <w:p>
      <w:pPr>
        <w:pStyle w:val="null3"/>
        <w:ind w:firstLine="960"/>
      </w:pPr>
      <w:r>
        <w:rPr>
          <w:rFonts w:ascii="仿宋_GB2312" w:hAnsi="仿宋_GB2312" w:cs="仿宋_GB2312" w:eastAsia="仿宋_GB2312"/>
        </w:rPr>
        <w:t>详见附件：偏离表</w:t>
      </w:r>
    </w:p>
    <w:p>
      <w:pPr>
        <w:pStyle w:val="null3"/>
        <w:ind w:firstLine="960"/>
      </w:pPr>
      <w:r>
        <w:rPr>
          <w:rFonts w:ascii="仿宋_GB2312" w:hAnsi="仿宋_GB2312" w:cs="仿宋_GB2312" w:eastAsia="仿宋_GB2312"/>
        </w:rPr>
        <w:t>详见附件：响应方案说明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