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版本号：SZT2025-SN-SC-ZC-HW-1287.20251226001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放疗一体化固定架等医疗设备采购项目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SZT2025-SN-SC-ZC-HW-1287.</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放疗一体化固定架等医疗设备采购项目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SZT2025-SN-SC-ZC-HW-1287.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放疗一体化固定架等医疗设备采购项目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放疗一体化固定架、中药汤剂包装机等医疗设备采购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1、授权委托书：法定代表人直接参加投标的，须提供法定代表人身份证，并与营业执照上信息一致。法定代表人授权代表参加投标的，须提供法定代表人授权书；</w:t>
      </w:r>
    </w:p>
    <w:p>
      <w:pPr>
        <w:pStyle w:val="null3"/>
      </w:pPr>
      <w:r>
        <w:rPr>
          <w:rFonts w:ascii="仿宋_GB2312" w:hAnsi="仿宋_GB2312" w:cs="仿宋_GB2312" w:eastAsia="仿宋_GB2312"/>
        </w:rPr>
        <w:t>2、医疗器械经营许可证或医疗器械经营备案证：提供供应商医疗器械经营许可证或医疗器械经营备案证；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3、生产厂家的医疗器械生产许可证或医疗器械生产备案证：投标产品属于医疗器械的提供生产厂家的医疗器械生产许可证或医疗器械生产备案证；</w:t>
      </w:r>
    </w:p>
    <w:p>
      <w:pPr>
        <w:pStyle w:val="null3"/>
      </w:pPr>
      <w:r>
        <w:rPr>
          <w:rFonts w:ascii="仿宋_GB2312" w:hAnsi="仿宋_GB2312" w:cs="仿宋_GB2312" w:eastAsia="仿宋_GB2312"/>
        </w:rPr>
        <w:t>4、所投产品医疗器械注册证或医疗器械备案凭证：投标产品属于医疗器械管理的提供医疗器械注册证或医疗器械备案凭证，如国家规定免注册产品提供相关证明文件；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开户名称：陕西中技招标有限公司（转账备注项目编号后四位数字，咨询电话：029-88364979-863））</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收费标准，按照成交金额差额定率累进法计算收取（不足人民币柒仟元按柒仟元计取）。此代理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陕西省肿瘤医院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放疗一体化固定架、中药汤剂包装机等医疗设备采购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1,041,000.00</w:t>
      </w:r>
    </w:p>
    <w:p>
      <w:pPr>
        <w:pStyle w:val="null3"/>
      </w:pPr>
      <w:r>
        <w:rPr>
          <w:rFonts w:ascii="仿宋_GB2312" w:hAnsi="仿宋_GB2312" w:cs="仿宋_GB2312" w:eastAsia="仿宋_GB2312"/>
        </w:rPr>
        <w:t>采购包最高限价（元）: 899,000.00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放疗一体化固定架等医疗设备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标的名称：放疗一体化固定架等医疗设备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04"/>
              <w:gridCol w:w="740"/>
              <w:gridCol w:w="290"/>
              <w:gridCol w:w="295"/>
              <w:gridCol w:w="440"/>
              <w:gridCol w:w="572"/>
            </w:tblGrid>
            <w:tr>
              <w:tc>
                <w:tcPr>
                  <w:tcW w:type="dxa" w:w="2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60"/>
                    <w:jc w:val="center"/>
                  </w:pPr>
                  <w:r>
                    <w:rPr>
                      <w:rFonts w:ascii="仿宋_GB2312" w:hAnsi="仿宋_GB2312" w:cs="仿宋_GB2312" w:eastAsia="仿宋_GB2312"/>
                      <w:sz w:val="20"/>
                      <w:color w:val="000000"/>
                    </w:rPr>
                    <w:t>序号</w:t>
                  </w:r>
                </w:p>
              </w:tc>
              <w:tc>
                <w:tcPr>
                  <w:tcW w:type="dxa" w:w="7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color w:val="000000"/>
                    </w:rPr>
                    <w:t>设备名称</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20" w:firstLine="268"/>
                    <w:jc w:val="both"/>
                  </w:pPr>
                  <w:r>
                    <w:rPr>
                      <w:rFonts w:ascii="仿宋_GB2312" w:hAnsi="仿宋_GB2312" w:cs="仿宋_GB2312" w:eastAsia="仿宋_GB2312"/>
                      <w:sz w:val="20"/>
                      <w:color w:val="000000"/>
                    </w:rPr>
                    <w:t>数量</w:t>
                  </w:r>
                </w:p>
              </w:tc>
              <w:tc>
                <w:tcPr>
                  <w:tcW w:type="dxa" w:w="2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0"/>
                      <w:color w:val="000000"/>
                    </w:rPr>
                    <w:t>单价</w:t>
                  </w:r>
                  <w:r>
                    <w:rPr>
                      <w:rFonts w:ascii="仿宋_GB2312" w:hAnsi="仿宋_GB2312" w:cs="仿宋_GB2312" w:eastAsia="仿宋_GB2312"/>
                      <w:sz w:val="20"/>
                      <w:color w:val="000000"/>
                    </w:rPr>
                    <w:t>最</w:t>
                  </w:r>
                  <w:r>
                    <w:rPr>
                      <w:rFonts w:ascii="仿宋_GB2312" w:hAnsi="仿宋_GB2312" w:cs="仿宋_GB2312" w:eastAsia="仿宋_GB2312"/>
                      <w:sz w:val="20"/>
                      <w:color w:val="000000"/>
                    </w:rPr>
                    <w:t>高</w:t>
                  </w:r>
                </w:p>
                <w:p>
                  <w:pPr>
                    <w:pStyle w:val="null3"/>
                    <w:spacing w:before="195"/>
                    <w:jc w:val="center"/>
                  </w:pPr>
                  <w:r>
                    <w:rPr>
                      <w:rFonts w:ascii="仿宋_GB2312" w:hAnsi="仿宋_GB2312" w:cs="仿宋_GB2312" w:eastAsia="仿宋_GB2312"/>
                      <w:sz w:val="20"/>
                      <w:color w:val="000000"/>
                    </w:rPr>
                    <w:t>限价</w:t>
                  </w:r>
                </w:p>
                <w:p>
                  <w:pPr>
                    <w:pStyle w:val="null3"/>
                    <w:spacing w:before="195"/>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万元</w:t>
                  </w:r>
                  <w:r>
                    <w:rPr>
                      <w:rFonts w:ascii="仿宋_GB2312" w:hAnsi="仿宋_GB2312" w:cs="仿宋_GB2312" w:eastAsia="仿宋_GB2312"/>
                      <w:sz w:val="20"/>
                      <w:color w:val="000000"/>
                    </w:rPr>
                    <w:t>）</w:t>
                  </w:r>
                </w:p>
              </w:tc>
              <w:tc>
                <w:tcPr>
                  <w:tcW w:type="dxa" w:w="4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0"/>
                      <w:color w:val="000000"/>
                    </w:rPr>
                    <w:t>进</w:t>
                  </w:r>
                  <w:r>
                    <w:rPr>
                      <w:rFonts w:ascii="仿宋_GB2312" w:hAnsi="仿宋_GB2312" w:cs="仿宋_GB2312" w:eastAsia="仿宋_GB2312"/>
                      <w:sz w:val="20"/>
                      <w:color w:val="000000"/>
                    </w:rPr>
                    <w:t>口</w:t>
                  </w:r>
                  <w:r>
                    <w:rPr>
                      <w:rFonts w:ascii="仿宋_GB2312" w:hAnsi="仿宋_GB2312" w:cs="仿宋_GB2312" w:eastAsia="仿宋_GB2312"/>
                      <w:sz w:val="20"/>
                      <w:color w:val="000000"/>
                    </w:rPr>
                    <w:t>国</w:t>
                  </w:r>
                  <w:r>
                    <w:rPr>
                      <w:rFonts w:ascii="仿宋_GB2312" w:hAnsi="仿宋_GB2312" w:cs="仿宋_GB2312" w:eastAsia="仿宋_GB2312"/>
                      <w:sz w:val="20"/>
                      <w:color w:val="000000"/>
                    </w:rPr>
                    <w:t>产</w:t>
                  </w:r>
                </w:p>
              </w:tc>
              <w:tc>
                <w:tcPr>
                  <w:tcW w:type="dxa" w:w="5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right="105"/>
                    <w:jc w:val="center"/>
                  </w:pPr>
                  <w:r>
                    <w:rPr>
                      <w:rFonts w:ascii="仿宋_GB2312" w:hAnsi="仿宋_GB2312" w:cs="仿宋_GB2312" w:eastAsia="仿宋_GB2312"/>
                      <w:sz w:val="20"/>
                      <w:color w:val="000000"/>
                    </w:rPr>
                    <w:t>核心产品</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jc w:val="center"/>
                  </w:pPr>
                  <w:r>
                    <w:rPr>
                      <w:rFonts w:ascii="仿宋_GB2312" w:hAnsi="仿宋_GB2312" w:cs="仿宋_GB2312" w:eastAsia="仿宋_GB2312"/>
                      <w:sz w:val="20"/>
                      <w:color w:val="000000"/>
                    </w:rPr>
                    <w:t>1</w:t>
                  </w:r>
                </w:p>
              </w:tc>
              <w:tc>
                <w:tcPr>
                  <w:tcW w:type="dxa" w:w="7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放疗一体化固定架</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13</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国产</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是</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jc w:val="center"/>
                  </w:pPr>
                  <w:r>
                    <w:rPr>
                      <w:rFonts w:ascii="仿宋_GB2312" w:hAnsi="仿宋_GB2312" w:cs="仿宋_GB2312" w:eastAsia="仿宋_GB2312"/>
                      <w:sz w:val="20"/>
                      <w:color w:val="000000"/>
                    </w:rPr>
                    <w:t>2</w:t>
                  </w:r>
                </w:p>
              </w:tc>
              <w:tc>
                <w:tcPr>
                  <w:tcW w:type="dxa" w:w="7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中药汤剂包装机</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1.3</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国产</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否</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jc w:val="center"/>
                  </w:pPr>
                  <w:r>
                    <w:rPr>
                      <w:rFonts w:ascii="仿宋_GB2312" w:hAnsi="仿宋_GB2312" w:cs="仿宋_GB2312" w:eastAsia="仿宋_GB2312"/>
                      <w:sz w:val="20"/>
                      <w:color w:val="000000"/>
                    </w:rPr>
                    <w:t>3</w:t>
                  </w:r>
                </w:p>
              </w:tc>
              <w:tc>
                <w:tcPr>
                  <w:tcW w:type="dxa" w:w="7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自动煎药机</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2.4</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国产</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否</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0"/>
                    <w:jc w:val="center"/>
                  </w:pPr>
                  <w:r>
                    <w:rPr>
                      <w:rFonts w:ascii="仿宋_GB2312" w:hAnsi="仿宋_GB2312" w:cs="仿宋_GB2312" w:eastAsia="仿宋_GB2312"/>
                      <w:sz w:val="20"/>
                      <w:color w:val="000000"/>
                    </w:rPr>
                    <w:t>4</w:t>
                  </w:r>
                </w:p>
              </w:tc>
              <w:tc>
                <w:tcPr>
                  <w:tcW w:type="dxa" w:w="7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密闭煎药机</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1.5</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国产</w:t>
                  </w:r>
                </w:p>
              </w:tc>
              <w:tc>
                <w:tcPr>
                  <w:tcW w:type="dxa" w:w="5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否</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590"/>
              <w:gridCol w:w="1957"/>
            </w:tblGrid>
            <w:tr>
              <w:tc>
                <w:tcPr>
                  <w:tcW w:type="dxa" w:w="5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65"/>
                  </w:pPr>
                  <w:r>
                    <w:rPr>
                      <w:rFonts w:ascii="仿宋_GB2312" w:hAnsi="仿宋_GB2312" w:cs="仿宋_GB2312" w:eastAsia="仿宋_GB2312"/>
                      <w:sz w:val="20"/>
                      <w:color w:val="000000"/>
                    </w:rPr>
                    <w:t>总体要求</w:t>
                  </w:r>
                </w:p>
              </w:tc>
              <w:tc>
                <w:tcPr>
                  <w:tcW w:type="dxa" w:w="19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pPr>
                  <w:r>
                    <w:rPr>
                      <w:rFonts w:ascii="仿宋_GB2312" w:hAnsi="仿宋_GB2312" w:cs="仿宋_GB2312" w:eastAsia="仿宋_GB2312"/>
                      <w:sz w:val="20"/>
                      <w:color w:val="000000"/>
                    </w:rPr>
                    <w:t>放疗一体化</w:t>
                  </w:r>
                  <w:r>
                    <w:rPr>
                      <w:rFonts w:ascii="仿宋_GB2312" w:hAnsi="仿宋_GB2312" w:cs="仿宋_GB2312" w:eastAsia="仿宋_GB2312"/>
                      <w:sz w:val="20"/>
                      <w:color w:val="000000"/>
                    </w:rPr>
                    <w:t>固定架须</w:t>
                  </w:r>
                  <w:r>
                    <w:rPr>
                      <w:rFonts w:ascii="仿宋_GB2312" w:hAnsi="仿宋_GB2312" w:cs="仿宋_GB2312" w:eastAsia="仿宋_GB2312"/>
                      <w:sz w:val="20"/>
                      <w:color w:val="000000"/>
                    </w:rPr>
                    <w:t>与</w:t>
                  </w:r>
                  <w:r>
                    <w:rPr>
                      <w:rFonts w:ascii="仿宋_GB2312" w:hAnsi="仿宋_GB2312" w:cs="仿宋_GB2312" w:eastAsia="仿宋_GB2312"/>
                      <w:sz w:val="20"/>
                      <w:color w:val="000000"/>
                    </w:rPr>
                    <w:t>我</w:t>
                  </w:r>
                  <w:r>
                    <w:rPr>
                      <w:rFonts w:ascii="仿宋_GB2312" w:hAnsi="仿宋_GB2312" w:cs="仿宋_GB2312" w:eastAsia="仿宋_GB2312"/>
                      <w:sz w:val="20"/>
                      <w:color w:val="000000"/>
                    </w:rPr>
                    <w:t>院加速器</w:t>
                  </w:r>
                  <w:r>
                    <w:rPr>
                      <w:rFonts w:ascii="仿宋_GB2312" w:hAnsi="仿宋_GB2312" w:cs="仿宋_GB2312" w:eastAsia="仿宋_GB2312"/>
                      <w:sz w:val="20"/>
                      <w:color w:val="000000"/>
                    </w:rPr>
                    <w:t>（</w:t>
                  </w:r>
                  <w:r>
                    <w:rPr>
                      <w:rFonts w:ascii="仿宋_GB2312" w:hAnsi="仿宋_GB2312" w:cs="仿宋_GB2312" w:eastAsia="仿宋_GB2312"/>
                      <w:sz w:val="20"/>
                      <w:color w:val="000000"/>
                    </w:rPr>
                    <w:t>瓦里安、医科达</w:t>
                  </w:r>
                  <w:r>
                    <w:rPr>
                      <w:rFonts w:ascii="仿宋_GB2312" w:hAnsi="仿宋_GB2312" w:cs="仿宋_GB2312" w:eastAsia="仿宋_GB2312"/>
                      <w:sz w:val="20"/>
                      <w:color w:val="000000"/>
                    </w:rPr>
                    <w:t>）</w:t>
                  </w:r>
                  <w:r>
                    <w:rPr>
                      <w:rFonts w:ascii="仿宋_GB2312" w:hAnsi="仿宋_GB2312" w:cs="仿宋_GB2312" w:eastAsia="仿宋_GB2312"/>
                      <w:sz w:val="20"/>
                      <w:color w:val="000000"/>
                    </w:rPr>
                    <w:t>及</w:t>
                  </w:r>
                  <w:r>
                    <w:rPr>
                      <w:rFonts w:ascii="仿宋_GB2312" w:hAnsi="仿宋_GB2312" w:cs="仿宋_GB2312" w:eastAsia="仿宋_GB2312"/>
                      <w:sz w:val="20"/>
                      <w:color w:val="000000"/>
                    </w:rPr>
                    <w:t>CT</w:t>
                  </w:r>
                  <w:r>
                    <w:rPr>
                      <w:rFonts w:ascii="仿宋_GB2312" w:hAnsi="仿宋_GB2312" w:cs="仿宋_GB2312" w:eastAsia="仿宋_GB2312"/>
                      <w:sz w:val="20"/>
                      <w:color w:val="000000"/>
                    </w:rPr>
                    <w:t>（</w:t>
                  </w:r>
                  <w:r>
                    <w:rPr>
                      <w:rFonts w:ascii="仿宋_GB2312" w:hAnsi="仿宋_GB2312" w:cs="仿宋_GB2312" w:eastAsia="仿宋_GB2312"/>
                      <w:sz w:val="20"/>
                      <w:color w:val="000000"/>
                    </w:rPr>
                    <w:t>飞利浦</w:t>
                  </w:r>
                  <w:r>
                    <w:rPr>
                      <w:rFonts w:ascii="仿宋_GB2312" w:hAnsi="仿宋_GB2312" w:cs="仿宋_GB2312" w:eastAsia="仿宋_GB2312"/>
                      <w:sz w:val="20"/>
                      <w:color w:val="000000"/>
                    </w:rPr>
                    <w:t>）</w:t>
                  </w:r>
                  <w:r>
                    <w:rPr>
                      <w:rFonts w:ascii="仿宋_GB2312" w:hAnsi="仿宋_GB2312" w:cs="仿宋_GB2312" w:eastAsia="仿宋_GB2312"/>
                      <w:sz w:val="20"/>
                      <w:color w:val="000000"/>
                    </w:rPr>
                    <w:t>定位床相匹配，每套配备</w:t>
                  </w:r>
                  <w:r>
                    <w:rPr>
                      <w:rFonts w:ascii="仿宋_GB2312" w:hAnsi="仿宋_GB2312" w:cs="仿宋_GB2312" w:eastAsia="仿宋_GB2312"/>
                      <w:sz w:val="20"/>
                      <w:color w:val="000000"/>
                    </w:rPr>
                    <w:t>2条适配条。</w:t>
                  </w:r>
                </w:p>
              </w:tc>
            </w:tr>
            <w:tr>
              <w:tc>
                <w:tcPr>
                  <w:tcW w:type="dxa" w:w="5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设备名称</w:t>
                  </w:r>
                </w:p>
              </w:tc>
              <w:tc>
                <w:tcPr>
                  <w:tcW w:type="dxa" w:w="19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技术参数</w:t>
                  </w:r>
                </w:p>
              </w:tc>
            </w:tr>
            <w:tr>
              <w:tc>
                <w:tcPr>
                  <w:tcW w:type="dxa" w:w="59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放疗一体化固定架</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主架：</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1、功能：用于放射治疗过程中体位的固定，包括头部、头颈肩部及胸腹部的体位固定。</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jc w:val="left"/>
                  </w:pPr>
                  <w:r>
                    <w:rPr>
                      <w:rFonts w:ascii="仿宋_GB2312" w:hAnsi="仿宋_GB2312" w:cs="仿宋_GB2312" w:eastAsia="仿宋_GB2312"/>
                      <w:sz w:val="20"/>
                      <w:color w:val="000000"/>
                    </w:rPr>
                    <w:t>2、尺寸:长度≥120cm，宽度≥50cm，厚度≥2cm；主体材质：碳纤维。</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jc w:val="left"/>
                  </w:pPr>
                  <w:r>
                    <w:rPr>
                      <w:rFonts w:ascii="仿宋_GB2312" w:hAnsi="仿宋_GB2312" w:cs="仿宋_GB2312" w:eastAsia="仿宋_GB2312"/>
                      <w:sz w:val="20"/>
                      <w:color w:val="000000"/>
                    </w:rPr>
                    <w:t>3、底板射线穿透系数≥0.</w:t>
                  </w:r>
                  <w:r>
                    <w:rPr>
                      <w:rFonts w:ascii="仿宋_GB2312" w:hAnsi="仿宋_GB2312" w:cs="仿宋_GB2312" w:eastAsia="仿宋_GB2312"/>
                      <w:sz w:val="20"/>
                      <w:color w:val="000000"/>
                    </w:rPr>
                    <w:t>98</w:t>
                  </w:r>
                  <w:r>
                    <w:rPr>
                      <w:rFonts w:ascii="仿宋_GB2312" w:hAnsi="仿宋_GB2312" w:cs="仿宋_GB2312" w:eastAsia="仿宋_GB2312"/>
                      <w:sz w:val="20"/>
                      <w:color w:val="000000"/>
                    </w:rPr>
                    <w:t>（</w:t>
                  </w:r>
                  <w:r>
                    <w:rPr>
                      <w:rFonts w:ascii="仿宋_GB2312" w:hAnsi="仿宋_GB2312" w:cs="仿宋_GB2312" w:eastAsia="仿宋_GB2312"/>
                      <w:sz w:val="20"/>
                      <w:color w:val="000000"/>
                    </w:rPr>
                    <w:t>6MV</w:t>
                  </w:r>
                  <w:r>
                    <w:rPr>
                      <w:rFonts w:ascii="仿宋_GB2312" w:hAnsi="仿宋_GB2312" w:cs="仿宋_GB2312" w:eastAsia="仿宋_GB2312"/>
                      <w:sz w:val="20"/>
                      <w:color w:val="000000"/>
                    </w:rPr>
                    <w:t>条件下</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4、能搭配头部、颈部、颈胸部、胸部、腹部等部位的定位膜使用；体板边缘可直接固定腹部加压呼吸带、桥架和定位杆。</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5、配卡销式真空袋固定。</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▲6、体宽方向有调节档位≥3个，满足不同体型患者固定要求。</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拓展功能：</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1、手臂支撑架</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1.1 用于胸部/腹部/乳腺放疗时上举手臂的支撑。</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1.2 手臂支撑架底板每边腕托的定位孔</w:t>
                  </w:r>
                  <w:r>
                    <w:rPr>
                      <w:rFonts w:ascii="仿宋_GB2312" w:hAnsi="仿宋_GB2312" w:cs="仿宋_GB2312" w:eastAsia="仿宋_GB2312"/>
                      <w:sz w:val="20"/>
                      <w:color w:val="000000"/>
                    </w:rPr>
                    <w:t>≥</w:t>
                  </w:r>
                  <w:r>
                    <w:rPr>
                      <w:rFonts w:ascii="仿宋_GB2312" w:hAnsi="仿宋_GB2312" w:cs="仿宋_GB2312" w:eastAsia="仿宋_GB2312"/>
                      <w:sz w:val="20"/>
                      <w:color w:val="000000"/>
                    </w:rPr>
                    <w:t>15</w:t>
                  </w:r>
                  <w:r>
                    <w:rPr>
                      <w:rFonts w:ascii="仿宋_GB2312" w:hAnsi="仿宋_GB2312" w:cs="仿宋_GB2312" w:eastAsia="仿宋_GB2312"/>
                      <w:sz w:val="20"/>
                      <w:color w:val="000000"/>
                    </w:rPr>
                    <w:t>个</w:t>
                  </w:r>
                  <w:r>
                    <w:rPr>
                      <w:rFonts w:ascii="仿宋_GB2312" w:hAnsi="仿宋_GB2312" w:cs="仿宋_GB2312" w:eastAsia="仿宋_GB2312"/>
                      <w:sz w:val="20"/>
                      <w:color w:val="000000"/>
                    </w:rPr>
                    <w:t>。</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▲1.3 腕托支撑高度可调节档位≥5个。</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1.4 手臂支撑架需配置两个手臂托，左右各一。</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1.5 手臂支撑架需配置两个腕托，左右各一。</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1.6 手臂托前后可调节≥120mm,高度档位≥6</w:t>
                  </w:r>
                  <w:r>
                    <w:rPr>
                      <w:rFonts w:ascii="仿宋_GB2312" w:hAnsi="仿宋_GB2312" w:cs="仿宋_GB2312" w:eastAsia="仿宋_GB2312"/>
                      <w:sz w:val="20"/>
                      <w:color w:val="000000"/>
                    </w:rPr>
                    <w:t>个</w:t>
                  </w:r>
                  <w:r>
                    <w:rPr>
                      <w:rFonts w:ascii="仿宋_GB2312" w:hAnsi="仿宋_GB2312" w:cs="仿宋_GB2312" w:eastAsia="仿宋_GB2312"/>
                      <w:sz w:val="20"/>
                      <w:color w:val="000000"/>
                    </w:rPr>
                    <w:t>。</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2、适配条</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2.1材质：碳纤维</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3 .俯卧位泡棉软垫</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3.1 配盆腔俯卧位泡棉软垫，满足盆腔俯卧位放射治疗摆位需求。</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3.2 头部把手≥3档可调，满足不同体型定位需求。</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3.3 头部软垫和体部软垫采用分体设计，头部软垫配置≥4档可调，适合不同体型。</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3.4  能配合真空袋一起使用</w:t>
                  </w:r>
                  <w:r>
                    <w:rPr>
                      <w:rFonts w:ascii="仿宋_GB2312" w:hAnsi="仿宋_GB2312" w:cs="仿宋_GB2312" w:eastAsia="仿宋_GB2312"/>
                      <w:sz w:val="20"/>
                      <w:color w:val="000000"/>
                    </w:rPr>
                    <w:t>。</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4. 弓形桥架</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4.1  具有用于SBRT立体定向放射治疗呼吸幅度限制的弓形桥架。</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▲4.2弓形桥架尺采用卡扣式拆装设计，两层高度可调，一键锁紧设计。</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4.3  弓形桥架压腹板可升降调节距离≥</w:t>
                  </w:r>
                  <w:r>
                    <w:rPr>
                      <w:rFonts w:ascii="仿宋_GB2312" w:hAnsi="仿宋_GB2312" w:cs="仿宋_GB2312" w:eastAsia="仿宋_GB2312"/>
                      <w:sz w:val="20"/>
                      <w:color w:val="000000"/>
                    </w:rPr>
                    <w:t>8</w:t>
                  </w:r>
                  <w:r>
                    <w:rPr>
                      <w:rFonts w:ascii="仿宋_GB2312" w:hAnsi="仿宋_GB2312" w:cs="仿宋_GB2312" w:eastAsia="仿宋_GB2312"/>
                      <w:sz w:val="20"/>
                      <w:color w:val="000000"/>
                    </w:rPr>
                    <w:t>cm，用于控制患者呼吸幅度微调。</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5. 腹部气囊加压装</w:t>
                  </w:r>
                  <w:r>
                    <w:rPr>
                      <w:rFonts w:ascii="仿宋_GB2312" w:hAnsi="仿宋_GB2312" w:cs="仿宋_GB2312" w:eastAsia="仿宋_GB2312"/>
                      <w:sz w:val="20"/>
                      <w:color w:val="000000"/>
                    </w:rPr>
                    <w:t>置</w:t>
                  </w:r>
                  <w:r>
                    <w:rPr>
                      <w:rFonts w:ascii="仿宋_GB2312" w:hAnsi="仿宋_GB2312" w:cs="仿宋_GB2312" w:eastAsia="仿宋_GB2312"/>
                      <w:sz w:val="20"/>
                      <w:color w:val="000000"/>
                    </w:rPr>
                    <w:t>（</w:t>
                  </w:r>
                  <w:r>
                    <w:rPr>
                      <w:rFonts w:ascii="仿宋_GB2312" w:hAnsi="仿宋_GB2312" w:cs="仿宋_GB2312" w:eastAsia="仿宋_GB2312"/>
                      <w:sz w:val="20"/>
                      <w:color w:val="000000"/>
                    </w:rPr>
                    <w:t>压力表及压腹带</w:t>
                  </w:r>
                  <w:r>
                    <w:rPr>
                      <w:rFonts w:ascii="仿宋_GB2312" w:hAnsi="仿宋_GB2312" w:cs="仿宋_GB2312" w:eastAsia="仿宋_GB2312"/>
                      <w:sz w:val="20"/>
                      <w:color w:val="000000"/>
                    </w:rPr>
                    <w:t>1套</w:t>
                  </w:r>
                  <w:r>
                    <w:rPr>
                      <w:rFonts w:ascii="仿宋_GB2312" w:hAnsi="仿宋_GB2312" w:cs="仿宋_GB2312" w:eastAsia="仿宋_GB2312"/>
                      <w:sz w:val="20"/>
                      <w:color w:val="000000"/>
                    </w:rPr>
                    <w:t>）</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压腹带为</w:t>
                  </w:r>
                  <w:r>
                    <w:rPr>
                      <w:rFonts w:ascii="仿宋_GB2312" w:hAnsi="仿宋_GB2312" w:cs="仿宋_GB2312" w:eastAsia="仿宋_GB2312"/>
                      <w:sz w:val="20"/>
                      <w:color w:val="000000"/>
                    </w:rPr>
                    <w:t>TPU材质。</w:t>
                  </w:r>
                </w:p>
              </w:tc>
            </w:tr>
            <w:tr>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中药汤剂包装机</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1、符合《中药汤剂包装机行业标准》的相关要求，</w:t>
                  </w:r>
                </w:p>
                <w:p>
                  <w:pPr>
                    <w:pStyle w:val="null3"/>
                    <w:spacing w:before="75"/>
                    <w:ind w:left="135"/>
                    <w:jc w:val="left"/>
                  </w:pPr>
                  <w:r>
                    <w:rPr>
                      <w:rFonts w:ascii="仿宋_GB2312" w:hAnsi="仿宋_GB2312" w:cs="仿宋_GB2312" w:eastAsia="仿宋_GB2312"/>
                      <w:sz w:val="20"/>
                      <w:color w:val="000000"/>
                    </w:rPr>
                    <w:t>2、具有排水、排药液双阀门；</w:t>
                  </w:r>
                </w:p>
                <w:p>
                  <w:pPr>
                    <w:pStyle w:val="null3"/>
                    <w:spacing w:before="75"/>
                    <w:ind w:left="135"/>
                    <w:jc w:val="left"/>
                  </w:pPr>
                  <w:r>
                    <w:rPr>
                      <w:rFonts w:ascii="仿宋_GB2312" w:hAnsi="仿宋_GB2312" w:cs="仿宋_GB2312" w:eastAsia="仿宋_GB2312"/>
                      <w:sz w:val="20"/>
                      <w:color w:val="000000"/>
                    </w:rPr>
                    <w:t>3、具有药液快速加热及浓缩功能；</w:t>
                  </w:r>
                </w:p>
                <w:p>
                  <w:pPr>
                    <w:pStyle w:val="null3"/>
                    <w:spacing w:before="75"/>
                    <w:ind w:left="135"/>
                    <w:jc w:val="left"/>
                  </w:pPr>
                  <w:r>
                    <w:rPr>
                      <w:rFonts w:ascii="仿宋_GB2312" w:hAnsi="仿宋_GB2312" w:cs="仿宋_GB2312" w:eastAsia="仿宋_GB2312"/>
                      <w:sz w:val="20"/>
                      <w:color w:val="000000"/>
                    </w:rPr>
                    <w:t>4、具有断卷及无卷保护功能；</w:t>
                  </w:r>
                </w:p>
                <w:p>
                  <w:pPr>
                    <w:pStyle w:val="null3"/>
                    <w:spacing w:before="75"/>
                    <w:ind w:left="135"/>
                    <w:jc w:val="left"/>
                  </w:pPr>
                  <w:r>
                    <w:rPr>
                      <w:rFonts w:ascii="仿宋_GB2312" w:hAnsi="仿宋_GB2312" w:cs="仿宋_GB2312" w:eastAsia="仿宋_GB2312"/>
                      <w:sz w:val="20"/>
                      <w:color w:val="000000"/>
                    </w:rPr>
                    <w:t>5、具有防干烧功能；</w:t>
                  </w:r>
                </w:p>
                <w:p>
                  <w:pPr>
                    <w:pStyle w:val="null3"/>
                    <w:spacing w:before="75"/>
                    <w:ind w:left="135"/>
                    <w:jc w:val="left"/>
                  </w:pPr>
                  <w:r>
                    <w:rPr>
                      <w:rFonts w:ascii="仿宋_GB2312" w:hAnsi="仿宋_GB2312" w:cs="仿宋_GB2312" w:eastAsia="仿宋_GB2312"/>
                      <w:sz w:val="20"/>
                      <w:color w:val="000000"/>
                    </w:rPr>
                    <w:t>6、具有翻转式液晶触摸面板；</w:t>
                  </w:r>
                </w:p>
                <w:p>
                  <w:pPr>
                    <w:pStyle w:val="null3"/>
                    <w:spacing w:before="75"/>
                    <w:ind w:left="135"/>
                    <w:jc w:val="left"/>
                  </w:pPr>
                  <w:r>
                    <w:rPr>
                      <w:rFonts w:ascii="仿宋_GB2312" w:hAnsi="仿宋_GB2312" w:cs="仿宋_GB2312" w:eastAsia="仿宋_GB2312"/>
                      <w:sz w:val="20"/>
                      <w:color w:val="000000"/>
                    </w:rPr>
                    <w:t>7、容量≥20000ml</w:t>
                  </w:r>
                </w:p>
                <w:p>
                  <w:pPr>
                    <w:pStyle w:val="null3"/>
                    <w:spacing w:before="75"/>
                    <w:ind w:left="135"/>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最大</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≥2800</w:t>
                  </w:r>
                  <w:r>
                    <w:rPr>
                      <w:rFonts w:ascii="仿宋_GB2312" w:hAnsi="仿宋_GB2312" w:cs="仿宋_GB2312" w:eastAsia="仿宋_GB2312"/>
                      <w:sz w:val="20"/>
                      <w:color w:val="000000"/>
                    </w:rPr>
                    <w:t>W</w:t>
                  </w:r>
                </w:p>
              </w:tc>
            </w:tr>
            <w:tr>
              <w:tc>
                <w:tcPr>
                  <w:tcW w:type="dxa" w:w="59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自动煎药机</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1、自动两煎功能。</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2、可预设多种煎药方案，并具备联网通讯功能。</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3、符合中药煎药室管理规范的相关要求。具有常压煎药功能，自动完成一煎两煎的全过程。可实现二煎煎药，二煎时自动加水，自动清洗功能。</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4、具有滑动锅盖功能。</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5、先煎、后下提示功能、数控煎药定时功能。</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6、电动挤压功能，实现药渣自动分离。</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7、自动加热调节，武火、文火自动控制转换；</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 xml:space="preserve">8、自动搅拌功能，自动加水计量功能；                                    </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自动升温灭菌功能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防高温</w:t>
                  </w:r>
                  <w:r>
                    <w:rPr>
                      <w:rFonts w:ascii="仿宋_GB2312" w:hAnsi="仿宋_GB2312" w:cs="仿宋_GB2312" w:eastAsia="仿宋_GB2312"/>
                      <w:sz w:val="20"/>
                      <w:color w:val="000000"/>
                    </w:rPr>
                    <w:t>、</w:t>
                  </w:r>
                  <w:r>
                    <w:rPr>
                      <w:rFonts w:ascii="仿宋_GB2312" w:hAnsi="仿宋_GB2312" w:cs="仿宋_GB2312" w:eastAsia="仿宋_GB2312"/>
                      <w:sz w:val="20"/>
                      <w:color w:val="000000"/>
                    </w:rPr>
                    <w:t>防干烧功能</w:t>
                  </w:r>
                  <w:r>
                    <w:rPr>
                      <w:rFonts w:ascii="仿宋_GB2312" w:hAnsi="仿宋_GB2312" w:cs="仿宋_GB2312" w:eastAsia="仿宋_GB2312"/>
                      <w:sz w:val="20"/>
                      <w:color w:val="000000"/>
                    </w:rPr>
                    <w:t>。</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10、有蒸汽循环回收功能，煎药蒸汽经风冷冷凝器回</w:t>
                  </w:r>
                  <w:r>
                    <w:rPr>
                      <w:rFonts w:ascii="仿宋_GB2312" w:hAnsi="仿宋_GB2312" w:cs="仿宋_GB2312" w:eastAsia="仿宋_GB2312"/>
                      <w:sz w:val="20"/>
                      <w:color w:val="000000"/>
                    </w:rPr>
                    <w:t>收。</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11、容量≥20L。</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最大</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 xml:space="preserve">≥2900W。    </w:t>
                  </w:r>
                </w:p>
              </w:tc>
            </w:tr>
            <w:tr>
              <w:tc>
                <w:tcPr>
                  <w:tcW w:type="dxa" w:w="59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密闭煎药机</w:t>
                  </w: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1、符合《中药煎药机行业标准》的相关要求。煎药效果有效成份煎出率≥50%</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2、符合《中药煎药室管理规范》的相关要求。</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3、可预设≥12种煎药方案，并具备联网通讯功能。</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4、具有防温度过高和防干烧功能，计时、定时设定控制功能；</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5、具备先煎后下提示功能，可实现常压煎药、密闭煎药、循环煎药功能；</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6、具有文火、武火自动转换；</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7、具有安全卸压阀，双安全阀超压自动报警，自动卸压自动闭合；</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8、采用自下往上、双滑道定位的电动机械挤压系统，实现药渣充分分离；</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9、容量≥20000ml</w:t>
                  </w:r>
                </w:p>
              </w:tc>
            </w:tr>
            <w:tr>
              <w:tc>
                <w:tcPr>
                  <w:tcW w:type="dxa" w:w="590"/>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5"/>
                    <w:jc w:val="left"/>
                  </w:pPr>
                  <w:r>
                    <w:rPr>
                      <w:rFonts w:ascii="仿宋_GB2312" w:hAnsi="仿宋_GB2312" w:cs="仿宋_GB2312" w:eastAsia="仿宋_GB2312"/>
                      <w:sz w:val="20"/>
                      <w:color w:val="000000"/>
                    </w:rPr>
                    <w:t>10、功率≥1800w</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安装培训使用验收合格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整机保修≥3年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1、根据采购人档案管理要求，供应商需要在线提交所有通过电子化交易平台实施的政府采购项目的投标文件，同时，线下提交投标文件正本 壹 份、副本 壹 套、电子版壹 份（U盘一套标明供应商名称，随正本密封）。若系统电子投标文件与纸质投标文件不一致的，以系统电子投标文件为准。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1、具有独立承担民事责任的能力（企业法人应提供统一社会信用代码的营业执照；法人或其他组织投标的，提供有效的营业执照或事业单位法人证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4、社会保障资金缴纳记录证明文件和依法缴纳税收记录证明文件（同时提供开标时间前12个月内任意时段的社保及税收缴纳证明；依法不需要缴纳的应提供相关证明文件)； 5、参加政府采购活动前3年内在经营活动中没有重大违法记录的书面声明。</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法定代表人直接参加投标的，须提供法定代表人身份证，并与营业执照上信息一致。法定代表人授权代表参加投标的，须提供法定代表人授权书；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投标产品属于医疗器械的提供生产厂家的医疗器械生产许可证或医疗器械生产备案证；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安装培训使用验收合格，达到付款条件起 30 日内，支付合同总金额的 100.00%。</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整机保修≥3年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自合同签订之日起30日。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环保节能评审</w:t>
            </w:r>
          </w:p>
        </w:tc>
        <w:tc>
          <w:tcPr>
            <w:tcW w:type="dxa" w:w="2492"/>
          </w:tcPr>
          <w:p>
            <w:pPr>
              <w:pStyle w:val="null3"/>
            </w:pPr>
            <w:r>
              <w:rPr>
                <w:rFonts w:ascii="仿宋_GB2312" w:hAnsi="仿宋_GB2312" w:cs="仿宋_GB2312" w:eastAsia="仿宋_GB2312"/>
              </w:rPr>
              <w:t>所投产品每有一项为节能、环保、环境标志产品清单中的产品得0.5分，满分1分（以经国家确定的认证机构出具的、处于有效期内的节能产品、环境标志产品认证证书为准。）。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完全符合、响应招标文件的每一项要求，没有负偏离计25分；“▲”参数每负偏离一项扣2分，非“▲”参数为一般参数，每负偏离一项扣1分。 1、“▲”参数供应商需提供相关的技术、功能证明材料（不限于产品技术说明、检测报告、产品彩页等）予以佐证。 2、佐证材料与技术偏离表响应指标有不一致的，又未能出具厂家盖章的说明文件的，每个设备给予4分扣分； 3、评标委员会认为完全复制招标文件技术指标要求，无所投产品实际指标响应的，给予5分扣分。文字描述、国标、定制尺寸的技术指标除外。</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针对本项目的采购需求，对所投产品的选型进行详细分析说明，分析包含（1）明确设备与医院使用需求的匹配情况；（2）设备选型的具体特点；（3）设备的安全防护措施完善，可靠性高。 分析各项内容全面详细、阐述条理清晰详尽、符合本项目采购需求、能有效保障本项目实施，每有一个缺项扣3分，每有一处缺陷扣0.5分。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供应商提供针对本项目的实施方案及验收方案，方案针对本项目实施提出（1）重点、难点分析并给出相应的解决方案；（2）安装、检测、调试措施、质量保证；（3）安全控制方案；（4）验收方案。 方案各项内容全面详细、阐述条理清晰详尽、符合本项目采购需求、能有效保障本项目实施，每有一个缺项扣2分，每有一处缺陷扣0.5分。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供应商针对本项目有具体的供货组织安排，方案包含（1）详细的人员、财力调配；（2）运输、派送措施；（3）安装、检测、调试措施等。 方案各项内容全面详细、阐述条理清晰详尽、符合本项目采购需求、能有效保障本项目实施，每有一个缺项扣2分，每有一处缺陷扣0.5分。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产品进货渠道正规，提供证明材料不限于销售协议或代理协议、厂家授权等相关资料。质量保证，确保生产供应的产品无假货、水货、翻新货且无产权纠纷， 1、提供的投标产品合法来源渠道证明文件详细完整得3分； 2、提供部分产品来源渠道证明文件得2分； 3、仅提供一项产品的合法来源渠道证明文件得1分；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供应商提供2023年1月1日至今所投核心产品合同，每提供1个得1分，最高得6分。（以合同签订日期为准)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针对本项目具有可行的技术培训方案，方案包含（1）制定培训课程计划表，列出每种培训的地点和时间；（2）培训内容应包括所提供产品的原理和技术性能、操作维护方法、安装调试、排除故障等。 方案及承诺各项内容全面详细、阐述条理清晰详尽、符合本项目采购需求、能有效保障本项目实施，每有一个缺项扣3分，每有一处缺陷扣0.5分。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包含（1）售后服务机构健全，能够提供高效服务的，具有相应的物力、人力保障；（2）在设备发生不同类型故障后的到达现场时间、解决故障时间；（3）应急补救措施或方案。 方案各项内容全面详细、阐述条理清晰详尽、符合本项目采购需求、能有效保障本项目实施，每有一个缺项扣2分，每有一处缺陷扣0.5分。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价格分统一采用低价优先法计算，即满足招标文件要求且报价最低的响应报价为评审基准价，其价格分为满分。其他供应商的价格分统一按照下列公式计算： 响应报价得分=(评审基准价／响应报价)×30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详见附件：投标报价及分项报价表.docx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详见附件：2_陕西省肿瘤医院医疗设备供货合同--模板.docx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