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787F5">
      <w:pPr>
        <w:pStyle w:val="2"/>
        <w:adjustRightInd w:val="0"/>
        <w:spacing w:line="360" w:lineRule="auto"/>
        <w:textAlignment w:val="baseline"/>
        <w:rPr>
          <w:rFonts w:hint="eastAsia" w:ascii="仿宋" w:hAnsi="仿宋" w:eastAsia="仿宋" w:cs="仿宋"/>
          <w:bCs/>
          <w:sz w:val="32"/>
          <w:szCs w:val="32"/>
        </w:rPr>
      </w:pPr>
      <w:r>
        <w:rPr>
          <w:rFonts w:hint="eastAsia" w:ascii="仿宋" w:hAnsi="仿宋" w:eastAsia="仿宋" w:cs="仿宋"/>
          <w:bCs/>
          <w:sz w:val="32"/>
          <w:szCs w:val="32"/>
          <w:lang w:eastAsia="zh-CN"/>
        </w:rPr>
        <w:t>报价</w:t>
      </w:r>
      <w:r>
        <w:rPr>
          <w:rFonts w:hint="eastAsia" w:ascii="仿宋" w:hAnsi="仿宋" w:eastAsia="仿宋" w:cs="仿宋"/>
          <w:bCs/>
          <w:sz w:val="32"/>
          <w:szCs w:val="32"/>
        </w:rPr>
        <w:t>表</w:t>
      </w:r>
    </w:p>
    <w:p w14:paraId="1C53583E">
      <w:pPr>
        <w:rPr>
          <w:rFonts w:hint="eastAsia" w:ascii="仿宋" w:hAnsi="仿宋" w:eastAsia="仿宋" w:cs="仿宋"/>
          <w:b/>
          <w:sz w:val="24"/>
          <w:szCs w:val="24"/>
        </w:rPr>
      </w:pPr>
    </w:p>
    <w:tbl>
      <w:tblPr>
        <w:tblStyle w:val="4"/>
        <w:tblW w:w="8946"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58"/>
        <w:gridCol w:w="6988"/>
      </w:tblGrid>
      <w:tr w14:paraId="045FCA1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12" w:hRule="atLeast"/>
        </w:trPr>
        <w:tc>
          <w:tcPr>
            <w:tcW w:w="1958" w:type="dxa"/>
            <w:tcBorders>
              <w:bottom w:val="single" w:color="auto" w:sz="4" w:space="0"/>
            </w:tcBorders>
            <w:vAlign w:val="center"/>
          </w:tcPr>
          <w:p w14:paraId="4265F5CA">
            <w:pPr>
              <w:jc w:val="center"/>
              <w:rPr>
                <w:rFonts w:hint="eastAsia" w:ascii="仿宋" w:hAnsi="仿宋" w:eastAsia="仿宋" w:cs="仿宋"/>
                <w:caps/>
                <w:sz w:val="24"/>
                <w:szCs w:val="24"/>
              </w:rPr>
            </w:pPr>
            <w:r>
              <w:rPr>
                <w:rFonts w:hint="eastAsia" w:ascii="仿宋" w:hAnsi="仿宋" w:eastAsia="仿宋" w:cs="仿宋"/>
                <w:sz w:val="24"/>
                <w:szCs w:val="24"/>
              </w:rPr>
              <w:t>项目名称</w:t>
            </w:r>
          </w:p>
        </w:tc>
        <w:tc>
          <w:tcPr>
            <w:tcW w:w="6988" w:type="dxa"/>
            <w:vAlign w:val="center"/>
          </w:tcPr>
          <w:p w14:paraId="2BD10611">
            <w:pPr>
              <w:jc w:val="center"/>
              <w:rPr>
                <w:rFonts w:hint="eastAsia" w:ascii="仿宋" w:hAnsi="仿宋" w:eastAsia="仿宋" w:cs="仿宋"/>
                <w:caps/>
                <w:sz w:val="24"/>
                <w:szCs w:val="24"/>
              </w:rPr>
            </w:pPr>
          </w:p>
        </w:tc>
      </w:tr>
      <w:tr w14:paraId="4ECAA01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12" w:hRule="atLeast"/>
        </w:trPr>
        <w:tc>
          <w:tcPr>
            <w:tcW w:w="1958" w:type="dxa"/>
            <w:tcBorders>
              <w:bottom w:val="single" w:color="auto" w:sz="4" w:space="0"/>
            </w:tcBorders>
            <w:vAlign w:val="center"/>
          </w:tcPr>
          <w:p w14:paraId="3B9BD077">
            <w:pPr>
              <w:jc w:val="center"/>
              <w:rPr>
                <w:rFonts w:hint="eastAsia" w:ascii="仿宋" w:hAnsi="仿宋" w:eastAsia="仿宋" w:cs="仿宋"/>
                <w:sz w:val="24"/>
                <w:szCs w:val="24"/>
              </w:rPr>
            </w:pPr>
            <w:r>
              <w:rPr>
                <w:rFonts w:hint="eastAsia" w:ascii="仿宋" w:hAnsi="仿宋" w:eastAsia="仿宋" w:cs="仿宋"/>
                <w:sz w:val="24"/>
                <w:szCs w:val="24"/>
              </w:rPr>
              <w:t>项目编号</w:t>
            </w:r>
          </w:p>
        </w:tc>
        <w:tc>
          <w:tcPr>
            <w:tcW w:w="6988" w:type="dxa"/>
            <w:tcBorders>
              <w:bottom w:val="single" w:color="auto" w:sz="4" w:space="0"/>
            </w:tcBorders>
            <w:vAlign w:val="center"/>
          </w:tcPr>
          <w:p w14:paraId="77EFF22E">
            <w:pPr>
              <w:jc w:val="center"/>
              <w:rPr>
                <w:rFonts w:hint="eastAsia" w:ascii="仿宋" w:hAnsi="仿宋" w:eastAsia="仿宋" w:cs="仿宋"/>
                <w:caps/>
                <w:sz w:val="24"/>
                <w:szCs w:val="24"/>
              </w:rPr>
            </w:pPr>
          </w:p>
        </w:tc>
      </w:tr>
      <w:tr w14:paraId="669E134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12" w:hRule="atLeast"/>
        </w:trPr>
        <w:tc>
          <w:tcPr>
            <w:tcW w:w="1958" w:type="dxa"/>
            <w:vAlign w:val="center"/>
          </w:tcPr>
          <w:p w14:paraId="43A13FB7">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供 应 商</w:t>
            </w:r>
          </w:p>
        </w:tc>
        <w:tc>
          <w:tcPr>
            <w:tcW w:w="6988" w:type="dxa"/>
            <w:vAlign w:val="center"/>
          </w:tcPr>
          <w:p w14:paraId="2F6CAA33">
            <w:pPr>
              <w:jc w:val="center"/>
              <w:rPr>
                <w:rFonts w:hint="eastAsia" w:ascii="仿宋" w:hAnsi="仿宋" w:eastAsia="仿宋" w:cs="仿宋"/>
                <w:sz w:val="24"/>
                <w:szCs w:val="24"/>
              </w:rPr>
            </w:pPr>
          </w:p>
        </w:tc>
      </w:tr>
      <w:tr w14:paraId="2BA7635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233" w:hRule="atLeast"/>
        </w:trPr>
        <w:tc>
          <w:tcPr>
            <w:tcW w:w="1958" w:type="dxa"/>
            <w:vAlign w:val="center"/>
          </w:tcPr>
          <w:p w14:paraId="118EF567">
            <w:pPr>
              <w:jc w:val="center"/>
              <w:rPr>
                <w:rFonts w:hint="eastAsia" w:ascii="仿宋" w:hAnsi="仿宋" w:eastAsia="仿宋" w:cs="仿宋"/>
                <w:sz w:val="24"/>
                <w:szCs w:val="24"/>
              </w:rPr>
            </w:pPr>
            <w:r>
              <w:rPr>
                <w:rFonts w:hint="eastAsia" w:ascii="仿宋" w:hAnsi="仿宋" w:eastAsia="仿宋" w:cs="仿宋"/>
                <w:sz w:val="24"/>
                <w:szCs w:val="24"/>
                <w:lang w:eastAsia="zh-CN"/>
              </w:rPr>
              <w:t>投标总</w:t>
            </w:r>
            <w:r>
              <w:rPr>
                <w:rFonts w:hint="eastAsia" w:ascii="仿宋" w:hAnsi="仿宋" w:eastAsia="仿宋" w:cs="仿宋"/>
                <w:sz w:val="24"/>
                <w:szCs w:val="24"/>
              </w:rPr>
              <w:t>报价</w:t>
            </w:r>
          </w:p>
          <w:p w14:paraId="1C5C8D44">
            <w:pPr>
              <w:jc w:val="center"/>
              <w:rPr>
                <w:rFonts w:hint="eastAsia" w:ascii="仿宋" w:hAnsi="仿宋" w:eastAsia="仿宋" w:cs="仿宋"/>
                <w:sz w:val="24"/>
                <w:szCs w:val="24"/>
              </w:rPr>
            </w:pPr>
            <w:r>
              <w:rPr>
                <w:rFonts w:hint="eastAsia" w:ascii="仿宋" w:hAnsi="仿宋" w:eastAsia="仿宋" w:cs="仿宋"/>
                <w:sz w:val="24"/>
                <w:szCs w:val="24"/>
              </w:rPr>
              <w:t>（人民币）</w:t>
            </w:r>
          </w:p>
        </w:tc>
        <w:tc>
          <w:tcPr>
            <w:tcW w:w="6988" w:type="dxa"/>
            <w:vAlign w:val="center"/>
          </w:tcPr>
          <w:p w14:paraId="3DF8AEFD">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小写金额：</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w:t>
            </w:r>
          </w:p>
          <w:p w14:paraId="58092AD2">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大写金额：</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元。</w:t>
            </w:r>
          </w:p>
        </w:tc>
      </w:tr>
      <w:tr w14:paraId="1446042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57" w:hRule="atLeast"/>
        </w:trPr>
        <w:tc>
          <w:tcPr>
            <w:tcW w:w="8946" w:type="dxa"/>
            <w:gridSpan w:val="2"/>
            <w:vAlign w:val="center"/>
          </w:tcPr>
          <w:p w14:paraId="36A084F7">
            <w:pPr>
              <w:rPr>
                <w:rFonts w:hint="eastAsia" w:ascii="仿宋" w:hAnsi="仿宋" w:eastAsia="仿宋" w:cs="仿宋"/>
                <w:sz w:val="24"/>
                <w:szCs w:val="24"/>
                <w:lang w:eastAsia="zh-CN"/>
              </w:rPr>
            </w:pPr>
            <w:r>
              <w:rPr>
                <w:rFonts w:hint="eastAsia" w:ascii="仿宋" w:hAnsi="仿宋" w:eastAsia="仿宋" w:cs="仿宋"/>
                <w:sz w:val="24"/>
                <w:szCs w:val="24"/>
                <w:lang w:eastAsia="zh-CN"/>
              </w:rPr>
              <w:t>服务期限是否响应：是/否</w:t>
            </w:r>
          </w:p>
        </w:tc>
      </w:tr>
      <w:tr w14:paraId="29186E2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73" w:hRule="atLeast"/>
        </w:trPr>
        <w:tc>
          <w:tcPr>
            <w:tcW w:w="8946" w:type="dxa"/>
            <w:gridSpan w:val="2"/>
            <w:vAlign w:val="center"/>
          </w:tcPr>
          <w:p w14:paraId="30CDF444">
            <w:pPr>
              <w:rPr>
                <w:rFonts w:hint="eastAsia" w:ascii="仿宋" w:hAnsi="仿宋" w:eastAsia="仿宋" w:cs="仿宋"/>
                <w:sz w:val="24"/>
                <w:szCs w:val="24"/>
                <w:lang w:eastAsia="zh-CN"/>
              </w:rPr>
            </w:pPr>
            <w:r>
              <w:rPr>
                <w:rFonts w:hint="eastAsia" w:ascii="仿宋" w:hAnsi="仿宋" w:eastAsia="仿宋" w:cs="仿宋"/>
                <w:sz w:val="24"/>
                <w:szCs w:val="24"/>
                <w:lang w:eastAsia="zh-CN"/>
              </w:rPr>
              <w:t>付款方式是否响应：是/否</w:t>
            </w:r>
          </w:p>
        </w:tc>
      </w:tr>
    </w:tbl>
    <w:p w14:paraId="43C10B73">
      <w:pPr>
        <w:ind w:right="480"/>
        <w:rPr>
          <w:rFonts w:hint="eastAsia" w:ascii="仿宋" w:hAnsi="仿宋" w:eastAsia="仿宋" w:cs="仿宋"/>
          <w:sz w:val="24"/>
          <w:szCs w:val="24"/>
          <w:lang w:eastAsia="zh-CN"/>
        </w:rPr>
      </w:pPr>
    </w:p>
    <w:p w14:paraId="766D0BBB">
      <w:pPr>
        <w:ind w:right="180"/>
        <w:rPr>
          <w:rFonts w:hint="eastAsia" w:ascii="仿宋" w:hAnsi="仿宋" w:eastAsia="仿宋" w:cs="仿宋"/>
          <w:sz w:val="24"/>
          <w:szCs w:val="24"/>
          <w:u w:val="single"/>
          <w:lang w:eastAsia="zh-CN"/>
        </w:rPr>
      </w:pPr>
      <w:r>
        <w:rPr>
          <w:rFonts w:hint="eastAsia" w:ascii="仿宋" w:hAnsi="仿宋" w:eastAsia="仿宋" w:cs="仿宋"/>
          <w:sz w:val="24"/>
          <w:szCs w:val="24"/>
          <w:u w:val="single"/>
          <w:lang w:eastAsia="zh-CN"/>
        </w:rPr>
        <w:t>注:请根据响应情况选填“是”与“否”</w:t>
      </w:r>
    </w:p>
    <w:p w14:paraId="2CD4A465">
      <w:pPr>
        <w:ind w:right="180"/>
        <w:rPr>
          <w:rFonts w:hint="eastAsia" w:ascii="仿宋" w:hAnsi="仿宋" w:eastAsia="仿宋" w:cs="仿宋"/>
          <w:sz w:val="24"/>
          <w:szCs w:val="24"/>
          <w:u w:val="single"/>
          <w:lang w:eastAsia="zh-CN"/>
        </w:rPr>
      </w:pPr>
    </w:p>
    <w:p w14:paraId="601E3752">
      <w:pPr>
        <w:spacing w:line="480" w:lineRule="auto"/>
        <w:ind w:right="-161" w:firstLine="2640"/>
        <w:rPr>
          <w:rFonts w:hint="eastAsia" w:ascii="仿宋" w:hAnsi="仿宋" w:eastAsia="仿宋" w:cs="仿宋"/>
          <w:kern w:val="1"/>
          <w:sz w:val="24"/>
          <w:szCs w:val="24"/>
          <w:u w:val="single"/>
        </w:rPr>
      </w:pPr>
      <w:r>
        <w:rPr>
          <w:rFonts w:hint="eastAsia" w:ascii="仿宋" w:hAnsi="仿宋" w:eastAsia="仿宋" w:cs="仿宋"/>
          <w:kern w:val="1"/>
          <w:sz w:val="24"/>
          <w:szCs w:val="24"/>
        </w:rPr>
        <w:t>法定代表人或被授权代表签字或盖章：</w:t>
      </w:r>
      <w:r>
        <w:rPr>
          <w:rFonts w:hint="eastAsia" w:ascii="仿宋" w:hAnsi="仿宋" w:eastAsia="仿宋" w:cs="仿宋"/>
          <w:kern w:val="1"/>
          <w:sz w:val="24"/>
          <w:szCs w:val="24"/>
          <w:u w:val="single"/>
        </w:rPr>
        <w:t xml:space="preserve">                  </w:t>
      </w:r>
    </w:p>
    <w:p w14:paraId="21B6843C">
      <w:pPr>
        <w:spacing w:line="480" w:lineRule="auto"/>
        <w:ind w:right="-161" w:firstLine="2640"/>
        <w:rPr>
          <w:rFonts w:hint="eastAsia" w:ascii="仿宋" w:hAnsi="仿宋" w:eastAsia="仿宋" w:cs="仿宋"/>
          <w:kern w:val="1"/>
          <w:sz w:val="24"/>
          <w:szCs w:val="24"/>
        </w:rPr>
      </w:pPr>
      <w:r>
        <w:rPr>
          <w:rFonts w:hint="eastAsia" w:ascii="仿宋" w:hAnsi="仿宋" w:eastAsia="仿宋" w:cs="仿宋"/>
          <w:kern w:val="1"/>
          <w:sz w:val="24"/>
          <w:szCs w:val="24"/>
        </w:rPr>
        <w:t>供应商名称：</w:t>
      </w:r>
      <w:r>
        <w:rPr>
          <w:rFonts w:hint="eastAsia" w:ascii="仿宋" w:hAnsi="仿宋" w:eastAsia="仿宋" w:cs="仿宋"/>
          <w:kern w:val="1"/>
          <w:sz w:val="24"/>
          <w:szCs w:val="24"/>
          <w:u w:val="single"/>
        </w:rPr>
        <w:t xml:space="preserve">                              （公章）</w:t>
      </w:r>
    </w:p>
    <w:p w14:paraId="21644CAC">
      <w:pPr>
        <w:ind w:firstLine="5409" w:firstLineChars="2254"/>
        <w:jc w:val="center"/>
        <w:rPr>
          <w:rFonts w:hint="eastAsia" w:ascii="仿宋" w:hAnsi="仿宋" w:eastAsia="仿宋" w:cs="仿宋"/>
          <w:kern w:val="1"/>
          <w:sz w:val="24"/>
          <w:szCs w:val="24"/>
          <w:u w:val="single"/>
        </w:rPr>
      </w:pPr>
      <w:r>
        <w:rPr>
          <w:rFonts w:hint="eastAsia" w:ascii="仿宋" w:hAnsi="仿宋" w:eastAsia="仿宋" w:cs="仿宋"/>
          <w:kern w:val="1"/>
          <w:sz w:val="24"/>
          <w:szCs w:val="24"/>
        </w:rPr>
        <w:t xml:space="preserve">  日期： </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年</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月</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日</w:t>
      </w:r>
    </w:p>
    <w:p w14:paraId="478A099C">
      <w:pPr>
        <w:ind w:right="180" w:firstLine="2640" w:firstLineChars="1100"/>
        <w:rPr>
          <w:rFonts w:hint="eastAsia" w:ascii="仿宋" w:hAnsi="仿宋" w:eastAsia="仿宋" w:cs="仿宋"/>
          <w:sz w:val="24"/>
          <w:szCs w:val="24"/>
          <w:u w:val="single"/>
          <w:lang w:eastAsia="zh-CN"/>
        </w:rPr>
      </w:pPr>
      <w:r>
        <w:rPr>
          <w:rFonts w:hint="eastAsia" w:ascii="仿宋" w:hAnsi="仿宋" w:eastAsia="仿宋" w:cs="仿宋"/>
          <w:sz w:val="24"/>
          <w:szCs w:val="24"/>
          <w:u w:val="single"/>
          <w:lang w:eastAsia="zh-CN"/>
        </w:rPr>
        <w:t xml:space="preserve"> </w:t>
      </w:r>
    </w:p>
    <w:p w14:paraId="56224E90">
      <w:pPr>
        <w:ind w:right="180"/>
        <w:rPr>
          <w:rFonts w:hint="eastAsia" w:ascii="仿宋" w:hAnsi="仿宋" w:eastAsia="仿宋" w:cs="仿宋"/>
          <w:sz w:val="24"/>
          <w:szCs w:val="24"/>
          <w:u w:val="single"/>
          <w:lang w:eastAsia="zh-CN"/>
        </w:rPr>
      </w:pPr>
    </w:p>
    <w:p w14:paraId="1EA4317C">
      <w:pPr>
        <w:ind w:right="180"/>
        <w:rPr>
          <w:rFonts w:hint="eastAsia" w:ascii="仿宋" w:hAnsi="仿宋" w:eastAsia="仿宋" w:cs="仿宋"/>
          <w:sz w:val="24"/>
          <w:szCs w:val="24"/>
          <w:u w:val="single"/>
          <w:lang w:eastAsia="zh-CN"/>
        </w:rPr>
      </w:pPr>
    </w:p>
    <w:p w14:paraId="201C0623">
      <w:pPr>
        <w:pStyle w:val="2"/>
        <w:adjustRightInd w:val="0"/>
        <w:spacing w:line="360" w:lineRule="auto"/>
        <w:textAlignment w:val="baseline"/>
        <w:rPr>
          <w:rFonts w:hint="eastAsia" w:ascii="仿宋" w:hAnsi="仿宋" w:eastAsia="仿宋" w:cs="仿宋"/>
          <w:bCs/>
          <w:sz w:val="24"/>
          <w:szCs w:val="24"/>
          <w:lang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1CB9721B">
      <w:pPr>
        <w:pStyle w:val="2"/>
        <w:adjustRightInd w:val="0"/>
        <w:spacing w:line="360" w:lineRule="auto"/>
        <w:textAlignment w:val="baseline"/>
        <w:rPr>
          <w:rFonts w:hint="eastAsia" w:ascii="仿宋" w:hAnsi="仿宋" w:eastAsia="仿宋" w:cs="仿宋"/>
          <w:sz w:val="32"/>
          <w:szCs w:val="32"/>
        </w:rPr>
      </w:pPr>
      <w:r>
        <w:rPr>
          <w:rFonts w:hint="eastAsia" w:ascii="仿宋" w:hAnsi="仿宋" w:eastAsia="仿宋" w:cs="仿宋"/>
          <w:sz w:val="32"/>
          <w:szCs w:val="32"/>
        </w:rPr>
        <w:t>分项报价表</w:t>
      </w:r>
    </w:p>
    <w:p w14:paraId="5C73729F">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包1：平台运营服务</w:t>
      </w:r>
    </w:p>
    <w:tbl>
      <w:tblPr>
        <w:tblStyle w:val="4"/>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942"/>
        <w:gridCol w:w="1548"/>
        <w:gridCol w:w="4948"/>
        <w:gridCol w:w="1560"/>
        <w:gridCol w:w="1133"/>
        <w:gridCol w:w="1296"/>
        <w:gridCol w:w="1334"/>
        <w:gridCol w:w="1402"/>
      </w:tblGrid>
      <w:tr w14:paraId="520AF4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tcBorders>
              <w:tl2br w:val="nil"/>
              <w:tr2bl w:val="nil"/>
            </w:tcBorders>
            <w:shd w:val="clear" w:color="auto" w:fill="FFFFFF"/>
            <w:vAlign w:val="center"/>
          </w:tcPr>
          <w:p w14:paraId="524709E0">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556" w:type="pct"/>
            <w:tcBorders>
              <w:tl2br w:val="nil"/>
              <w:tr2bl w:val="nil"/>
            </w:tcBorders>
            <w:shd w:val="clear" w:color="auto" w:fill="FFFFFF"/>
            <w:vAlign w:val="center"/>
          </w:tcPr>
          <w:p w14:paraId="36780953">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服务项</w:t>
            </w:r>
          </w:p>
        </w:tc>
        <w:tc>
          <w:tcPr>
            <w:tcW w:w="1756" w:type="pct"/>
            <w:tcBorders>
              <w:tl2br w:val="nil"/>
              <w:tr2bl w:val="nil"/>
            </w:tcBorders>
            <w:shd w:val="clear" w:color="auto" w:fill="FFFFFF"/>
            <w:vAlign w:val="center"/>
          </w:tcPr>
          <w:p w14:paraId="4C6B8CC8">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服务内容</w:t>
            </w:r>
          </w:p>
        </w:tc>
        <w:tc>
          <w:tcPr>
            <w:tcW w:w="560" w:type="pct"/>
            <w:tcBorders>
              <w:tl2br w:val="nil"/>
              <w:tr2bl w:val="nil"/>
            </w:tcBorders>
            <w:shd w:val="clear" w:color="auto" w:fill="FFFFFF"/>
            <w:vAlign w:val="center"/>
          </w:tcPr>
          <w:p w14:paraId="3D853E54">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单项最高限价（万元）</w:t>
            </w:r>
          </w:p>
        </w:tc>
        <w:tc>
          <w:tcPr>
            <w:tcW w:w="409" w:type="pct"/>
            <w:tcBorders>
              <w:tl2br w:val="nil"/>
              <w:tr2bl w:val="nil"/>
            </w:tcBorders>
            <w:shd w:val="clear" w:color="auto" w:fill="FFFFFF"/>
            <w:vAlign w:val="center"/>
          </w:tcPr>
          <w:p w14:paraId="1A07AFBE">
            <w:pPr>
              <w:keepNext w:val="0"/>
              <w:keepLines w:val="0"/>
              <w:widowControl/>
              <w:suppressLineNumbers w:val="0"/>
              <w:spacing w:line="360" w:lineRule="auto"/>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单价</w:t>
            </w:r>
          </w:p>
          <w:p w14:paraId="42167F9B">
            <w:pPr>
              <w:keepNext w:val="0"/>
              <w:keepLines w:val="0"/>
              <w:widowControl/>
              <w:suppressLineNumbers w:val="0"/>
              <w:spacing w:line="360" w:lineRule="auto"/>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（万元）</w:t>
            </w:r>
          </w:p>
        </w:tc>
        <w:tc>
          <w:tcPr>
            <w:tcW w:w="393" w:type="pct"/>
            <w:tcBorders>
              <w:tl2br w:val="nil"/>
              <w:tr2bl w:val="nil"/>
            </w:tcBorders>
            <w:shd w:val="clear" w:color="auto" w:fill="FFFFFF"/>
            <w:vAlign w:val="center"/>
          </w:tcPr>
          <w:p w14:paraId="18DEBEA5">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480" w:type="pct"/>
            <w:tcBorders>
              <w:tl2br w:val="nil"/>
              <w:tr2bl w:val="nil"/>
            </w:tcBorders>
            <w:shd w:val="clear" w:color="auto" w:fill="FFFFFF"/>
            <w:vAlign w:val="center"/>
          </w:tcPr>
          <w:p w14:paraId="30A92A63">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计量单位</w:t>
            </w:r>
          </w:p>
        </w:tc>
        <w:tc>
          <w:tcPr>
            <w:tcW w:w="499" w:type="pct"/>
            <w:tcBorders>
              <w:tl2br w:val="nil"/>
              <w:tr2bl w:val="nil"/>
            </w:tcBorders>
            <w:shd w:val="clear" w:color="auto" w:fill="FFFFFF"/>
            <w:vAlign w:val="center"/>
          </w:tcPr>
          <w:p w14:paraId="723DC6F7">
            <w:pPr>
              <w:keepNext w:val="0"/>
              <w:keepLines w:val="0"/>
              <w:widowControl/>
              <w:suppressLineNumbers w:val="0"/>
              <w:spacing w:line="360" w:lineRule="auto"/>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总价</w:t>
            </w:r>
          </w:p>
          <w:p w14:paraId="616A6B69">
            <w:pPr>
              <w:keepNext w:val="0"/>
              <w:keepLines w:val="0"/>
              <w:widowControl/>
              <w:suppressLineNumbers w:val="0"/>
              <w:spacing w:line="360" w:lineRule="auto"/>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（万元）</w:t>
            </w:r>
          </w:p>
        </w:tc>
      </w:tr>
      <w:tr w14:paraId="399C2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5000" w:type="pct"/>
            <w:gridSpan w:val="8"/>
            <w:tcBorders>
              <w:tl2br w:val="nil"/>
              <w:tr2bl w:val="nil"/>
            </w:tcBorders>
            <w:shd w:val="clear" w:color="auto" w:fill="FFFFFF"/>
            <w:vAlign w:val="center"/>
          </w:tcPr>
          <w:p w14:paraId="10C8FEB2">
            <w:pPr>
              <w:spacing w:line="360" w:lineRule="auto"/>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（一）数据分析及可视化系统</w:t>
            </w:r>
          </w:p>
        </w:tc>
      </w:tr>
      <w:tr w14:paraId="41D19D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jc w:val="center"/>
        </w:trPr>
        <w:tc>
          <w:tcPr>
            <w:tcW w:w="342" w:type="pct"/>
            <w:tcBorders>
              <w:tl2br w:val="nil"/>
              <w:tr2bl w:val="nil"/>
            </w:tcBorders>
            <w:shd w:val="clear" w:color="auto" w:fill="auto"/>
            <w:noWrap/>
            <w:vAlign w:val="center"/>
          </w:tcPr>
          <w:p w14:paraId="1FA5DDD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556" w:type="pct"/>
            <w:tcBorders>
              <w:tl2br w:val="nil"/>
              <w:tr2bl w:val="nil"/>
            </w:tcBorders>
            <w:shd w:val="clear" w:color="auto" w:fill="auto"/>
            <w:vAlign w:val="center"/>
          </w:tcPr>
          <w:p w14:paraId="7290F0A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数据分析及可视化系统</w:t>
            </w:r>
          </w:p>
        </w:tc>
        <w:tc>
          <w:tcPr>
            <w:tcW w:w="1756" w:type="pct"/>
            <w:tcBorders>
              <w:tl2br w:val="nil"/>
              <w:tr2bl w:val="nil"/>
            </w:tcBorders>
            <w:shd w:val="clear" w:color="auto" w:fill="auto"/>
            <w:vAlign w:val="center"/>
          </w:tcPr>
          <w:p w14:paraId="36E9761E">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提供对政务数据的统计分析和展示，系统支持库表类、接口类、电子文档等多样化数据文件接入，提供多样化风格主题和可视化图标组件，满足不同业务场景的数据展示需求。</w:t>
            </w:r>
          </w:p>
        </w:tc>
        <w:tc>
          <w:tcPr>
            <w:tcW w:w="560" w:type="pct"/>
            <w:tcBorders>
              <w:tl2br w:val="nil"/>
              <w:tr2bl w:val="nil"/>
            </w:tcBorders>
            <w:shd w:val="clear" w:color="auto" w:fill="auto"/>
            <w:noWrap/>
            <w:vAlign w:val="center"/>
          </w:tcPr>
          <w:p w14:paraId="60B4529B">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1.865 </w:t>
            </w:r>
          </w:p>
        </w:tc>
        <w:tc>
          <w:tcPr>
            <w:tcW w:w="409" w:type="pct"/>
            <w:tcBorders>
              <w:tl2br w:val="nil"/>
              <w:tr2bl w:val="nil"/>
            </w:tcBorders>
            <w:shd w:val="clear" w:color="auto" w:fill="auto"/>
            <w:noWrap/>
            <w:vAlign w:val="center"/>
          </w:tcPr>
          <w:p w14:paraId="336A68EF">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48AD91E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5.000 </w:t>
            </w:r>
          </w:p>
        </w:tc>
        <w:tc>
          <w:tcPr>
            <w:tcW w:w="480" w:type="pct"/>
            <w:tcBorders>
              <w:tl2br w:val="nil"/>
              <w:tr2bl w:val="nil"/>
            </w:tcBorders>
            <w:shd w:val="clear" w:color="auto" w:fill="auto"/>
            <w:noWrap/>
            <w:vAlign w:val="center"/>
          </w:tcPr>
          <w:p w14:paraId="1DA90FD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月</w:t>
            </w:r>
          </w:p>
        </w:tc>
        <w:tc>
          <w:tcPr>
            <w:tcW w:w="499" w:type="pct"/>
            <w:tcBorders>
              <w:tl2br w:val="nil"/>
              <w:tr2bl w:val="nil"/>
            </w:tcBorders>
            <w:shd w:val="clear" w:color="auto" w:fill="auto"/>
            <w:noWrap/>
            <w:vAlign w:val="center"/>
          </w:tcPr>
          <w:p w14:paraId="20140937">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50618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vMerge w:val="restart"/>
            <w:tcBorders>
              <w:tl2br w:val="nil"/>
              <w:tr2bl w:val="nil"/>
            </w:tcBorders>
            <w:shd w:val="clear" w:color="auto" w:fill="auto"/>
            <w:noWrap/>
            <w:vAlign w:val="center"/>
          </w:tcPr>
          <w:p w14:paraId="34E15BC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556" w:type="pct"/>
            <w:vMerge w:val="restart"/>
            <w:tcBorders>
              <w:tl2br w:val="nil"/>
              <w:tr2bl w:val="nil"/>
            </w:tcBorders>
            <w:shd w:val="clear" w:color="auto" w:fill="auto"/>
            <w:vAlign w:val="center"/>
          </w:tcPr>
          <w:p w14:paraId="4242BE9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支撑性服务</w:t>
            </w:r>
          </w:p>
        </w:tc>
        <w:tc>
          <w:tcPr>
            <w:tcW w:w="1756" w:type="pct"/>
            <w:tcBorders>
              <w:tl2br w:val="nil"/>
              <w:tr2bl w:val="nil"/>
            </w:tcBorders>
            <w:shd w:val="clear" w:color="auto" w:fill="auto"/>
            <w:vAlign w:val="center"/>
          </w:tcPr>
          <w:p w14:paraId="6F5FA810">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提供包括：业务应用对接服务、数据分析服务、操作指导服务、安全运营服务和重保专项运营等。</w:t>
            </w:r>
          </w:p>
        </w:tc>
        <w:tc>
          <w:tcPr>
            <w:tcW w:w="560" w:type="pct"/>
            <w:tcBorders>
              <w:tl2br w:val="nil"/>
              <w:tr2bl w:val="nil"/>
            </w:tcBorders>
            <w:shd w:val="clear" w:color="auto" w:fill="auto"/>
            <w:noWrap/>
            <w:vAlign w:val="center"/>
          </w:tcPr>
          <w:p w14:paraId="0FBB564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24.3648</w:t>
            </w:r>
          </w:p>
        </w:tc>
        <w:tc>
          <w:tcPr>
            <w:tcW w:w="409" w:type="pct"/>
            <w:tcBorders>
              <w:tl2br w:val="nil"/>
              <w:tr2bl w:val="nil"/>
            </w:tcBorders>
            <w:shd w:val="clear" w:color="auto" w:fill="auto"/>
            <w:noWrap/>
            <w:vAlign w:val="center"/>
          </w:tcPr>
          <w:p w14:paraId="152FE239">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43F1BE49">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1.000 </w:t>
            </w:r>
          </w:p>
        </w:tc>
        <w:tc>
          <w:tcPr>
            <w:tcW w:w="480" w:type="pct"/>
            <w:tcBorders>
              <w:tl2br w:val="nil"/>
              <w:tr2bl w:val="nil"/>
            </w:tcBorders>
            <w:shd w:val="clear" w:color="auto" w:fill="auto"/>
            <w:noWrap/>
            <w:vAlign w:val="center"/>
          </w:tcPr>
          <w:p w14:paraId="74C889E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28D3E068">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48BC2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342" w:type="pct"/>
            <w:vMerge w:val="continue"/>
            <w:tcBorders>
              <w:tl2br w:val="nil"/>
              <w:tr2bl w:val="nil"/>
            </w:tcBorders>
            <w:shd w:val="clear" w:color="auto" w:fill="auto"/>
            <w:noWrap/>
            <w:vAlign w:val="center"/>
          </w:tcPr>
          <w:p w14:paraId="633D8823">
            <w:pPr>
              <w:spacing w:line="360" w:lineRule="auto"/>
              <w:jc w:val="center"/>
              <w:rPr>
                <w:rFonts w:hint="eastAsia" w:ascii="仿宋" w:hAnsi="仿宋" w:eastAsia="仿宋" w:cs="仿宋"/>
                <w:i w:val="0"/>
                <w:iCs w:val="0"/>
                <w:color w:val="000000"/>
                <w:sz w:val="24"/>
                <w:szCs w:val="24"/>
                <w:u w:val="none"/>
              </w:rPr>
            </w:pPr>
          </w:p>
        </w:tc>
        <w:tc>
          <w:tcPr>
            <w:tcW w:w="556" w:type="pct"/>
            <w:vMerge w:val="continue"/>
            <w:tcBorders>
              <w:tl2br w:val="nil"/>
              <w:tr2bl w:val="nil"/>
            </w:tcBorders>
            <w:shd w:val="clear" w:color="auto" w:fill="auto"/>
            <w:vAlign w:val="center"/>
          </w:tcPr>
          <w:p w14:paraId="6D28897A">
            <w:pPr>
              <w:spacing w:line="360" w:lineRule="auto"/>
              <w:jc w:val="center"/>
              <w:rPr>
                <w:rFonts w:hint="eastAsia" w:ascii="仿宋" w:hAnsi="仿宋" w:eastAsia="仿宋" w:cs="仿宋"/>
                <w:i w:val="0"/>
                <w:iCs w:val="0"/>
                <w:color w:val="000000"/>
                <w:sz w:val="24"/>
                <w:szCs w:val="24"/>
                <w:u w:val="none"/>
              </w:rPr>
            </w:pPr>
          </w:p>
        </w:tc>
        <w:tc>
          <w:tcPr>
            <w:tcW w:w="1756" w:type="pct"/>
            <w:tcBorders>
              <w:tl2br w:val="nil"/>
              <w:tr2bl w:val="nil"/>
            </w:tcBorders>
            <w:shd w:val="clear" w:color="auto" w:fill="auto"/>
            <w:vAlign w:val="center"/>
          </w:tcPr>
          <w:p w14:paraId="4D729E11">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宣传推广服务提供宣传材料制作和开展推广活动服务。</w:t>
            </w:r>
          </w:p>
        </w:tc>
        <w:tc>
          <w:tcPr>
            <w:tcW w:w="560" w:type="pct"/>
            <w:tcBorders>
              <w:tl2br w:val="nil"/>
              <w:tr2bl w:val="nil"/>
            </w:tcBorders>
            <w:shd w:val="clear" w:color="auto" w:fill="auto"/>
            <w:noWrap/>
            <w:vAlign w:val="center"/>
          </w:tcPr>
          <w:p w14:paraId="19A8807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2.080 </w:t>
            </w:r>
          </w:p>
        </w:tc>
        <w:tc>
          <w:tcPr>
            <w:tcW w:w="409" w:type="pct"/>
            <w:tcBorders>
              <w:tl2br w:val="nil"/>
              <w:tr2bl w:val="nil"/>
            </w:tcBorders>
            <w:shd w:val="clear" w:color="auto" w:fill="auto"/>
            <w:noWrap/>
            <w:vAlign w:val="center"/>
          </w:tcPr>
          <w:p w14:paraId="00A5009A">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31136E3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1.000 </w:t>
            </w:r>
          </w:p>
        </w:tc>
        <w:tc>
          <w:tcPr>
            <w:tcW w:w="480" w:type="pct"/>
            <w:tcBorders>
              <w:tl2br w:val="nil"/>
              <w:tr2bl w:val="nil"/>
            </w:tcBorders>
            <w:shd w:val="clear" w:color="auto" w:fill="auto"/>
            <w:noWrap/>
            <w:vAlign w:val="center"/>
          </w:tcPr>
          <w:p w14:paraId="3697712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3D74F249">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04AF1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5000" w:type="pct"/>
            <w:gridSpan w:val="8"/>
            <w:tcBorders>
              <w:tl2br w:val="nil"/>
              <w:tr2bl w:val="nil"/>
            </w:tcBorders>
            <w:shd w:val="clear" w:color="auto" w:fill="auto"/>
            <w:noWrap/>
            <w:vAlign w:val="center"/>
          </w:tcPr>
          <w:p w14:paraId="278D8A03">
            <w:pPr>
              <w:spacing w:line="360" w:lineRule="auto"/>
              <w:jc w:val="left"/>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（二）视觉AI组件</w:t>
            </w:r>
          </w:p>
        </w:tc>
      </w:tr>
      <w:tr w14:paraId="5B7416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tcBorders>
              <w:tl2br w:val="nil"/>
              <w:tr2bl w:val="nil"/>
            </w:tcBorders>
            <w:shd w:val="clear" w:color="auto" w:fill="auto"/>
            <w:noWrap/>
            <w:vAlign w:val="center"/>
          </w:tcPr>
          <w:p w14:paraId="58C314F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556" w:type="pct"/>
            <w:tcBorders>
              <w:tl2br w:val="nil"/>
              <w:tr2bl w:val="nil"/>
            </w:tcBorders>
            <w:shd w:val="clear" w:color="auto" w:fill="auto"/>
            <w:noWrap/>
            <w:vAlign w:val="center"/>
          </w:tcPr>
          <w:p w14:paraId="7310793F">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视觉AI组件</w:t>
            </w:r>
          </w:p>
        </w:tc>
        <w:tc>
          <w:tcPr>
            <w:tcW w:w="1756" w:type="pct"/>
            <w:tcBorders>
              <w:tl2br w:val="nil"/>
              <w:tr2bl w:val="nil"/>
            </w:tcBorders>
            <w:shd w:val="clear" w:color="auto" w:fill="auto"/>
            <w:vAlign w:val="center"/>
          </w:tcPr>
          <w:p w14:paraId="08CFB360">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提供包含证件识别、银行卡识别、多证照识别、通用文稿识别等服务。</w:t>
            </w:r>
          </w:p>
        </w:tc>
        <w:tc>
          <w:tcPr>
            <w:tcW w:w="560" w:type="pct"/>
            <w:tcBorders>
              <w:tl2br w:val="nil"/>
              <w:tr2bl w:val="nil"/>
            </w:tcBorders>
            <w:shd w:val="clear" w:color="auto" w:fill="auto"/>
            <w:noWrap/>
            <w:vAlign w:val="center"/>
          </w:tcPr>
          <w:p w14:paraId="4BECC844">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2.975 </w:t>
            </w:r>
          </w:p>
        </w:tc>
        <w:tc>
          <w:tcPr>
            <w:tcW w:w="409" w:type="pct"/>
            <w:tcBorders>
              <w:tl2br w:val="nil"/>
              <w:tr2bl w:val="nil"/>
            </w:tcBorders>
            <w:shd w:val="clear" w:color="auto" w:fill="auto"/>
            <w:noWrap/>
            <w:vAlign w:val="center"/>
          </w:tcPr>
          <w:p w14:paraId="56D87BAB">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6C6DDB6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5.000 </w:t>
            </w:r>
          </w:p>
        </w:tc>
        <w:tc>
          <w:tcPr>
            <w:tcW w:w="480" w:type="pct"/>
            <w:tcBorders>
              <w:tl2br w:val="nil"/>
              <w:tr2bl w:val="nil"/>
            </w:tcBorders>
            <w:shd w:val="clear" w:color="auto" w:fill="auto"/>
            <w:noWrap/>
            <w:vAlign w:val="center"/>
          </w:tcPr>
          <w:p w14:paraId="011AAE0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月</w:t>
            </w:r>
          </w:p>
        </w:tc>
        <w:tc>
          <w:tcPr>
            <w:tcW w:w="499" w:type="pct"/>
            <w:tcBorders>
              <w:tl2br w:val="nil"/>
              <w:tr2bl w:val="nil"/>
            </w:tcBorders>
            <w:shd w:val="clear" w:color="auto" w:fill="auto"/>
            <w:noWrap/>
            <w:vAlign w:val="center"/>
          </w:tcPr>
          <w:p w14:paraId="6F940096">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250CC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vMerge w:val="restart"/>
            <w:tcBorders>
              <w:tl2br w:val="nil"/>
              <w:tr2bl w:val="nil"/>
            </w:tcBorders>
            <w:shd w:val="clear" w:color="auto" w:fill="auto"/>
            <w:noWrap/>
            <w:vAlign w:val="center"/>
          </w:tcPr>
          <w:p w14:paraId="1D1752F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556" w:type="pct"/>
            <w:vMerge w:val="restart"/>
            <w:tcBorders>
              <w:tl2br w:val="nil"/>
              <w:tr2bl w:val="nil"/>
            </w:tcBorders>
            <w:shd w:val="clear" w:color="auto" w:fill="auto"/>
            <w:noWrap/>
            <w:vAlign w:val="center"/>
          </w:tcPr>
          <w:p w14:paraId="5F06888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支撑性服务</w:t>
            </w:r>
          </w:p>
        </w:tc>
        <w:tc>
          <w:tcPr>
            <w:tcW w:w="1756" w:type="pct"/>
            <w:tcBorders>
              <w:tl2br w:val="nil"/>
              <w:tr2bl w:val="nil"/>
            </w:tcBorders>
            <w:shd w:val="clear" w:color="auto" w:fill="auto"/>
            <w:vAlign w:val="center"/>
          </w:tcPr>
          <w:p w14:paraId="7E28AC51">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提供包括：业务应用对接服务、数据分析服务、操作指导服务、安全运营服务和重保专项运营。</w:t>
            </w:r>
          </w:p>
        </w:tc>
        <w:tc>
          <w:tcPr>
            <w:tcW w:w="560" w:type="pct"/>
            <w:tcBorders>
              <w:tl2br w:val="nil"/>
              <w:tr2bl w:val="nil"/>
            </w:tcBorders>
            <w:shd w:val="clear" w:color="auto" w:fill="auto"/>
            <w:noWrap/>
            <w:vAlign w:val="center"/>
          </w:tcPr>
          <w:p w14:paraId="0BEDAFC3">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24.3648</w:t>
            </w:r>
          </w:p>
        </w:tc>
        <w:tc>
          <w:tcPr>
            <w:tcW w:w="409" w:type="pct"/>
            <w:tcBorders>
              <w:tl2br w:val="nil"/>
              <w:tr2bl w:val="nil"/>
            </w:tcBorders>
            <w:shd w:val="clear" w:color="auto" w:fill="auto"/>
            <w:noWrap/>
            <w:vAlign w:val="center"/>
          </w:tcPr>
          <w:p w14:paraId="0F2941A7">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4BBB4F5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1.000 </w:t>
            </w:r>
          </w:p>
        </w:tc>
        <w:tc>
          <w:tcPr>
            <w:tcW w:w="480" w:type="pct"/>
            <w:tcBorders>
              <w:tl2br w:val="nil"/>
              <w:tr2bl w:val="nil"/>
            </w:tcBorders>
            <w:shd w:val="clear" w:color="auto" w:fill="auto"/>
            <w:noWrap/>
            <w:vAlign w:val="center"/>
          </w:tcPr>
          <w:p w14:paraId="26BD6A5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77269260">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4E5EF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342" w:type="pct"/>
            <w:vMerge w:val="continue"/>
            <w:tcBorders>
              <w:tl2br w:val="nil"/>
              <w:tr2bl w:val="nil"/>
            </w:tcBorders>
            <w:shd w:val="clear" w:color="auto" w:fill="auto"/>
            <w:noWrap/>
            <w:vAlign w:val="center"/>
          </w:tcPr>
          <w:p w14:paraId="2536CAE7">
            <w:pPr>
              <w:spacing w:line="360" w:lineRule="auto"/>
              <w:jc w:val="center"/>
              <w:rPr>
                <w:rFonts w:hint="eastAsia" w:ascii="仿宋" w:hAnsi="仿宋" w:eastAsia="仿宋" w:cs="仿宋"/>
                <w:i w:val="0"/>
                <w:iCs w:val="0"/>
                <w:color w:val="000000"/>
                <w:sz w:val="24"/>
                <w:szCs w:val="24"/>
                <w:u w:val="none"/>
              </w:rPr>
            </w:pPr>
          </w:p>
        </w:tc>
        <w:tc>
          <w:tcPr>
            <w:tcW w:w="556" w:type="pct"/>
            <w:vMerge w:val="continue"/>
            <w:tcBorders>
              <w:tl2br w:val="nil"/>
              <w:tr2bl w:val="nil"/>
            </w:tcBorders>
            <w:shd w:val="clear" w:color="auto" w:fill="auto"/>
            <w:noWrap/>
            <w:vAlign w:val="center"/>
          </w:tcPr>
          <w:p w14:paraId="05276026">
            <w:pPr>
              <w:spacing w:line="360" w:lineRule="auto"/>
              <w:jc w:val="center"/>
              <w:rPr>
                <w:rFonts w:hint="eastAsia" w:ascii="仿宋" w:hAnsi="仿宋" w:eastAsia="仿宋" w:cs="仿宋"/>
                <w:i w:val="0"/>
                <w:iCs w:val="0"/>
                <w:color w:val="000000"/>
                <w:sz w:val="24"/>
                <w:szCs w:val="24"/>
                <w:u w:val="none"/>
              </w:rPr>
            </w:pPr>
          </w:p>
        </w:tc>
        <w:tc>
          <w:tcPr>
            <w:tcW w:w="1756" w:type="pct"/>
            <w:tcBorders>
              <w:tl2br w:val="nil"/>
              <w:tr2bl w:val="nil"/>
            </w:tcBorders>
            <w:shd w:val="clear" w:color="auto" w:fill="auto"/>
            <w:vAlign w:val="center"/>
          </w:tcPr>
          <w:p w14:paraId="7A78A369">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宣传推广服务提供宣传材料制作和开展推广活动服务。</w:t>
            </w:r>
          </w:p>
        </w:tc>
        <w:tc>
          <w:tcPr>
            <w:tcW w:w="560" w:type="pct"/>
            <w:tcBorders>
              <w:tl2br w:val="nil"/>
              <w:tr2bl w:val="nil"/>
            </w:tcBorders>
            <w:shd w:val="clear" w:color="auto" w:fill="auto"/>
            <w:noWrap/>
            <w:vAlign w:val="center"/>
          </w:tcPr>
          <w:p w14:paraId="4A11C08B">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2.080 </w:t>
            </w:r>
          </w:p>
        </w:tc>
        <w:tc>
          <w:tcPr>
            <w:tcW w:w="409" w:type="pct"/>
            <w:tcBorders>
              <w:tl2br w:val="nil"/>
              <w:tr2bl w:val="nil"/>
            </w:tcBorders>
            <w:shd w:val="clear" w:color="auto" w:fill="auto"/>
            <w:noWrap/>
            <w:vAlign w:val="center"/>
          </w:tcPr>
          <w:p w14:paraId="154F77FC">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5AC4560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1.000 </w:t>
            </w:r>
          </w:p>
        </w:tc>
        <w:tc>
          <w:tcPr>
            <w:tcW w:w="480" w:type="pct"/>
            <w:tcBorders>
              <w:tl2br w:val="nil"/>
              <w:tr2bl w:val="nil"/>
            </w:tcBorders>
            <w:shd w:val="clear" w:color="auto" w:fill="auto"/>
            <w:noWrap/>
            <w:vAlign w:val="center"/>
          </w:tcPr>
          <w:p w14:paraId="34C8158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01997F6B">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33865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5000" w:type="pct"/>
            <w:gridSpan w:val="8"/>
            <w:tcBorders>
              <w:tl2br w:val="nil"/>
              <w:tr2bl w:val="nil"/>
            </w:tcBorders>
            <w:shd w:val="clear" w:color="auto" w:fill="auto"/>
            <w:noWrap/>
            <w:vAlign w:val="center"/>
          </w:tcPr>
          <w:p w14:paraId="77BF02F1">
            <w:pPr>
              <w:spacing w:line="360" w:lineRule="auto"/>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（三）语音AI服务</w:t>
            </w:r>
          </w:p>
        </w:tc>
      </w:tr>
      <w:tr w14:paraId="5C8BC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tcBorders>
              <w:tl2br w:val="nil"/>
              <w:tr2bl w:val="nil"/>
            </w:tcBorders>
            <w:shd w:val="clear" w:color="auto" w:fill="FFFFFF"/>
            <w:vAlign w:val="center"/>
          </w:tcPr>
          <w:p w14:paraId="629AB81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556" w:type="pct"/>
            <w:tcBorders>
              <w:tl2br w:val="nil"/>
              <w:tr2bl w:val="nil"/>
            </w:tcBorders>
            <w:shd w:val="clear" w:color="auto" w:fill="auto"/>
            <w:vAlign w:val="center"/>
          </w:tcPr>
          <w:p w14:paraId="7994299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语音AI服务</w:t>
            </w:r>
          </w:p>
        </w:tc>
        <w:tc>
          <w:tcPr>
            <w:tcW w:w="1756" w:type="pct"/>
            <w:tcBorders>
              <w:tl2br w:val="nil"/>
              <w:tr2bl w:val="nil"/>
            </w:tcBorders>
            <w:shd w:val="clear" w:color="auto" w:fill="auto"/>
            <w:vAlign w:val="center"/>
          </w:tcPr>
          <w:p w14:paraId="54DAF840">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面向各部门业务系统提供语音听写、语音转写、录音转写和语音合成等服务</w:t>
            </w:r>
          </w:p>
        </w:tc>
        <w:tc>
          <w:tcPr>
            <w:tcW w:w="560" w:type="pct"/>
            <w:tcBorders>
              <w:tl2br w:val="nil"/>
              <w:tr2bl w:val="nil"/>
            </w:tcBorders>
            <w:shd w:val="clear" w:color="auto" w:fill="FFFFFF"/>
            <w:vAlign w:val="center"/>
          </w:tcPr>
          <w:p w14:paraId="12C0BEA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28.247 </w:t>
            </w:r>
          </w:p>
        </w:tc>
        <w:tc>
          <w:tcPr>
            <w:tcW w:w="409" w:type="pct"/>
            <w:tcBorders>
              <w:tl2br w:val="nil"/>
              <w:tr2bl w:val="nil"/>
            </w:tcBorders>
            <w:shd w:val="clear" w:color="auto" w:fill="FFFFFF"/>
            <w:vAlign w:val="center"/>
          </w:tcPr>
          <w:p w14:paraId="25F97B0C">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FFFFFF"/>
            <w:vAlign w:val="center"/>
          </w:tcPr>
          <w:p w14:paraId="2ECFED5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5.00 </w:t>
            </w:r>
          </w:p>
        </w:tc>
        <w:tc>
          <w:tcPr>
            <w:tcW w:w="480" w:type="pct"/>
            <w:tcBorders>
              <w:tl2br w:val="nil"/>
              <w:tr2bl w:val="nil"/>
            </w:tcBorders>
            <w:shd w:val="clear" w:color="auto" w:fill="auto"/>
            <w:noWrap/>
            <w:vAlign w:val="center"/>
          </w:tcPr>
          <w:p w14:paraId="4267FC6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月</w:t>
            </w:r>
          </w:p>
        </w:tc>
        <w:tc>
          <w:tcPr>
            <w:tcW w:w="499" w:type="pct"/>
            <w:tcBorders>
              <w:tl2br w:val="nil"/>
              <w:tr2bl w:val="nil"/>
            </w:tcBorders>
            <w:shd w:val="clear" w:color="auto" w:fill="auto"/>
            <w:noWrap/>
            <w:vAlign w:val="center"/>
          </w:tcPr>
          <w:p w14:paraId="6C4FF8EA">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6E490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vMerge w:val="restart"/>
            <w:tcBorders>
              <w:tl2br w:val="nil"/>
              <w:tr2bl w:val="nil"/>
            </w:tcBorders>
            <w:shd w:val="clear" w:color="auto" w:fill="FFFFFF"/>
            <w:vAlign w:val="center"/>
          </w:tcPr>
          <w:p w14:paraId="0E337DF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556" w:type="pct"/>
            <w:vMerge w:val="restart"/>
            <w:tcBorders>
              <w:tl2br w:val="nil"/>
              <w:tr2bl w:val="nil"/>
            </w:tcBorders>
            <w:shd w:val="clear" w:color="auto" w:fill="auto"/>
            <w:vAlign w:val="center"/>
          </w:tcPr>
          <w:p w14:paraId="7E662404">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支撑性服务</w:t>
            </w:r>
          </w:p>
        </w:tc>
        <w:tc>
          <w:tcPr>
            <w:tcW w:w="1756" w:type="pct"/>
            <w:tcBorders>
              <w:tl2br w:val="nil"/>
              <w:tr2bl w:val="nil"/>
            </w:tcBorders>
            <w:shd w:val="clear" w:color="auto" w:fill="auto"/>
            <w:vAlign w:val="center"/>
          </w:tcPr>
          <w:p w14:paraId="177B1473">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提供包括：业务应用对接服务、数据分析服务、操作指导服务、安全运营服务和重保专项运营。</w:t>
            </w:r>
          </w:p>
        </w:tc>
        <w:tc>
          <w:tcPr>
            <w:tcW w:w="560" w:type="pct"/>
            <w:tcBorders>
              <w:tl2br w:val="nil"/>
              <w:tr2bl w:val="nil"/>
            </w:tcBorders>
            <w:shd w:val="clear" w:color="auto" w:fill="auto"/>
            <w:noWrap/>
            <w:vAlign w:val="center"/>
          </w:tcPr>
          <w:p w14:paraId="4917DBA3">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24.3648</w:t>
            </w:r>
          </w:p>
        </w:tc>
        <w:tc>
          <w:tcPr>
            <w:tcW w:w="409" w:type="pct"/>
            <w:tcBorders>
              <w:tl2br w:val="nil"/>
              <w:tr2bl w:val="nil"/>
            </w:tcBorders>
            <w:shd w:val="clear" w:color="auto" w:fill="auto"/>
            <w:noWrap/>
            <w:vAlign w:val="center"/>
          </w:tcPr>
          <w:p w14:paraId="336F7015">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2A4582A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 </w:t>
            </w:r>
          </w:p>
        </w:tc>
        <w:tc>
          <w:tcPr>
            <w:tcW w:w="480" w:type="pct"/>
            <w:tcBorders>
              <w:tl2br w:val="nil"/>
              <w:tr2bl w:val="nil"/>
            </w:tcBorders>
            <w:shd w:val="clear" w:color="auto" w:fill="auto"/>
            <w:noWrap/>
            <w:vAlign w:val="center"/>
          </w:tcPr>
          <w:p w14:paraId="61EFB8F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71BB4C45">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10783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342" w:type="pct"/>
            <w:vMerge w:val="continue"/>
            <w:tcBorders>
              <w:tl2br w:val="nil"/>
              <w:tr2bl w:val="nil"/>
            </w:tcBorders>
            <w:shd w:val="clear" w:color="auto" w:fill="FFFFFF"/>
            <w:vAlign w:val="center"/>
          </w:tcPr>
          <w:p w14:paraId="724CA6C8">
            <w:pPr>
              <w:spacing w:line="360" w:lineRule="auto"/>
              <w:jc w:val="center"/>
              <w:rPr>
                <w:rFonts w:hint="eastAsia" w:ascii="仿宋" w:hAnsi="仿宋" w:eastAsia="仿宋" w:cs="仿宋"/>
                <w:i w:val="0"/>
                <w:iCs w:val="0"/>
                <w:color w:val="000000"/>
                <w:sz w:val="24"/>
                <w:szCs w:val="24"/>
                <w:u w:val="none"/>
              </w:rPr>
            </w:pPr>
          </w:p>
        </w:tc>
        <w:tc>
          <w:tcPr>
            <w:tcW w:w="556" w:type="pct"/>
            <w:vMerge w:val="continue"/>
            <w:tcBorders>
              <w:tl2br w:val="nil"/>
              <w:tr2bl w:val="nil"/>
            </w:tcBorders>
            <w:shd w:val="clear" w:color="auto" w:fill="auto"/>
            <w:vAlign w:val="center"/>
          </w:tcPr>
          <w:p w14:paraId="753A2707">
            <w:pPr>
              <w:spacing w:line="360" w:lineRule="auto"/>
              <w:jc w:val="center"/>
              <w:rPr>
                <w:rFonts w:hint="eastAsia" w:ascii="仿宋" w:hAnsi="仿宋" w:eastAsia="仿宋" w:cs="仿宋"/>
                <w:i w:val="0"/>
                <w:iCs w:val="0"/>
                <w:color w:val="000000"/>
                <w:sz w:val="24"/>
                <w:szCs w:val="24"/>
                <w:u w:val="none"/>
              </w:rPr>
            </w:pPr>
          </w:p>
        </w:tc>
        <w:tc>
          <w:tcPr>
            <w:tcW w:w="1756" w:type="pct"/>
            <w:tcBorders>
              <w:tl2br w:val="nil"/>
              <w:tr2bl w:val="nil"/>
            </w:tcBorders>
            <w:shd w:val="clear" w:color="auto" w:fill="auto"/>
            <w:vAlign w:val="center"/>
          </w:tcPr>
          <w:p w14:paraId="7694741D">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宣传推广服务提供宣传材料制作和开展推广活动服务。</w:t>
            </w:r>
          </w:p>
        </w:tc>
        <w:tc>
          <w:tcPr>
            <w:tcW w:w="560" w:type="pct"/>
            <w:tcBorders>
              <w:tl2br w:val="nil"/>
              <w:tr2bl w:val="nil"/>
            </w:tcBorders>
            <w:shd w:val="clear" w:color="auto" w:fill="auto"/>
            <w:noWrap/>
            <w:vAlign w:val="center"/>
          </w:tcPr>
          <w:p w14:paraId="34031EA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2.080 </w:t>
            </w:r>
          </w:p>
        </w:tc>
        <w:tc>
          <w:tcPr>
            <w:tcW w:w="409" w:type="pct"/>
            <w:tcBorders>
              <w:tl2br w:val="nil"/>
              <w:tr2bl w:val="nil"/>
            </w:tcBorders>
            <w:shd w:val="clear" w:color="auto" w:fill="auto"/>
            <w:noWrap/>
            <w:vAlign w:val="center"/>
          </w:tcPr>
          <w:p w14:paraId="5061BE5F">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305B2D4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 </w:t>
            </w:r>
          </w:p>
        </w:tc>
        <w:tc>
          <w:tcPr>
            <w:tcW w:w="480" w:type="pct"/>
            <w:tcBorders>
              <w:tl2br w:val="nil"/>
              <w:tr2bl w:val="nil"/>
            </w:tcBorders>
            <w:shd w:val="clear" w:color="auto" w:fill="auto"/>
            <w:noWrap/>
            <w:vAlign w:val="center"/>
          </w:tcPr>
          <w:p w14:paraId="578519B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675B935B">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059AC3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5000" w:type="pct"/>
            <w:gridSpan w:val="8"/>
            <w:tcBorders>
              <w:tl2br w:val="nil"/>
              <w:tr2bl w:val="nil"/>
            </w:tcBorders>
            <w:shd w:val="clear" w:color="auto" w:fill="auto"/>
            <w:noWrap/>
            <w:vAlign w:val="center"/>
          </w:tcPr>
          <w:p w14:paraId="13FE1905">
            <w:pPr>
              <w:spacing w:line="360" w:lineRule="auto"/>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（四）统一密码服务</w:t>
            </w:r>
          </w:p>
        </w:tc>
      </w:tr>
      <w:tr w14:paraId="55702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tcBorders>
              <w:tl2br w:val="nil"/>
              <w:tr2bl w:val="nil"/>
            </w:tcBorders>
            <w:shd w:val="clear" w:color="auto" w:fill="auto"/>
            <w:noWrap/>
            <w:vAlign w:val="center"/>
          </w:tcPr>
          <w:p w14:paraId="32899E4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4.1</w:t>
            </w:r>
          </w:p>
        </w:tc>
        <w:tc>
          <w:tcPr>
            <w:tcW w:w="556" w:type="pct"/>
            <w:tcBorders>
              <w:tl2br w:val="nil"/>
              <w:tr2bl w:val="nil"/>
            </w:tcBorders>
            <w:shd w:val="clear" w:color="auto" w:fill="auto"/>
            <w:vAlign w:val="center"/>
          </w:tcPr>
          <w:p w14:paraId="7CF6DC13">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密码基础安全服务</w:t>
            </w:r>
          </w:p>
        </w:tc>
        <w:tc>
          <w:tcPr>
            <w:tcW w:w="1756" w:type="pct"/>
            <w:tcBorders>
              <w:tl2br w:val="nil"/>
              <w:tr2bl w:val="nil"/>
            </w:tcBorders>
            <w:shd w:val="clear" w:color="auto" w:fill="auto"/>
            <w:vAlign w:val="center"/>
          </w:tcPr>
          <w:p w14:paraId="44E120DC">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该项服务为延续服务，主要提供信息机密性风险服务、信息完整性风险服务和抗抵赖与真实性风险服务</w:t>
            </w:r>
          </w:p>
        </w:tc>
        <w:tc>
          <w:tcPr>
            <w:tcW w:w="560" w:type="pct"/>
            <w:tcBorders>
              <w:tl2br w:val="nil"/>
              <w:tr2bl w:val="nil"/>
            </w:tcBorders>
            <w:shd w:val="clear" w:color="auto" w:fill="auto"/>
            <w:noWrap/>
            <w:vAlign w:val="center"/>
          </w:tcPr>
          <w:p w14:paraId="44B682F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0.628</w:t>
            </w:r>
          </w:p>
        </w:tc>
        <w:tc>
          <w:tcPr>
            <w:tcW w:w="409" w:type="pct"/>
            <w:tcBorders>
              <w:tl2br w:val="nil"/>
              <w:tr2bl w:val="nil"/>
            </w:tcBorders>
            <w:shd w:val="clear" w:color="auto" w:fill="auto"/>
            <w:noWrap/>
            <w:vAlign w:val="center"/>
          </w:tcPr>
          <w:p w14:paraId="1B9934F3">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15B05B2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115</w:t>
            </w:r>
          </w:p>
        </w:tc>
        <w:tc>
          <w:tcPr>
            <w:tcW w:w="480" w:type="pct"/>
            <w:tcBorders>
              <w:tl2br w:val="nil"/>
              <w:tr2bl w:val="nil"/>
            </w:tcBorders>
            <w:shd w:val="clear" w:color="auto" w:fill="auto"/>
            <w:noWrap/>
            <w:vAlign w:val="center"/>
          </w:tcPr>
          <w:p w14:paraId="12E6F1D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个应用</w:t>
            </w:r>
          </w:p>
        </w:tc>
        <w:tc>
          <w:tcPr>
            <w:tcW w:w="499" w:type="pct"/>
            <w:tcBorders>
              <w:tl2br w:val="nil"/>
              <w:tr2bl w:val="nil"/>
            </w:tcBorders>
            <w:shd w:val="clear" w:color="auto" w:fill="auto"/>
            <w:noWrap/>
            <w:vAlign w:val="center"/>
          </w:tcPr>
          <w:p w14:paraId="5F713EEA">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7F1EDA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tcBorders>
              <w:tl2br w:val="nil"/>
              <w:tr2bl w:val="nil"/>
            </w:tcBorders>
            <w:shd w:val="clear" w:color="auto" w:fill="auto"/>
            <w:noWrap/>
            <w:vAlign w:val="center"/>
          </w:tcPr>
          <w:p w14:paraId="78A5BF5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4.2</w:t>
            </w:r>
          </w:p>
        </w:tc>
        <w:tc>
          <w:tcPr>
            <w:tcW w:w="556" w:type="pct"/>
            <w:tcBorders>
              <w:tl2br w:val="nil"/>
              <w:tr2bl w:val="nil"/>
            </w:tcBorders>
            <w:shd w:val="clear" w:color="auto" w:fill="auto"/>
            <w:vAlign w:val="center"/>
          </w:tcPr>
          <w:p w14:paraId="1A41839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数据库加解密服务</w:t>
            </w:r>
          </w:p>
        </w:tc>
        <w:tc>
          <w:tcPr>
            <w:tcW w:w="1756" w:type="pct"/>
            <w:tcBorders>
              <w:tl2br w:val="nil"/>
              <w:tr2bl w:val="nil"/>
            </w:tcBorders>
            <w:shd w:val="clear" w:color="auto" w:fill="auto"/>
            <w:vAlign w:val="center"/>
          </w:tcPr>
          <w:p w14:paraId="5F88806E">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为数据提供加密、解密服务，提供国家标准商密SM3、SM4运算和随机数产生等密码安全服务</w:t>
            </w:r>
          </w:p>
        </w:tc>
        <w:tc>
          <w:tcPr>
            <w:tcW w:w="560" w:type="pct"/>
            <w:tcBorders>
              <w:tl2br w:val="nil"/>
              <w:tr2bl w:val="nil"/>
            </w:tcBorders>
            <w:shd w:val="clear" w:color="auto" w:fill="auto"/>
            <w:noWrap/>
            <w:vAlign w:val="center"/>
          </w:tcPr>
          <w:p w14:paraId="36FBD34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0.123</w:t>
            </w:r>
          </w:p>
        </w:tc>
        <w:tc>
          <w:tcPr>
            <w:tcW w:w="409" w:type="pct"/>
            <w:tcBorders>
              <w:tl2br w:val="nil"/>
              <w:tr2bl w:val="nil"/>
            </w:tcBorders>
            <w:shd w:val="clear" w:color="auto" w:fill="auto"/>
            <w:vAlign w:val="center"/>
          </w:tcPr>
          <w:p w14:paraId="01487664">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vAlign w:val="center"/>
          </w:tcPr>
          <w:p w14:paraId="3F23B9D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143</w:t>
            </w:r>
          </w:p>
        </w:tc>
        <w:tc>
          <w:tcPr>
            <w:tcW w:w="480" w:type="pct"/>
            <w:tcBorders>
              <w:tl2br w:val="nil"/>
              <w:tr2bl w:val="nil"/>
            </w:tcBorders>
            <w:shd w:val="clear" w:color="auto" w:fill="auto"/>
            <w:noWrap/>
            <w:vAlign w:val="center"/>
          </w:tcPr>
          <w:p w14:paraId="402C7093">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个应用</w:t>
            </w:r>
          </w:p>
        </w:tc>
        <w:tc>
          <w:tcPr>
            <w:tcW w:w="499" w:type="pct"/>
            <w:tcBorders>
              <w:tl2br w:val="nil"/>
              <w:tr2bl w:val="nil"/>
            </w:tcBorders>
            <w:shd w:val="clear" w:color="auto" w:fill="auto"/>
            <w:noWrap/>
            <w:vAlign w:val="center"/>
          </w:tcPr>
          <w:p w14:paraId="5CBE667C">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26D9EB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jc w:val="center"/>
        </w:trPr>
        <w:tc>
          <w:tcPr>
            <w:tcW w:w="342" w:type="pct"/>
            <w:tcBorders>
              <w:tl2br w:val="nil"/>
              <w:tr2bl w:val="nil"/>
            </w:tcBorders>
            <w:shd w:val="clear" w:color="auto" w:fill="auto"/>
            <w:noWrap/>
            <w:vAlign w:val="center"/>
          </w:tcPr>
          <w:p w14:paraId="6779780F">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w:t>
            </w:r>
          </w:p>
        </w:tc>
        <w:tc>
          <w:tcPr>
            <w:tcW w:w="556" w:type="pct"/>
            <w:tcBorders>
              <w:tl2br w:val="nil"/>
              <w:tr2bl w:val="nil"/>
            </w:tcBorders>
            <w:shd w:val="clear" w:color="auto" w:fill="auto"/>
            <w:vAlign w:val="center"/>
          </w:tcPr>
          <w:p w14:paraId="5A633AA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统一密码运行监管服务</w:t>
            </w:r>
          </w:p>
        </w:tc>
        <w:tc>
          <w:tcPr>
            <w:tcW w:w="1756" w:type="pct"/>
            <w:tcBorders>
              <w:tl2br w:val="nil"/>
              <w:tr2bl w:val="nil"/>
            </w:tcBorders>
            <w:shd w:val="clear" w:color="auto" w:fill="auto"/>
            <w:vAlign w:val="center"/>
          </w:tcPr>
          <w:p w14:paraId="5479E59B">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该项服务为新增服务，为省政务云西咸节点1（电信）、省政务云西咸节点2（联通）、省政务云西咸节点3（政法）和GHGY云密码服务资源提供统一监管能力</w:t>
            </w:r>
          </w:p>
        </w:tc>
        <w:tc>
          <w:tcPr>
            <w:tcW w:w="560" w:type="pct"/>
            <w:tcBorders>
              <w:tl2br w:val="nil"/>
              <w:tr2bl w:val="nil"/>
            </w:tcBorders>
            <w:shd w:val="clear" w:color="auto" w:fill="auto"/>
            <w:noWrap/>
            <w:vAlign w:val="center"/>
          </w:tcPr>
          <w:p w14:paraId="3BA2CD5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5.55 </w:t>
            </w:r>
          </w:p>
        </w:tc>
        <w:tc>
          <w:tcPr>
            <w:tcW w:w="409" w:type="pct"/>
            <w:tcBorders>
              <w:tl2br w:val="nil"/>
              <w:tr2bl w:val="nil"/>
            </w:tcBorders>
            <w:shd w:val="clear" w:color="auto" w:fill="auto"/>
            <w:noWrap/>
            <w:vAlign w:val="center"/>
          </w:tcPr>
          <w:p w14:paraId="6B36E1A4">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6E1A725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480" w:type="pct"/>
            <w:tcBorders>
              <w:tl2br w:val="nil"/>
              <w:tr2bl w:val="nil"/>
            </w:tcBorders>
            <w:shd w:val="clear" w:color="auto" w:fill="auto"/>
            <w:noWrap/>
            <w:vAlign w:val="center"/>
          </w:tcPr>
          <w:p w14:paraId="365F8D64">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5FA0ECDF">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00DE8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jc w:val="center"/>
        </w:trPr>
        <w:tc>
          <w:tcPr>
            <w:tcW w:w="342" w:type="pct"/>
            <w:vMerge w:val="restart"/>
            <w:tcBorders>
              <w:tl2br w:val="nil"/>
              <w:tr2bl w:val="nil"/>
            </w:tcBorders>
            <w:shd w:val="clear" w:color="auto" w:fill="auto"/>
            <w:noWrap/>
            <w:vAlign w:val="center"/>
          </w:tcPr>
          <w:p w14:paraId="298DDFA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w:t>
            </w:r>
          </w:p>
        </w:tc>
        <w:tc>
          <w:tcPr>
            <w:tcW w:w="556" w:type="pct"/>
            <w:vMerge w:val="restart"/>
            <w:tcBorders>
              <w:tl2br w:val="nil"/>
              <w:tr2bl w:val="nil"/>
            </w:tcBorders>
            <w:shd w:val="clear" w:color="auto" w:fill="auto"/>
            <w:vAlign w:val="center"/>
          </w:tcPr>
          <w:p w14:paraId="5BE0EC0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支撑性服务</w:t>
            </w:r>
          </w:p>
        </w:tc>
        <w:tc>
          <w:tcPr>
            <w:tcW w:w="1756" w:type="pct"/>
            <w:tcBorders>
              <w:tl2br w:val="nil"/>
              <w:tr2bl w:val="nil"/>
            </w:tcBorders>
            <w:shd w:val="clear" w:color="auto" w:fill="auto"/>
            <w:vAlign w:val="center"/>
          </w:tcPr>
          <w:p w14:paraId="6F0777EA">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提供包括：业务应用对接服务、数据分析服务、操作指导服务、安全运营服务、重保专项运营、密码服务状态监测、数据处理、故障处理、日常巡检等服务内容</w:t>
            </w:r>
          </w:p>
        </w:tc>
        <w:tc>
          <w:tcPr>
            <w:tcW w:w="560" w:type="pct"/>
            <w:tcBorders>
              <w:tl2br w:val="nil"/>
              <w:tr2bl w:val="nil"/>
            </w:tcBorders>
            <w:shd w:val="clear" w:color="auto" w:fill="auto"/>
            <w:noWrap/>
            <w:vAlign w:val="center"/>
          </w:tcPr>
          <w:p w14:paraId="31F6D17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173.00 </w:t>
            </w:r>
          </w:p>
        </w:tc>
        <w:tc>
          <w:tcPr>
            <w:tcW w:w="409" w:type="pct"/>
            <w:tcBorders>
              <w:tl2br w:val="nil"/>
              <w:tr2bl w:val="nil"/>
            </w:tcBorders>
            <w:shd w:val="clear" w:color="auto" w:fill="auto"/>
            <w:noWrap/>
            <w:vAlign w:val="center"/>
          </w:tcPr>
          <w:p w14:paraId="2D04403D">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546C9AA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480" w:type="pct"/>
            <w:tcBorders>
              <w:tl2br w:val="nil"/>
              <w:tr2bl w:val="nil"/>
            </w:tcBorders>
            <w:shd w:val="clear" w:color="auto" w:fill="auto"/>
            <w:noWrap/>
            <w:vAlign w:val="center"/>
          </w:tcPr>
          <w:p w14:paraId="29F3551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065B2FC0">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3D49D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342" w:type="pct"/>
            <w:vMerge w:val="continue"/>
            <w:tcBorders>
              <w:tl2br w:val="nil"/>
              <w:tr2bl w:val="nil"/>
            </w:tcBorders>
            <w:shd w:val="clear" w:color="auto" w:fill="auto"/>
            <w:noWrap/>
            <w:vAlign w:val="center"/>
          </w:tcPr>
          <w:p w14:paraId="24E9B607">
            <w:pPr>
              <w:spacing w:line="360" w:lineRule="auto"/>
              <w:jc w:val="center"/>
              <w:rPr>
                <w:rFonts w:hint="eastAsia" w:ascii="仿宋" w:hAnsi="仿宋" w:eastAsia="仿宋" w:cs="仿宋"/>
                <w:i w:val="0"/>
                <w:iCs w:val="0"/>
                <w:color w:val="000000"/>
                <w:sz w:val="24"/>
                <w:szCs w:val="24"/>
                <w:u w:val="none"/>
              </w:rPr>
            </w:pPr>
          </w:p>
        </w:tc>
        <w:tc>
          <w:tcPr>
            <w:tcW w:w="556" w:type="pct"/>
            <w:vMerge w:val="continue"/>
            <w:tcBorders>
              <w:tl2br w:val="nil"/>
              <w:tr2bl w:val="nil"/>
            </w:tcBorders>
            <w:shd w:val="clear" w:color="auto" w:fill="auto"/>
            <w:vAlign w:val="center"/>
          </w:tcPr>
          <w:p w14:paraId="4F3C314C">
            <w:pPr>
              <w:spacing w:line="360" w:lineRule="auto"/>
              <w:jc w:val="center"/>
              <w:rPr>
                <w:rFonts w:hint="eastAsia" w:ascii="仿宋" w:hAnsi="仿宋" w:eastAsia="仿宋" w:cs="仿宋"/>
                <w:i w:val="0"/>
                <w:iCs w:val="0"/>
                <w:color w:val="000000"/>
                <w:sz w:val="24"/>
                <w:szCs w:val="24"/>
                <w:u w:val="none"/>
              </w:rPr>
            </w:pPr>
          </w:p>
        </w:tc>
        <w:tc>
          <w:tcPr>
            <w:tcW w:w="1756" w:type="pct"/>
            <w:tcBorders>
              <w:tl2br w:val="nil"/>
              <w:tr2bl w:val="nil"/>
            </w:tcBorders>
            <w:shd w:val="clear" w:color="auto" w:fill="auto"/>
            <w:vAlign w:val="center"/>
          </w:tcPr>
          <w:p w14:paraId="00C0B29F">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宣传推广服务提供宣传材料制作和开展推广活动服务。</w:t>
            </w:r>
          </w:p>
        </w:tc>
        <w:tc>
          <w:tcPr>
            <w:tcW w:w="560" w:type="pct"/>
            <w:tcBorders>
              <w:tl2br w:val="nil"/>
              <w:tr2bl w:val="nil"/>
            </w:tcBorders>
            <w:shd w:val="clear" w:color="auto" w:fill="auto"/>
            <w:noWrap/>
            <w:vAlign w:val="center"/>
          </w:tcPr>
          <w:p w14:paraId="5481BC9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2.16 </w:t>
            </w:r>
          </w:p>
        </w:tc>
        <w:tc>
          <w:tcPr>
            <w:tcW w:w="409" w:type="pct"/>
            <w:tcBorders>
              <w:tl2br w:val="nil"/>
              <w:tr2bl w:val="nil"/>
            </w:tcBorders>
            <w:shd w:val="clear" w:color="auto" w:fill="auto"/>
            <w:noWrap/>
            <w:vAlign w:val="center"/>
          </w:tcPr>
          <w:p w14:paraId="2D29D1B9">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452A814B">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 </w:t>
            </w:r>
          </w:p>
        </w:tc>
        <w:tc>
          <w:tcPr>
            <w:tcW w:w="480" w:type="pct"/>
            <w:tcBorders>
              <w:tl2br w:val="nil"/>
              <w:tr2bl w:val="nil"/>
            </w:tcBorders>
            <w:shd w:val="clear" w:color="auto" w:fill="auto"/>
            <w:noWrap/>
            <w:vAlign w:val="center"/>
          </w:tcPr>
          <w:p w14:paraId="4CC954BB">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28BF3C07">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72FC0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5000" w:type="pct"/>
            <w:gridSpan w:val="8"/>
            <w:tcBorders>
              <w:tl2br w:val="nil"/>
              <w:tr2bl w:val="nil"/>
            </w:tcBorders>
            <w:shd w:val="clear" w:color="auto" w:fill="auto"/>
            <w:noWrap/>
            <w:vAlign w:val="center"/>
          </w:tcPr>
          <w:p w14:paraId="3872D024">
            <w:pPr>
              <w:spacing w:line="360" w:lineRule="auto"/>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（五）人工智能大模型管理平台</w:t>
            </w:r>
          </w:p>
        </w:tc>
      </w:tr>
      <w:tr w14:paraId="54AA98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jc w:val="center"/>
        </w:trPr>
        <w:tc>
          <w:tcPr>
            <w:tcW w:w="342" w:type="pct"/>
            <w:vMerge w:val="restart"/>
            <w:tcBorders>
              <w:tl2br w:val="nil"/>
              <w:tr2bl w:val="nil"/>
            </w:tcBorders>
            <w:shd w:val="clear" w:color="auto" w:fill="auto"/>
            <w:noWrap/>
            <w:vAlign w:val="center"/>
          </w:tcPr>
          <w:p w14:paraId="4973B2C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5.1</w:t>
            </w:r>
          </w:p>
        </w:tc>
        <w:tc>
          <w:tcPr>
            <w:tcW w:w="556" w:type="pct"/>
            <w:vMerge w:val="restart"/>
            <w:tcBorders>
              <w:tl2br w:val="nil"/>
              <w:tr2bl w:val="nil"/>
            </w:tcBorders>
            <w:shd w:val="clear" w:color="auto" w:fill="auto"/>
            <w:vAlign w:val="center"/>
          </w:tcPr>
          <w:p w14:paraId="4C6CB99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大模型管理</w:t>
            </w:r>
          </w:p>
        </w:tc>
        <w:tc>
          <w:tcPr>
            <w:tcW w:w="1756" w:type="pct"/>
            <w:tcBorders>
              <w:tl2br w:val="nil"/>
              <w:tr2bl w:val="nil"/>
            </w:tcBorders>
            <w:shd w:val="clear" w:color="auto" w:fill="auto"/>
            <w:vAlign w:val="center"/>
          </w:tcPr>
          <w:p w14:paraId="2F8CE157">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基础资源管理：面向算力中心管理运营部门提供通算、智算等设备统一纳管服务，包含多租户管理能力、资源统一管理、精细化智算资源调度能力等功能服务。</w:t>
            </w:r>
          </w:p>
        </w:tc>
        <w:tc>
          <w:tcPr>
            <w:tcW w:w="560" w:type="pct"/>
            <w:tcBorders>
              <w:tl2br w:val="nil"/>
              <w:tr2bl w:val="nil"/>
            </w:tcBorders>
            <w:shd w:val="clear" w:color="auto" w:fill="auto"/>
            <w:vAlign w:val="center"/>
          </w:tcPr>
          <w:p w14:paraId="24C9E7C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2.818</w:t>
            </w:r>
          </w:p>
        </w:tc>
        <w:tc>
          <w:tcPr>
            <w:tcW w:w="409" w:type="pct"/>
            <w:tcBorders>
              <w:tl2br w:val="nil"/>
              <w:tr2bl w:val="nil"/>
            </w:tcBorders>
            <w:shd w:val="clear" w:color="auto" w:fill="auto"/>
            <w:vAlign w:val="center"/>
          </w:tcPr>
          <w:p w14:paraId="666C8CD2">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vAlign w:val="center"/>
          </w:tcPr>
          <w:p w14:paraId="1CE0984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5.00 </w:t>
            </w:r>
          </w:p>
        </w:tc>
        <w:tc>
          <w:tcPr>
            <w:tcW w:w="480" w:type="pct"/>
            <w:tcBorders>
              <w:tl2br w:val="nil"/>
              <w:tr2bl w:val="nil"/>
            </w:tcBorders>
            <w:shd w:val="clear" w:color="auto" w:fill="auto"/>
            <w:noWrap/>
            <w:vAlign w:val="center"/>
          </w:tcPr>
          <w:p w14:paraId="08BDA4A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月</w:t>
            </w:r>
          </w:p>
        </w:tc>
        <w:tc>
          <w:tcPr>
            <w:tcW w:w="499" w:type="pct"/>
            <w:tcBorders>
              <w:tl2br w:val="nil"/>
              <w:tr2bl w:val="nil"/>
            </w:tcBorders>
            <w:shd w:val="clear" w:color="auto" w:fill="auto"/>
            <w:noWrap/>
            <w:vAlign w:val="center"/>
          </w:tcPr>
          <w:p w14:paraId="6075B7A4">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67FD1B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24" w:hRule="atLeast"/>
          <w:jc w:val="center"/>
        </w:trPr>
        <w:tc>
          <w:tcPr>
            <w:tcW w:w="342" w:type="pct"/>
            <w:vMerge w:val="continue"/>
            <w:tcBorders>
              <w:tl2br w:val="nil"/>
              <w:tr2bl w:val="nil"/>
            </w:tcBorders>
            <w:shd w:val="clear" w:color="auto" w:fill="auto"/>
            <w:noWrap/>
            <w:vAlign w:val="center"/>
          </w:tcPr>
          <w:p w14:paraId="7F7A59D0">
            <w:pPr>
              <w:spacing w:line="360" w:lineRule="auto"/>
              <w:jc w:val="center"/>
              <w:rPr>
                <w:rFonts w:hint="eastAsia" w:ascii="仿宋" w:hAnsi="仿宋" w:eastAsia="仿宋" w:cs="仿宋"/>
                <w:i w:val="0"/>
                <w:iCs w:val="0"/>
                <w:color w:val="000000"/>
                <w:sz w:val="24"/>
                <w:szCs w:val="24"/>
                <w:u w:val="none"/>
              </w:rPr>
            </w:pPr>
          </w:p>
        </w:tc>
        <w:tc>
          <w:tcPr>
            <w:tcW w:w="556" w:type="pct"/>
            <w:vMerge w:val="continue"/>
            <w:tcBorders>
              <w:tl2br w:val="nil"/>
              <w:tr2bl w:val="nil"/>
            </w:tcBorders>
            <w:shd w:val="clear" w:color="auto" w:fill="auto"/>
            <w:vAlign w:val="center"/>
          </w:tcPr>
          <w:p w14:paraId="5C0504C4">
            <w:pPr>
              <w:spacing w:line="360" w:lineRule="auto"/>
              <w:jc w:val="center"/>
              <w:rPr>
                <w:rFonts w:hint="eastAsia" w:ascii="仿宋" w:hAnsi="仿宋" w:eastAsia="仿宋" w:cs="仿宋"/>
                <w:i w:val="0"/>
                <w:iCs w:val="0"/>
                <w:color w:val="000000"/>
                <w:sz w:val="24"/>
                <w:szCs w:val="24"/>
                <w:u w:val="none"/>
              </w:rPr>
            </w:pPr>
          </w:p>
        </w:tc>
        <w:tc>
          <w:tcPr>
            <w:tcW w:w="1756" w:type="pct"/>
            <w:tcBorders>
              <w:tl2br w:val="nil"/>
              <w:tr2bl w:val="nil"/>
            </w:tcBorders>
            <w:shd w:val="clear" w:color="auto" w:fill="auto"/>
            <w:vAlign w:val="center"/>
          </w:tcPr>
          <w:p w14:paraId="390C5545">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模型管理：面向算力中心管理运营部门提供大模型调用、模型调试和管理服务，实现</w:t>
            </w:r>
            <w:r>
              <w:rPr>
                <w:rStyle w:val="6"/>
                <w:rFonts w:hint="eastAsia" w:ascii="仿宋" w:hAnsi="仿宋" w:eastAsia="仿宋" w:cs="仿宋"/>
                <w:sz w:val="24"/>
                <w:szCs w:val="24"/>
                <w:lang w:val="en-US" w:eastAsia="zh-CN" w:bidi="ar"/>
              </w:rPr>
              <w:t>DeepSeek</w:t>
            </w:r>
            <w:r>
              <w:rPr>
                <w:rFonts w:hint="eastAsia" w:ascii="仿宋" w:hAnsi="仿宋" w:eastAsia="仿宋" w:cs="仿宋"/>
                <w:i w:val="0"/>
                <w:iCs w:val="0"/>
                <w:color w:val="000000"/>
                <w:kern w:val="0"/>
                <w:sz w:val="24"/>
                <w:szCs w:val="24"/>
                <w:u w:val="none"/>
                <w:lang w:val="en-US" w:eastAsia="zh-CN" w:bidi="ar"/>
              </w:rPr>
              <w:t>、通义</w:t>
            </w:r>
            <w:r>
              <w:rPr>
                <w:rStyle w:val="6"/>
                <w:rFonts w:hint="eastAsia" w:ascii="仿宋" w:hAnsi="仿宋" w:eastAsia="仿宋" w:cs="仿宋"/>
                <w:sz w:val="24"/>
                <w:szCs w:val="24"/>
                <w:lang w:val="en-US" w:eastAsia="zh-CN" w:bidi="ar"/>
              </w:rPr>
              <w:t>Qwen</w:t>
            </w:r>
            <w:r>
              <w:rPr>
                <w:rFonts w:hint="eastAsia" w:ascii="仿宋" w:hAnsi="仿宋" w:eastAsia="仿宋" w:cs="仿宋"/>
                <w:i w:val="0"/>
                <w:iCs w:val="0"/>
                <w:color w:val="000000"/>
                <w:kern w:val="0"/>
                <w:sz w:val="24"/>
                <w:szCs w:val="24"/>
                <w:u w:val="none"/>
                <w:lang w:val="en-US" w:eastAsia="zh-CN" w:bidi="ar"/>
              </w:rPr>
              <w:t>、第三方大模型调用服务和管理能力，包含大语言模型服务、多模态模型服务、模型开发管理服务、模型弹性服务、模型管理服务、模型部署服务、模型工具管理、模型调用统计等功能服务。</w:t>
            </w:r>
          </w:p>
        </w:tc>
        <w:tc>
          <w:tcPr>
            <w:tcW w:w="560" w:type="pct"/>
            <w:tcBorders>
              <w:tl2br w:val="nil"/>
              <w:tr2bl w:val="nil"/>
            </w:tcBorders>
            <w:shd w:val="clear" w:color="auto" w:fill="auto"/>
            <w:vAlign w:val="center"/>
          </w:tcPr>
          <w:p w14:paraId="7BE3FAA4">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2.471</w:t>
            </w:r>
          </w:p>
        </w:tc>
        <w:tc>
          <w:tcPr>
            <w:tcW w:w="409" w:type="pct"/>
            <w:tcBorders>
              <w:tl2br w:val="nil"/>
              <w:tr2bl w:val="nil"/>
            </w:tcBorders>
            <w:shd w:val="clear" w:color="auto" w:fill="auto"/>
            <w:noWrap/>
            <w:vAlign w:val="center"/>
          </w:tcPr>
          <w:p w14:paraId="4E192B97">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0ACA78E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5.00 </w:t>
            </w:r>
          </w:p>
        </w:tc>
        <w:tc>
          <w:tcPr>
            <w:tcW w:w="480" w:type="pct"/>
            <w:tcBorders>
              <w:tl2br w:val="nil"/>
              <w:tr2bl w:val="nil"/>
            </w:tcBorders>
            <w:shd w:val="clear" w:color="auto" w:fill="auto"/>
            <w:noWrap/>
            <w:vAlign w:val="center"/>
          </w:tcPr>
          <w:p w14:paraId="19BDF56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月</w:t>
            </w:r>
          </w:p>
        </w:tc>
        <w:tc>
          <w:tcPr>
            <w:tcW w:w="499" w:type="pct"/>
            <w:tcBorders>
              <w:tl2br w:val="nil"/>
              <w:tr2bl w:val="nil"/>
            </w:tcBorders>
            <w:shd w:val="clear" w:color="auto" w:fill="auto"/>
            <w:noWrap/>
            <w:vAlign w:val="center"/>
          </w:tcPr>
          <w:p w14:paraId="7FE6473D">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07514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vMerge w:val="continue"/>
            <w:tcBorders>
              <w:tl2br w:val="nil"/>
              <w:tr2bl w:val="nil"/>
            </w:tcBorders>
            <w:shd w:val="clear" w:color="auto" w:fill="auto"/>
            <w:noWrap/>
            <w:vAlign w:val="center"/>
          </w:tcPr>
          <w:p w14:paraId="4A644481">
            <w:pPr>
              <w:spacing w:line="360" w:lineRule="auto"/>
              <w:jc w:val="center"/>
              <w:rPr>
                <w:rFonts w:hint="eastAsia" w:ascii="仿宋" w:hAnsi="仿宋" w:eastAsia="仿宋" w:cs="仿宋"/>
                <w:i w:val="0"/>
                <w:iCs w:val="0"/>
                <w:color w:val="000000"/>
                <w:sz w:val="24"/>
                <w:szCs w:val="24"/>
                <w:u w:val="none"/>
              </w:rPr>
            </w:pPr>
          </w:p>
        </w:tc>
        <w:tc>
          <w:tcPr>
            <w:tcW w:w="556" w:type="pct"/>
            <w:vMerge w:val="continue"/>
            <w:tcBorders>
              <w:tl2br w:val="nil"/>
              <w:tr2bl w:val="nil"/>
            </w:tcBorders>
            <w:shd w:val="clear" w:color="auto" w:fill="auto"/>
            <w:vAlign w:val="center"/>
          </w:tcPr>
          <w:p w14:paraId="04D27DA5">
            <w:pPr>
              <w:spacing w:line="360" w:lineRule="auto"/>
              <w:jc w:val="center"/>
              <w:rPr>
                <w:rFonts w:hint="eastAsia" w:ascii="仿宋" w:hAnsi="仿宋" w:eastAsia="仿宋" w:cs="仿宋"/>
                <w:i w:val="0"/>
                <w:iCs w:val="0"/>
                <w:color w:val="000000"/>
                <w:sz w:val="24"/>
                <w:szCs w:val="24"/>
                <w:u w:val="none"/>
              </w:rPr>
            </w:pPr>
          </w:p>
        </w:tc>
        <w:tc>
          <w:tcPr>
            <w:tcW w:w="1756" w:type="pct"/>
            <w:tcBorders>
              <w:tl2br w:val="nil"/>
              <w:tr2bl w:val="nil"/>
            </w:tcBorders>
            <w:shd w:val="clear" w:color="auto" w:fill="auto"/>
            <w:vAlign w:val="center"/>
          </w:tcPr>
          <w:p w14:paraId="283E1616">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数据处理：提供数据、标注、清洗、评测等处理，包含数据集管理、数据标注、数据清洗、数据评测等功能服务。</w:t>
            </w:r>
          </w:p>
        </w:tc>
        <w:tc>
          <w:tcPr>
            <w:tcW w:w="560" w:type="pct"/>
            <w:tcBorders>
              <w:tl2br w:val="nil"/>
              <w:tr2bl w:val="nil"/>
            </w:tcBorders>
            <w:shd w:val="clear" w:color="auto" w:fill="auto"/>
            <w:vAlign w:val="center"/>
          </w:tcPr>
          <w:p w14:paraId="2612AE63">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2.471 </w:t>
            </w:r>
          </w:p>
        </w:tc>
        <w:tc>
          <w:tcPr>
            <w:tcW w:w="409" w:type="pct"/>
            <w:tcBorders>
              <w:tl2br w:val="nil"/>
              <w:tr2bl w:val="nil"/>
            </w:tcBorders>
            <w:shd w:val="clear" w:color="auto" w:fill="auto"/>
            <w:noWrap/>
            <w:vAlign w:val="center"/>
          </w:tcPr>
          <w:p w14:paraId="5093AAEB">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3B8C3F13">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5.00 </w:t>
            </w:r>
          </w:p>
        </w:tc>
        <w:tc>
          <w:tcPr>
            <w:tcW w:w="480" w:type="pct"/>
            <w:tcBorders>
              <w:tl2br w:val="nil"/>
              <w:tr2bl w:val="nil"/>
            </w:tcBorders>
            <w:shd w:val="clear" w:color="auto" w:fill="auto"/>
            <w:noWrap/>
            <w:vAlign w:val="center"/>
          </w:tcPr>
          <w:p w14:paraId="36DE914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月</w:t>
            </w:r>
          </w:p>
        </w:tc>
        <w:tc>
          <w:tcPr>
            <w:tcW w:w="499" w:type="pct"/>
            <w:tcBorders>
              <w:tl2br w:val="nil"/>
              <w:tr2bl w:val="nil"/>
            </w:tcBorders>
            <w:shd w:val="clear" w:color="auto" w:fill="auto"/>
            <w:noWrap/>
            <w:vAlign w:val="center"/>
          </w:tcPr>
          <w:p w14:paraId="7D303AB2">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32DE4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vMerge w:val="continue"/>
            <w:tcBorders>
              <w:tl2br w:val="nil"/>
              <w:tr2bl w:val="nil"/>
            </w:tcBorders>
            <w:shd w:val="clear" w:color="auto" w:fill="auto"/>
            <w:noWrap/>
            <w:vAlign w:val="center"/>
          </w:tcPr>
          <w:p w14:paraId="2F85DA02">
            <w:pPr>
              <w:spacing w:line="360" w:lineRule="auto"/>
              <w:jc w:val="center"/>
              <w:rPr>
                <w:rFonts w:hint="eastAsia" w:ascii="仿宋" w:hAnsi="仿宋" w:eastAsia="仿宋" w:cs="仿宋"/>
                <w:i w:val="0"/>
                <w:iCs w:val="0"/>
                <w:color w:val="000000"/>
                <w:sz w:val="24"/>
                <w:szCs w:val="24"/>
                <w:u w:val="none"/>
              </w:rPr>
            </w:pPr>
          </w:p>
        </w:tc>
        <w:tc>
          <w:tcPr>
            <w:tcW w:w="556" w:type="pct"/>
            <w:vMerge w:val="continue"/>
            <w:tcBorders>
              <w:tl2br w:val="nil"/>
              <w:tr2bl w:val="nil"/>
            </w:tcBorders>
            <w:shd w:val="clear" w:color="auto" w:fill="auto"/>
            <w:vAlign w:val="center"/>
          </w:tcPr>
          <w:p w14:paraId="4AAA70F9">
            <w:pPr>
              <w:spacing w:line="360" w:lineRule="auto"/>
              <w:jc w:val="center"/>
              <w:rPr>
                <w:rFonts w:hint="eastAsia" w:ascii="仿宋" w:hAnsi="仿宋" w:eastAsia="仿宋" w:cs="仿宋"/>
                <w:i w:val="0"/>
                <w:iCs w:val="0"/>
                <w:color w:val="000000"/>
                <w:sz w:val="24"/>
                <w:szCs w:val="24"/>
                <w:u w:val="none"/>
              </w:rPr>
            </w:pPr>
          </w:p>
        </w:tc>
        <w:tc>
          <w:tcPr>
            <w:tcW w:w="1756" w:type="pct"/>
            <w:tcBorders>
              <w:tl2br w:val="nil"/>
              <w:tr2bl w:val="nil"/>
            </w:tcBorders>
            <w:shd w:val="clear" w:color="auto" w:fill="auto"/>
            <w:vAlign w:val="center"/>
          </w:tcPr>
          <w:p w14:paraId="781AC545">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安全管理：面向各省级部门提供基于大模型应用的安全管理服务，包含生成内容安全、数据安全、权限与审计等功能服务。</w:t>
            </w:r>
          </w:p>
        </w:tc>
        <w:tc>
          <w:tcPr>
            <w:tcW w:w="560" w:type="pct"/>
            <w:tcBorders>
              <w:tl2br w:val="nil"/>
              <w:tr2bl w:val="nil"/>
            </w:tcBorders>
            <w:shd w:val="clear" w:color="auto" w:fill="auto"/>
            <w:vAlign w:val="center"/>
          </w:tcPr>
          <w:p w14:paraId="3C01F26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1.274 </w:t>
            </w:r>
          </w:p>
        </w:tc>
        <w:tc>
          <w:tcPr>
            <w:tcW w:w="409" w:type="pct"/>
            <w:tcBorders>
              <w:tl2br w:val="nil"/>
              <w:tr2bl w:val="nil"/>
            </w:tcBorders>
            <w:shd w:val="clear" w:color="auto" w:fill="auto"/>
            <w:noWrap/>
            <w:vAlign w:val="center"/>
          </w:tcPr>
          <w:p w14:paraId="29A502C6">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72E3242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5.00 </w:t>
            </w:r>
          </w:p>
        </w:tc>
        <w:tc>
          <w:tcPr>
            <w:tcW w:w="480" w:type="pct"/>
            <w:tcBorders>
              <w:tl2br w:val="nil"/>
              <w:tr2bl w:val="nil"/>
            </w:tcBorders>
            <w:shd w:val="clear" w:color="auto" w:fill="auto"/>
            <w:noWrap/>
            <w:vAlign w:val="center"/>
          </w:tcPr>
          <w:p w14:paraId="0013521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月</w:t>
            </w:r>
          </w:p>
        </w:tc>
        <w:tc>
          <w:tcPr>
            <w:tcW w:w="499" w:type="pct"/>
            <w:tcBorders>
              <w:tl2br w:val="nil"/>
              <w:tr2bl w:val="nil"/>
            </w:tcBorders>
            <w:shd w:val="clear" w:color="auto" w:fill="auto"/>
            <w:noWrap/>
            <w:vAlign w:val="center"/>
          </w:tcPr>
          <w:p w14:paraId="15B7F944">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1AB7C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342" w:type="pct"/>
            <w:tcBorders>
              <w:tl2br w:val="nil"/>
              <w:tr2bl w:val="nil"/>
            </w:tcBorders>
            <w:shd w:val="clear" w:color="auto" w:fill="auto"/>
            <w:noWrap/>
            <w:vAlign w:val="center"/>
          </w:tcPr>
          <w:p w14:paraId="079CA44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5.2</w:t>
            </w:r>
          </w:p>
        </w:tc>
        <w:tc>
          <w:tcPr>
            <w:tcW w:w="556" w:type="pct"/>
            <w:tcBorders>
              <w:tl2br w:val="nil"/>
              <w:tr2bl w:val="nil"/>
            </w:tcBorders>
            <w:shd w:val="clear" w:color="auto" w:fill="auto"/>
            <w:vAlign w:val="center"/>
          </w:tcPr>
          <w:p w14:paraId="2AD71D9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知识库管理</w:t>
            </w:r>
          </w:p>
        </w:tc>
        <w:tc>
          <w:tcPr>
            <w:tcW w:w="1756" w:type="pct"/>
            <w:tcBorders>
              <w:tl2br w:val="nil"/>
              <w:tr2bl w:val="nil"/>
            </w:tcBorders>
            <w:shd w:val="clear" w:color="auto" w:fill="auto"/>
            <w:vAlign w:val="center"/>
          </w:tcPr>
          <w:p w14:paraId="1291A7EA">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面向各省级部门提供知识库构建、检索和管理的功能服务</w:t>
            </w:r>
          </w:p>
        </w:tc>
        <w:tc>
          <w:tcPr>
            <w:tcW w:w="560" w:type="pct"/>
            <w:tcBorders>
              <w:tl2br w:val="nil"/>
              <w:tr2bl w:val="nil"/>
            </w:tcBorders>
            <w:shd w:val="clear" w:color="auto" w:fill="auto"/>
            <w:noWrap/>
            <w:vAlign w:val="center"/>
          </w:tcPr>
          <w:p w14:paraId="5DE5981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7.891 </w:t>
            </w:r>
          </w:p>
        </w:tc>
        <w:tc>
          <w:tcPr>
            <w:tcW w:w="409" w:type="pct"/>
            <w:tcBorders>
              <w:tl2br w:val="nil"/>
              <w:tr2bl w:val="nil"/>
            </w:tcBorders>
            <w:shd w:val="clear" w:color="auto" w:fill="auto"/>
            <w:vAlign w:val="center"/>
          </w:tcPr>
          <w:p w14:paraId="75547AEB">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vAlign w:val="center"/>
          </w:tcPr>
          <w:p w14:paraId="71913FC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5.00 </w:t>
            </w:r>
          </w:p>
        </w:tc>
        <w:tc>
          <w:tcPr>
            <w:tcW w:w="480" w:type="pct"/>
            <w:tcBorders>
              <w:tl2br w:val="nil"/>
              <w:tr2bl w:val="nil"/>
            </w:tcBorders>
            <w:shd w:val="clear" w:color="auto" w:fill="auto"/>
            <w:noWrap/>
            <w:vAlign w:val="center"/>
          </w:tcPr>
          <w:p w14:paraId="18380E2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月</w:t>
            </w:r>
          </w:p>
        </w:tc>
        <w:tc>
          <w:tcPr>
            <w:tcW w:w="499" w:type="pct"/>
            <w:tcBorders>
              <w:tl2br w:val="nil"/>
              <w:tr2bl w:val="nil"/>
            </w:tcBorders>
            <w:shd w:val="clear" w:color="auto" w:fill="auto"/>
            <w:noWrap/>
            <w:vAlign w:val="center"/>
          </w:tcPr>
          <w:p w14:paraId="0F2F5663">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55F41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jc w:val="center"/>
        </w:trPr>
        <w:tc>
          <w:tcPr>
            <w:tcW w:w="342" w:type="pct"/>
            <w:tcBorders>
              <w:tl2br w:val="nil"/>
              <w:tr2bl w:val="nil"/>
            </w:tcBorders>
            <w:shd w:val="clear" w:color="auto" w:fill="auto"/>
            <w:noWrap/>
            <w:vAlign w:val="center"/>
          </w:tcPr>
          <w:p w14:paraId="0E9DCAC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5.3</w:t>
            </w:r>
          </w:p>
        </w:tc>
        <w:tc>
          <w:tcPr>
            <w:tcW w:w="556" w:type="pct"/>
            <w:tcBorders>
              <w:tl2br w:val="nil"/>
              <w:tr2bl w:val="nil"/>
            </w:tcBorders>
            <w:shd w:val="clear" w:color="auto" w:fill="auto"/>
            <w:vAlign w:val="center"/>
          </w:tcPr>
          <w:p w14:paraId="222E4FC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智能体编排</w:t>
            </w:r>
          </w:p>
        </w:tc>
        <w:tc>
          <w:tcPr>
            <w:tcW w:w="1756" w:type="pct"/>
            <w:tcBorders>
              <w:tl2br w:val="nil"/>
              <w:tr2bl w:val="nil"/>
            </w:tcBorders>
            <w:shd w:val="clear" w:color="auto" w:fill="auto"/>
            <w:vAlign w:val="center"/>
          </w:tcPr>
          <w:p w14:paraId="1C4F8405">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支持智能体创建、流程编排、插件应用和智能体发布，面向各省级部门，特别是秦政通、秦务员两端提供智能体创建、配置、发布到管理等功能服务。</w:t>
            </w:r>
          </w:p>
        </w:tc>
        <w:tc>
          <w:tcPr>
            <w:tcW w:w="560" w:type="pct"/>
            <w:tcBorders>
              <w:tl2br w:val="nil"/>
              <w:tr2bl w:val="nil"/>
            </w:tcBorders>
            <w:shd w:val="clear" w:color="auto" w:fill="auto"/>
            <w:noWrap/>
            <w:vAlign w:val="center"/>
          </w:tcPr>
          <w:p w14:paraId="75D4C43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9.971 </w:t>
            </w:r>
          </w:p>
        </w:tc>
        <w:tc>
          <w:tcPr>
            <w:tcW w:w="409" w:type="pct"/>
            <w:tcBorders>
              <w:tl2br w:val="nil"/>
              <w:tr2bl w:val="nil"/>
            </w:tcBorders>
            <w:shd w:val="clear" w:color="auto" w:fill="auto"/>
            <w:noWrap/>
            <w:vAlign w:val="center"/>
          </w:tcPr>
          <w:p w14:paraId="208B6543">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7A4FFD5B">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5.00 </w:t>
            </w:r>
          </w:p>
        </w:tc>
        <w:tc>
          <w:tcPr>
            <w:tcW w:w="480" w:type="pct"/>
            <w:tcBorders>
              <w:tl2br w:val="nil"/>
              <w:tr2bl w:val="nil"/>
            </w:tcBorders>
            <w:shd w:val="clear" w:color="auto" w:fill="auto"/>
            <w:noWrap/>
            <w:vAlign w:val="center"/>
          </w:tcPr>
          <w:p w14:paraId="6C0F191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月</w:t>
            </w:r>
          </w:p>
        </w:tc>
        <w:tc>
          <w:tcPr>
            <w:tcW w:w="499" w:type="pct"/>
            <w:tcBorders>
              <w:tl2br w:val="nil"/>
              <w:tr2bl w:val="nil"/>
            </w:tcBorders>
            <w:shd w:val="clear" w:color="auto" w:fill="auto"/>
            <w:noWrap/>
            <w:vAlign w:val="center"/>
          </w:tcPr>
          <w:p w14:paraId="519C077D">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64BE1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342" w:type="pct"/>
            <w:vMerge w:val="restart"/>
            <w:tcBorders>
              <w:tl2br w:val="nil"/>
              <w:tr2bl w:val="nil"/>
            </w:tcBorders>
            <w:shd w:val="clear" w:color="auto" w:fill="auto"/>
            <w:noWrap/>
            <w:vAlign w:val="center"/>
          </w:tcPr>
          <w:p w14:paraId="24A14B2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5.4</w:t>
            </w:r>
          </w:p>
        </w:tc>
        <w:tc>
          <w:tcPr>
            <w:tcW w:w="556" w:type="pct"/>
            <w:vMerge w:val="restart"/>
            <w:tcBorders>
              <w:tl2br w:val="nil"/>
              <w:tr2bl w:val="nil"/>
            </w:tcBorders>
            <w:shd w:val="clear" w:color="auto" w:fill="auto"/>
            <w:vAlign w:val="center"/>
          </w:tcPr>
          <w:p w14:paraId="34DED80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支撑性服务</w:t>
            </w:r>
          </w:p>
        </w:tc>
        <w:tc>
          <w:tcPr>
            <w:tcW w:w="1756" w:type="pct"/>
            <w:tcBorders>
              <w:tl2br w:val="nil"/>
              <w:tr2bl w:val="nil"/>
            </w:tcBorders>
            <w:shd w:val="clear" w:color="auto" w:fill="auto"/>
            <w:vAlign w:val="center"/>
          </w:tcPr>
          <w:p w14:paraId="7281EAAB">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提供包括：业务应用对接服务、数据分析服务、操作指导服务、安全运营服务和重保专项运营。</w:t>
            </w:r>
          </w:p>
        </w:tc>
        <w:tc>
          <w:tcPr>
            <w:tcW w:w="560" w:type="pct"/>
            <w:tcBorders>
              <w:tl2br w:val="nil"/>
              <w:tr2bl w:val="nil"/>
            </w:tcBorders>
            <w:shd w:val="clear" w:color="auto" w:fill="auto"/>
            <w:noWrap/>
            <w:vAlign w:val="center"/>
          </w:tcPr>
          <w:p w14:paraId="2C7E2924">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127.86984</w:t>
            </w:r>
          </w:p>
        </w:tc>
        <w:tc>
          <w:tcPr>
            <w:tcW w:w="409" w:type="pct"/>
            <w:tcBorders>
              <w:tl2br w:val="nil"/>
              <w:tr2bl w:val="nil"/>
            </w:tcBorders>
            <w:shd w:val="clear" w:color="auto" w:fill="auto"/>
            <w:noWrap/>
            <w:vAlign w:val="center"/>
          </w:tcPr>
          <w:p w14:paraId="60639A86">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13076EA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 </w:t>
            </w:r>
          </w:p>
        </w:tc>
        <w:tc>
          <w:tcPr>
            <w:tcW w:w="480" w:type="pct"/>
            <w:tcBorders>
              <w:tl2br w:val="nil"/>
              <w:tr2bl w:val="nil"/>
            </w:tcBorders>
            <w:shd w:val="clear" w:color="auto" w:fill="auto"/>
            <w:noWrap/>
            <w:vAlign w:val="center"/>
          </w:tcPr>
          <w:p w14:paraId="30FC9109">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4E00B745">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49983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342" w:type="pct"/>
            <w:vMerge w:val="continue"/>
            <w:tcBorders>
              <w:tl2br w:val="nil"/>
              <w:tr2bl w:val="nil"/>
            </w:tcBorders>
            <w:shd w:val="clear" w:color="auto" w:fill="auto"/>
            <w:noWrap/>
            <w:vAlign w:val="center"/>
          </w:tcPr>
          <w:p w14:paraId="703B06A3">
            <w:pPr>
              <w:spacing w:line="360" w:lineRule="auto"/>
              <w:jc w:val="center"/>
              <w:rPr>
                <w:rFonts w:hint="eastAsia" w:ascii="仿宋" w:hAnsi="仿宋" w:eastAsia="仿宋" w:cs="仿宋"/>
                <w:i w:val="0"/>
                <w:iCs w:val="0"/>
                <w:color w:val="000000"/>
                <w:sz w:val="24"/>
                <w:szCs w:val="24"/>
                <w:u w:val="none"/>
              </w:rPr>
            </w:pPr>
          </w:p>
        </w:tc>
        <w:tc>
          <w:tcPr>
            <w:tcW w:w="556" w:type="pct"/>
            <w:vMerge w:val="continue"/>
            <w:tcBorders>
              <w:tl2br w:val="nil"/>
              <w:tr2bl w:val="nil"/>
            </w:tcBorders>
            <w:shd w:val="clear" w:color="auto" w:fill="auto"/>
            <w:vAlign w:val="center"/>
          </w:tcPr>
          <w:p w14:paraId="5C44F3C0">
            <w:pPr>
              <w:spacing w:line="360" w:lineRule="auto"/>
              <w:jc w:val="center"/>
              <w:rPr>
                <w:rFonts w:hint="eastAsia" w:ascii="仿宋" w:hAnsi="仿宋" w:eastAsia="仿宋" w:cs="仿宋"/>
                <w:i w:val="0"/>
                <w:iCs w:val="0"/>
                <w:color w:val="000000"/>
                <w:sz w:val="24"/>
                <w:szCs w:val="24"/>
                <w:u w:val="none"/>
              </w:rPr>
            </w:pPr>
          </w:p>
        </w:tc>
        <w:tc>
          <w:tcPr>
            <w:tcW w:w="1756" w:type="pct"/>
            <w:tcBorders>
              <w:tl2br w:val="nil"/>
              <w:tr2bl w:val="nil"/>
            </w:tcBorders>
            <w:shd w:val="clear" w:color="auto" w:fill="auto"/>
            <w:vAlign w:val="center"/>
          </w:tcPr>
          <w:p w14:paraId="6C4FD3AA">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宣传推广服务提供宣传材料制作和开展推广活动服务。</w:t>
            </w:r>
          </w:p>
        </w:tc>
        <w:tc>
          <w:tcPr>
            <w:tcW w:w="560" w:type="pct"/>
            <w:tcBorders>
              <w:tl2br w:val="nil"/>
              <w:tr2bl w:val="nil"/>
            </w:tcBorders>
            <w:shd w:val="clear" w:color="auto" w:fill="auto"/>
            <w:noWrap/>
            <w:vAlign w:val="center"/>
          </w:tcPr>
          <w:p w14:paraId="15E0C85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2.080 </w:t>
            </w:r>
          </w:p>
        </w:tc>
        <w:tc>
          <w:tcPr>
            <w:tcW w:w="409" w:type="pct"/>
            <w:tcBorders>
              <w:tl2br w:val="nil"/>
              <w:tr2bl w:val="nil"/>
            </w:tcBorders>
            <w:shd w:val="clear" w:color="auto" w:fill="auto"/>
            <w:noWrap/>
            <w:vAlign w:val="center"/>
          </w:tcPr>
          <w:p w14:paraId="5A7F0279">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1381698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 </w:t>
            </w:r>
          </w:p>
        </w:tc>
        <w:tc>
          <w:tcPr>
            <w:tcW w:w="480" w:type="pct"/>
            <w:tcBorders>
              <w:tl2br w:val="nil"/>
              <w:tr2bl w:val="nil"/>
            </w:tcBorders>
            <w:shd w:val="clear" w:color="auto" w:fill="auto"/>
            <w:noWrap/>
            <w:vAlign w:val="center"/>
          </w:tcPr>
          <w:p w14:paraId="6602643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07D18326">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11DBF4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5000" w:type="pct"/>
            <w:gridSpan w:val="8"/>
            <w:tcBorders>
              <w:tl2br w:val="nil"/>
              <w:tr2bl w:val="nil"/>
            </w:tcBorders>
            <w:shd w:val="clear" w:color="auto" w:fill="auto"/>
            <w:noWrap/>
            <w:vAlign w:val="center"/>
          </w:tcPr>
          <w:p w14:paraId="247CA2EC">
            <w:pPr>
              <w:spacing w:line="360" w:lineRule="auto"/>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（六）统一电子印章服务</w:t>
            </w:r>
          </w:p>
        </w:tc>
      </w:tr>
      <w:tr w14:paraId="2F4C2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tcBorders>
              <w:tl2br w:val="nil"/>
              <w:tr2bl w:val="nil"/>
            </w:tcBorders>
            <w:shd w:val="clear" w:color="auto" w:fill="FFFFFF"/>
            <w:vAlign w:val="center"/>
          </w:tcPr>
          <w:p w14:paraId="492B1B44">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6.1</w:t>
            </w:r>
          </w:p>
        </w:tc>
        <w:tc>
          <w:tcPr>
            <w:tcW w:w="556" w:type="pct"/>
            <w:tcBorders>
              <w:tl2br w:val="nil"/>
              <w:tr2bl w:val="nil"/>
            </w:tcBorders>
            <w:shd w:val="clear" w:color="auto" w:fill="auto"/>
            <w:vAlign w:val="center"/>
          </w:tcPr>
          <w:p w14:paraId="6B69023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印章制作服务</w:t>
            </w:r>
          </w:p>
        </w:tc>
        <w:tc>
          <w:tcPr>
            <w:tcW w:w="1756" w:type="pct"/>
            <w:tcBorders>
              <w:tl2br w:val="nil"/>
              <w:tr2bl w:val="nil"/>
            </w:tcBorders>
            <w:shd w:val="clear" w:color="auto" w:fill="auto"/>
            <w:vAlign w:val="center"/>
          </w:tcPr>
          <w:p w14:paraId="0328C103">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印章制作服务为延续性服务内容，包含包含证书申请、印模制作、印章备案服务。</w:t>
            </w:r>
          </w:p>
        </w:tc>
        <w:tc>
          <w:tcPr>
            <w:tcW w:w="560" w:type="pct"/>
            <w:tcBorders>
              <w:tl2br w:val="nil"/>
              <w:tr2bl w:val="nil"/>
            </w:tcBorders>
            <w:shd w:val="clear" w:color="auto" w:fill="auto"/>
            <w:noWrap/>
            <w:vAlign w:val="center"/>
          </w:tcPr>
          <w:p w14:paraId="5932CE1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33.3072</w:t>
            </w:r>
          </w:p>
        </w:tc>
        <w:tc>
          <w:tcPr>
            <w:tcW w:w="409" w:type="pct"/>
            <w:tcBorders>
              <w:tl2br w:val="nil"/>
              <w:tr2bl w:val="nil"/>
            </w:tcBorders>
            <w:shd w:val="clear" w:color="auto" w:fill="auto"/>
            <w:noWrap/>
            <w:vAlign w:val="center"/>
          </w:tcPr>
          <w:p w14:paraId="60CAD5AC">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2DA01789">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480" w:type="pct"/>
            <w:tcBorders>
              <w:tl2br w:val="nil"/>
              <w:tr2bl w:val="nil"/>
            </w:tcBorders>
            <w:shd w:val="clear" w:color="auto" w:fill="auto"/>
            <w:noWrap/>
            <w:vAlign w:val="center"/>
          </w:tcPr>
          <w:p w14:paraId="1739AFB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4EC38ADE">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134A9B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tcBorders>
              <w:tl2br w:val="nil"/>
              <w:tr2bl w:val="nil"/>
            </w:tcBorders>
            <w:shd w:val="clear" w:color="auto" w:fill="FFFFFF"/>
            <w:vAlign w:val="center"/>
          </w:tcPr>
          <w:p w14:paraId="0C287ED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6.2</w:t>
            </w:r>
          </w:p>
        </w:tc>
        <w:tc>
          <w:tcPr>
            <w:tcW w:w="556" w:type="pct"/>
            <w:tcBorders>
              <w:tl2br w:val="nil"/>
              <w:tr2bl w:val="nil"/>
            </w:tcBorders>
            <w:shd w:val="clear" w:color="auto" w:fill="auto"/>
            <w:vAlign w:val="center"/>
          </w:tcPr>
          <w:p w14:paraId="1AC75DD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签名制作服务</w:t>
            </w:r>
          </w:p>
        </w:tc>
        <w:tc>
          <w:tcPr>
            <w:tcW w:w="1756" w:type="pct"/>
            <w:tcBorders>
              <w:tl2br w:val="nil"/>
              <w:tr2bl w:val="nil"/>
            </w:tcBorders>
            <w:shd w:val="clear" w:color="auto" w:fill="auto"/>
            <w:vAlign w:val="center"/>
          </w:tcPr>
          <w:p w14:paraId="5D245E1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签名制作服务是延续性服务，提供政务人员电子签名制作服务，完成证书申请、签名制作、签名备案等。</w:t>
            </w:r>
          </w:p>
        </w:tc>
        <w:tc>
          <w:tcPr>
            <w:tcW w:w="560" w:type="pct"/>
            <w:tcBorders>
              <w:tl2br w:val="nil"/>
              <w:tr2bl w:val="nil"/>
            </w:tcBorders>
            <w:shd w:val="clear" w:color="auto" w:fill="FFFFFF"/>
            <w:vAlign w:val="center"/>
          </w:tcPr>
          <w:p w14:paraId="11F8827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0.005</w:t>
            </w:r>
          </w:p>
        </w:tc>
        <w:tc>
          <w:tcPr>
            <w:tcW w:w="409" w:type="pct"/>
            <w:tcBorders>
              <w:tl2br w:val="nil"/>
              <w:tr2bl w:val="nil"/>
            </w:tcBorders>
            <w:shd w:val="clear" w:color="auto" w:fill="auto"/>
            <w:noWrap/>
            <w:vAlign w:val="center"/>
          </w:tcPr>
          <w:p w14:paraId="5B62AEDF">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4FE01BC9">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c>
          <w:tcPr>
            <w:tcW w:w="480" w:type="pct"/>
            <w:tcBorders>
              <w:tl2br w:val="nil"/>
              <w:tr2bl w:val="nil"/>
            </w:tcBorders>
            <w:shd w:val="clear" w:color="auto" w:fill="FFFFFF"/>
            <w:vAlign w:val="center"/>
          </w:tcPr>
          <w:p w14:paraId="0F15053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枚</w:t>
            </w:r>
          </w:p>
        </w:tc>
        <w:tc>
          <w:tcPr>
            <w:tcW w:w="499" w:type="pct"/>
            <w:tcBorders>
              <w:tl2br w:val="nil"/>
              <w:tr2bl w:val="nil"/>
            </w:tcBorders>
            <w:shd w:val="clear" w:color="auto" w:fill="FFFFFF"/>
            <w:vAlign w:val="center"/>
          </w:tcPr>
          <w:p w14:paraId="22A1A158">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6E272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tcBorders>
              <w:tl2br w:val="nil"/>
              <w:tr2bl w:val="nil"/>
            </w:tcBorders>
            <w:shd w:val="clear" w:color="auto" w:fill="FFFFFF"/>
            <w:vAlign w:val="center"/>
          </w:tcPr>
          <w:p w14:paraId="7AE8A31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6.3</w:t>
            </w:r>
          </w:p>
        </w:tc>
        <w:tc>
          <w:tcPr>
            <w:tcW w:w="556" w:type="pct"/>
            <w:tcBorders>
              <w:tl2br w:val="nil"/>
              <w:tr2bl w:val="nil"/>
            </w:tcBorders>
            <w:shd w:val="clear" w:color="auto" w:fill="auto"/>
            <w:vAlign w:val="center"/>
          </w:tcPr>
          <w:p w14:paraId="45F8C31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自然人签名服务</w:t>
            </w:r>
          </w:p>
        </w:tc>
        <w:tc>
          <w:tcPr>
            <w:tcW w:w="1756" w:type="pct"/>
            <w:tcBorders>
              <w:tl2br w:val="nil"/>
              <w:tr2bl w:val="nil"/>
            </w:tcBorders>
            <w:shd w:val="clear" w:color="auto" w:fill="auto"/>
            <w:vAlign w:val="center"/>
          </w:tcPr>
          <w:p w14:paraId="33778CC4">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提供自动化申请制发自然人电子签名服务和在版式文件上加盖自然人电子签名的服务，签名时可自选位置或固定位置。</w:t>
            </w:r>
          </w:p>
        </w:tc>
        <w:tc>
          <w:tcPr>
            <w:tcW w:w="560" w:type="pct"/>
            <w:tcBorders>
              <w:tl2br w:val="nil"/>
              <w:tr2bl w:val="nil"/>
            </w:tcBorders>
            <w:shd w:val="clear" w:color="auto" w:fill="FFFFFF"/>
            <w:vAlign w:val="center"/>
          </w:tcPr>
          <w:p w14:paraId="064F860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0.000083</w:t>
            </w:r>
          </w:p>
        </w:tc>
        <w:tc>
          <w:tcPr>
            <w:tcW w:w="409" w:type="pct"/>
            <w:tcBorders>
              <w:tl2br w:val="nil"/>
              <w:tr2bl w:val="nil"/>
            </w:tcBorders>
            <w:shd w:val="clear" w:color="auto" w:fill="auto"/>
            <w:noWrap/>
            <w:vAlign w:val="center"/>
          </w:tcPr>
          <w:p w14:paraId="115EE256">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0DC64B9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350000</w:t>
            </w:r>
          </w:p>
        </w:tc>
        <w:tc>
          <w:tcPr>
            <w:tcW w:w="480" w:type="pct"/>
            <w:tcBorders>
              <w:tl2br w:val="nil"/>
              <w:tr2bl w:val="nil"/>
            </w:tcBorders>
            <w:shd w:val="clear" w:color="auto" w:fill="FFFFFF"/>
            <w:vAlign w:val="center"/>
          </w:tcPr>
          <w:p w14:paraId="188C032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次</w:t>
            </w:r>
          </w:p>
        </w:tc>
        <w:tc>
          <w:tcPr>
            <w:tcW w:w="499" w:type="pct"/>
            <w:tcBorders>
              <w:tl2br w:val="nil"/>
              <w:tr2bl w:val="nil"/>
            </w:tcBorders>
            <w:shd w:val="clear" w:color="auto" w:fill="FFFFFF"/>
            <w:vAlign w:val="center"/>
          </w:tcPr>
          <w:p w14:paraId="1CB61F32">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034A6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tcBorders>
              <w:tl2br w:val="nil"/>
              <w:tr2bl w:val="nil"/>
            </w:tcBorders>
            <w:shd w:val="clear" w:color="auto" w:fill="FFFFFF"/>
            <w:vAlign w:val="center"/>
          </w:tcPr>
          <w:p w14:paraId="4490B48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6.4</w:t>
            </w:r>
          </w:p>
        </w:tc>
        <w:tc>
          <w:tcPr>
            <w:tcW w:w="556" w:type="pct"/>
            <w:tcBorders>
              <w:tl2br w:val="nil"/>
              <w:tr2bl w:val="nil"/>
            </w:tcBorders>
            <w:shd w:val="clear" w:color="auto" w:fill="auto"/>
            <w:vAlign w:val="center"/>
          </w:tcPr>
          <w:p w14:paraId="5E41A3F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政务人员电子签名服务</w:t>
            </w:r>
          </w:p>
        </w:tc>
        <w:tc>
          <w:tcPr>
            <w:tcW w:w="1756" w:type="pct"/>
            <w:tcBorders>
              <w:tl2br w:val="nil"/>
              <w:tr2bl w:val="nil"/>
            </w:tcBorders>
            <w:shd w:val="clear" w:color="auto" w:fill="auto"/>
            <w:vAlign w:val="center"/>
          </w:tcPr>
          <w:p w14:paraId="33D6CC0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提供在版式文件上加盖政务人员电子签名的服务，包括位置签名、关键字签名等。</w:t>
            </w:r>
          </w:p>
        </w:tc>
        <w:tc>
          <w:tcPr>
            <w:tcW w:w="560" w:type="pct"/>
            <w:tcBorders>
              <w:tl2br w:val="nil"/>
              <w:tr2bl w:val="nil"/>
            </w:tcBorders>
            <w:shd w:val="clear" w:color="auto" w:fill="FFFFFF"/>
            <w:vAlign w:val="center"/>
          </w:tcPr>
          <w:p w14:paraId="489B32B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0.0015</w:t>
            </w:r>
          </w:p>
        </w:tc>
        <w:tc>
          <w:tcPr>
            <w:tcW w:w="409" w:type="pct"/>
            <w:tcBorders>
              <w:tl2br w:val="nil"/>
              <w:tr2bl w:val="nil"/>
            </w:tcBorders>
            <w:shd w:val="clear" w:color="auto" w:fill="auto"/>
            <w:noWrap/>
            <w:vAlign w:val="center"/>
          </w:tcPr>
          <w:p w14:paraId="5F54C5FE">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42C5B5BB">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c>
          <w:tcPr>
            <w:tcW w:w="480" w:type="pct"/>
            <w:tcBorders>
              <w:tl2br w:val="nil"/>
              <w:tr2bl w:val="nil"/>
            </w:tcBorders>
            <w:shd w:val="clear" w:color="auto" w:fill="FFFFFF"/>
            <w:vAlign w:val="center"/>
          </w:tcPr>
          <w:p w14:paraId="3C477BB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枚</w:t>
            </w:r>
          </w:p>
        </w:tc>
        <w:tc>
          <w:tcPr>
            <w:tcW w:w="499" w:type="pct"/>
            <w:tcBorders>
              <w:tl2br w:val="nil"/>
              <w:tr2bl w:val="nil"/>
            </w:tcBorders>
            <w:shd w:val="clear" w:color="auto" w:fill="FFFFFF"/>
            <w:vAlign w:val="center"/>
          </w:tcPr>
          <w:p w14:paraId="68D7AB88">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10576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tcBorders>
              <w:tl2br w:val="nil"/>
              <w:tr2bl w:val="nil"/>
            </w:tcBorders>
            <w:shd w:val="clear" w:color="auto" w:fill="FFFFFF"/>
            <w:vAlign w:val="center"/>
          </w:tcPr>
          <w:p w14:paraId="7DF2FBC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6.5</w:t>
            </w:r>
          </w:p>
        </w:tc>
        <w:tc>
          <w:tcPr>
            <w:tcW w:w="556" w:type="pct"/>
            <w:tcBorders>
              <w:tl2br w:val="nil"/>
              <w:tr2bl w:val="nil"/>
            </w:tcBorders>
            <w:shd w:val="clear" w:color="auto" w:fill="auto"/>
            <w:vAlign w:val="center"/>
          </w:tcPr>
          <w:p w14:paraId="331F7634">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电子印章管理服务</w:t>
            </w:r>
          </w:p>
        </w:tc>
        <w:tc>
          <w:tcPr>
            <w:tcW w:w="1756" w:type="pct"/>
            <w:tcBorders>
              <w:tl2br w:val="nil"/>
              <w:tr2bl w:val="nil"/>
            </w:tcBorders>
            <w:shd w:val="clear" w:color="auto" w:fill="auto"/>
            <w:vAlign w:val="center"/>
          </w:tcPr>
          <w:p w14:paraId="4520BC42">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提供与对接国办平台、提供数字证书管理服务、统计分析功能和印章统一数据管理。</w:t>
            </w:r>
          </w:p>
        </w:tc>
        <w:tc>
          <w:tcPr>
            <w:tcW w:w="560" w:type="pct"/>
            <w:tcBorders>
              <w:tl2br w:val="nil"/>
              <w:tr2bl w:val="nil"/>
            </w:tcBorders>
            <w:shd w:val="clear" w:color="auto" w:fill="auto"/>
            <w:noWrap/>
            <w:vAlign w:val="center"/>
          </w:tcPr>
          <w:p w14:paraId="1D84D75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2.754</w:t>
            </w:r>
          </w:p>
        </w:tc>
        <w:tc>
          <w:tcPr>
            <w:tcW w:w="409" w:type="pct"/>
            <w:tcBorders>
              <w:tl2br w:val="nil"/>
              <w:tr2bl w:val="nil"/>
            </w:tcBorders>
            <w:shd w:val="clear" w:color="auto" w:fill="auto"/>
            <w:noWrap/>
            <w:vAlign w:val="center"/>
          </w:tcPr>
          <w:p w14:paraId="56B97481">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29D33C3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480" w:type="pct"/>
            <w:tcBorders>
              <w:tl2br w:val="nil"/>
              <w:tr2bl w:val="nil"/>
            </w:tcBorders>
            <w:shd w:val="clear" w:color="auto" w:fill="auto"/>
            <w:noWrap/>
            <w:vAlign w:val="center"/>
          </w:tcPr>
          <w:p w14:paraId="74D3E3E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170EE9B6">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3F921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jc w:val="center"/>
        </w:trPr>
        <w:tc>
          <w:tcPr>
            <w:tcW w:w="342" w:type="pct"/>
            <w:vMerge w:val="restart"/>
            <w:tcBorders>
              <w:tl2br w:val="nil"/>
              <w:tr2bl w:val="nil"/>
            </w:tcBorders>
            <w:shd w:val="clear" w:color="auto" w:fill="FFFFFF"/>
            <w:vAlign w:val="center"/>
          </w:tcPr>
          <w:p w14:paraId="3127EC9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w:t>
            </w:r>
          </w:p>
        </w:tc>
        <w:tc>
          <w:tcPr>
            <w:tcW w:w="556" w:type="pct"/>
            <w:vMerge w:val="restart"/>
            <w:tcBorders>
              <w:tl2br w:val="nil"/>
              <w:tr2bl w:val="nil"/>
            </w:tcBorders>
            <w:shd w:val="clear" w:color="auto" w:fill="auto"/>
            <w:vAlign w:val="center"/>
          </w:tcPr>
          <w:p w14:paraId="0211F47B">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支撑性服务</w:t>
            </w:r>
          </w:p>
        </w:tc>
        <w:tc>
          <w:tcPr>
            <w:tcW w:w="1756" w:type="pct"/>
            <w:tcBorders>
              <w:tl2br w:val="nil"/>
              <w:tr2bl w:val="nil"/>
            </w:tcBorders>
            <w:shd w:val="clear" w:color="auto" w:fill="auto"/>
            <w:vAlign w:val="center"/>
          </w:tcPr>
          <w:p w14:paraId="24C648E0">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提供包括：对接服务、数据分析服务、操作指导服务、安全运营服务、重保专项运营、运行监测、数据处理、定期巡检、故障处理、数据备份等服务内容。</w:t>
            </w:r>
          </w:p>
        </w:tc>
        <w:tc>
          <w:tcPr>
            <w:tcW w:w="560" w:type="pct"/>
            <w:tcBorders>
              <w:tl2br w:val="nil"/>
              <w:tr2bl w:val="nil"/>
            </w:tcBorders>
            <w:shd w:val="clear" w:color="auto" w:fill="auto"/>
            <w:noWrap/>
            <w:vAlign w:val="center"/>
          </w:tcPr>
          <w:p w14:paraId="2D563E39">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86.1192</w:t>
            </w:r>
          </w:p>
        </w:tc>
        <w:tc>
          <w:tcPr>
            <w:tcW w:w="409" w:type="pct"/>
            <w:tcBorders>
              <w:tl2br w:val="nil"/>
              <w:tr2bl w:val="nil"/>
            </w:tcBorders>
            <w:shd w:val="clear" w:color="auto" w:fill="auto"/>
            <w:noWrap/>
            <w:vAlign w:val="center"/>
          </w:tcPr>
          <w:p w14:paraId="7FFEF080">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4D71C34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480" w:type="pct"/>
            <w:tcBorders>
              <w:tl2br w:val="nil"/>
              <w:tr2bl w:val="nil"/>
            </w:tcBorders>
            <w:shd w:val="clear" w:color="auto" w:fill="auto"/>
            <w:noWrap/>
            <w:vAlign w:val="center"/>
          </w:tcPr>
          <w:p w14:paraId="70123619">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58CD48F2">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714A4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342" w:type="pct"/>
            <w:vMerge w:val="continue"/>
            <w:tcBorders>
              <w:tl2br w:val="nil"/>
              <w:tr2bl w:val="nil"/>
            </w:tcBorders>
            <w:shd w:val="clear" w:color="auto" w:fill="FFFFFF"/>
            <w:vAlign w:val="center"/>
          </w:tcPr>
          <w:p w14:paraId="266DCCEC">
            <w:pPr>
              <w:spacing w:line="360" w:lineRule="auto"/>
              <w:jc w:val="center"/>
              <w:rPr>
                <w:rFonts w:hint="eastAsia" w:ascii="仿宋" w:hAnsi="仿宋" w:eastAsia="仿宋" w:cs="仿宋"/>
                <w:i w:val="0"/>
                <w:iCs w:val="0"/>
                <w:color w:val="000000"/>
                <w:sz w:val="24"/>
                <w:szCs w:val="24"/>
                <w:u w:val="none"/>
              </w:rPr>
            </w:pPr>
          </w:p>
        </w:tc>
        <w:tc>
          <w:tcPr>
            <w:tcW w:w="556" w:type="pct"/>
            <w:vMerge w:val="continue"/>
            <w:tcBorders>
              <w:tl2br w:val="nil"/>
              <w:tr2bl w:val="nil"/>
            </w:tcBorders>
            <w:shd w:val="clear" w:color="auto" w:fill="auto"/>
            <w:vAlign w:val="center"/>
          </w:tcPr>
          <w:p w14:paraId="5E7B62E0">
            <w:pPr>
              <w:spacing w:line="360" w:lineRule="auto"/>
              <w:jc w:val="center"/>
              <w:rPr>
                <w:rFonts w:hint="eastAsia" w:ascii="仿宋" w:hAnsi="仿宋" w:eastAsia="仿宋" w:cs="仿宋"/>
                <w:i w:val="0"/>
                <w:iCs w:val="0"/>
                <w:color w:val="000000"/>
                <w:sz w:val="24"/>
                <w:szCs w:val="24"/>
                <w:u w:val="none"/>
              </w:rPr>
            </w:pPr>
          </w:p>
        </w:tc>
        <w:tc>
          <w:tcPr>
            <w:tcW w:w="1756" w:type="pct"/>
            <w:tcBorders>
              <w:tl2br w:val="nil"/>
              <w:tr2bl w:val="nil"/>
            </w:tcBorders>
            <w:shd w:val="clear" w:color="auto" w:fill="auto"/>
            <w:vAlign w:val="center"/>
          </w:tcPr>
          <w:p w14:paraId="62519D9A">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宣传推广服务提供宣传材料制作和开展推广活动服务。</w:t>
            </w:r>
          </w:p>
        </w:tc>
        <w:tc>
          <w:tcPr>
            <w:tcW w:w="560" w:type="pct"/>
            <w:tcBorders>
              <w:tl2br w:val="nil"/>
              <w:tr2bl w:val="nil"/>
            </w:tcBorders>
            <w:shd w:val="clear" w:color="auto" w:fill="auto"/>
            <w:noWrap/>
            <w:vAlign w:val="center"/>
          </w:tcPr>
          <w:p w14:paraId="4870B753">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2.08 </w:t>
            </w:r>
          </w:p>
        </w:tc>
        <w:tc>
          <w:tcPr>
            <w:tcW w:w="409" w:type="pct"/>
            <w:tcBorders>
              <w:tl2br w:val="nil"/>
              <w:tr2bl w:val="nil"/>
            </w:tcBorders>
            <w:shd w:val="clear" w:color="auto" w:fill="auto"/>
            <w:noWrap/>
            <w:vAlign w:val="center"/>
          </w:tcPr>
          <w:p w14:paraId="586E5E2D">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2AF5BFD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 </w:t>
            </w:r>
          </w:p>
        </w:tc>
        <w:tc>
          <w:tcPr>
            <w:tcW w:w="480" w:type="pct"/>
            <w:tcBorders>
              <w:tl2br w:val="nil"/>
              <w:tr2bl w:val="nil"/>
            </w:tcBorders>
            <w:shd w:val="clear" w:color="auto" w:fill="auto"/>
            <w:noWrap/>
            <w:vAlign w:val="center"/>
          </w:tcPr>
          <w:p w14:paraId="551A36F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4FF6BF4C">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1C2EF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5000" w:type="pct"/>
            <w:gridSpan w:val="8"/>
            <w:tcBorders>
              <w:tl2br w:val="nil"/>
              <w:tr2bl w:val="nil"/>
            </w:tcBorders>
            <w:shd w:val="clear" w:color="auto" w:fill="auto"/>
            <w:noWrap/>
            <w:vAlign w:val="center"/>
          </w:tcPr>
          <w:p w14:paraId="2214605B">
            <w:pPr>
              <w:spacing w:line="360" w:lineRule="auto"/>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（七）统一通知消息服务</w:t>
            </w:r>
          </w:p>
        </w:tc>
      </w:tr>
      <w:tr w14:paraId="591580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jc w:val="center"/>
        </w:trPr>
        <w:tc>
          <w:tcPr>
            <w:tcW w:w="342" w:type="pct"/>
            <w:tcBorders>
              <w:tl2br w:val="nil"/>
              <w:tr2bl w:val="nil"/>
            </w:tcBorders>
            <w:shd w:val="clear" w:color="auto" w:fill="FFFFFF"/>
            <w:vAlign w:val="center"/>
          </w:tcPr>
          <w:p w14:paraId="7EFA0EF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7.1</w:t>
            </w:r>
          </w:p>
        </w:tc>
        <w:tc>
          <w:tcPr>
            <w:tcW w:w="556" w:type="pct"/>
            <w:tcBorders>
              <w:tl2br w:val="nil"/>
              <w:tr2bl w:val="nil"/>
            </w:tcBorders>
            <w:shd w:val="clear" w:color="auto" w:fill="FFFFFF"/>
            <w:vAlign w:val="center"/>
          </w:tcPr>
          <w:p w14:paraId="04B5492B">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迁移服务</w:t>
            </w:r>
          </w:p>
        </w:tc>
        <w:tc>
          <w:tcPr>
            <w:tcW w:w="1756" w:type="pct"/>
            <w:tcBorders>
              <w:tl2br w:val="nil"/>
              <w:tr2bl w:val="nil"/>
            </w:tcBorders>
            <w:shd w:val="clear" w:color="auto" w:fill="FFFFFF"/>
            <w:vAlign w:val="center"/>
          </w:tcPr>
          <w:p w14:paraId="2E07865A">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将原对接短信平台的系统迁移至统一消息平台，甄别迁移系统是否对接秦政通、秦务员平台，计划在服务周期内完成130个系统的全部迁移工作。</w:t>
            </w:r>
          </w:p>
        </w:tc>
        <w:tc>
          <w:tcPr>
            <w:tcW w:w="560" w:type="pct"/>
            <w:tcBorders>
              <w:tl2br w:val="nil"/>
              <w:tr2bl w:val="nil"/>
            </w:tcBorders>
            <w:shd w:val="clear" w:color="auto" w:fill="auto"/>
            <w:noWrap/>
            <w:vAlign w:val="center"/>
          </w:tcPr>
          <w:p w14:paraId="5ABAADF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38.7342</w:t>
            </w:r>
          </w:p>
        </w:tc>
        <w:tc>
          <w:tcPr>
            <w:tcW w:w="409" w:type="pct"/>
            <w:tcBorders>
              <w:tl2br w:val="nil"/>
              <w:tr2bl w:val="nil"/>
            </w:tcBorders>
            <w:shd w:val="clear" w:color="auto" w:fill="auto"/>
            <w:noWrap/>
            <w:vAlign w:val="center"/>
          </w:tcPr>
          <w:p w14:paraId="494D2320">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6995F54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480" w:type="pct"/>
            <w:tcBorders>
              <w:tl2br w:val="nil"/>
              <w:tr2bl w:val="nil"/>
            </w:tcBorders>
            <w:shd w:val="clear" w:color="auto" w:fill="auto"/>
            <w:noWrap/>
            <w:vAlign w:val="center"/>
          </w:tcPr>
          <w:p w14:paraId="2192264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5444B844">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0675B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tcBorders>
              <w:tl2br w:val="nil"/>
              <w:tr2bl w:val="nil"/>
            </w:tcBorders>
            <w:shd w:val="clear" w:color="auto" w:fill="FFFFFF"/>
            <w:vAlign w:val="center"/>
          </w:tcPr>
          <w:p w14:paraId="420C585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556" w:type="pct"/>
            <w:tcBorders>
              <w:tl2br w:val="nil"/>
              <w:tr2bl w:val="nil"/>
            </w:tcBorders>
            <w:shd w:val="clear" w:color="auto" w:fill="FFFFFF"/>
            <w:vAlign w:val="center"/>
          </w:tcPr>
          <w:p w14:paraId="13CBF21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普通短信服务</w:t>
            </w:r>
          </w:p>
        </w:tc>
        <w:tc>
          <w:tcPr>
            <w:tcW w:w="1756" w:type="pct"/>
            <w:tcBorders>
              <w:tl2br w:val="nil"/>
              <w:tr2bl w:val="nil"/>
            </w:tcBorders>
            <w:shd w:val="clear" w:color="auto" w:fill="FFFFFF"/>
            <w:vAlign w:val="center"/>
          </w:tcPr>
          <w:p w14:paraId="67A6CB15">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25年1-8月发送短信数量为：4848万条；4、5月均短信发送量为651万，服务期19个月的发送总量预计为4848+651*11=12009万条。</w:t>
            </w:r>
          </w:p>
        </w:tc>
        <w:tc>
          <w:tcPr>
            <w:tcW w:w="560" w:type="pct"/>
            <w:tcBorders>
              <w:tl2br w:val="nil"/>
              <w:tr2bl w:val="nil"/>
            </w:tcBorders>
            <w:shd w:val="clear" w:color="auto" w:fill="auto"/>
            <w:noWrap/>
            <w:vAlign w:val="center"/>
          </w:tcPr>
          <w:p w14:paraId="3ACD48B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0.000003</w:t>
            </w:r>
          </w:p>
        </w:tc>
        <w:tc>
          <w:tcPr>
            <w:tcW w:w="409" w:type="pct"/>
            <w:tcBorders>
              <w:tl2br w:val="nil"/>
              <w:tr2bl w:val="nil"/>
            </w:tcBorders>
            <w:shd w:val="clear" w:color="auto" w:fill="auto"/>
            <w:noWrap/>
            <w:vAlign w:val="center"/>
          </w:tcPr>
          <w:p w14:paraId="121061F0">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6BCB5C4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120090000</w:t>
            </w:r>
          </w:p>
        </w:tc>
        <w:tc>
          <w:tcPr>
            <w:tcW w:w="480" w:type="pct"/>
            <w:tcBorders>
              <w:tl2br w:val="nil"/>
              <w:tr2bl w:val="nil"/>
            </w:tcBorders>
            <w:shd w:val="clear" w:color="auto" w:fill="auto"/>
            <w:noWrap/>
            <w:vAlign w:val="center"/>
          </w:tcPr>
          <w:p w14:paraId="03818A4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每条</w:t>
            </w:r>
          </w:p>
        </w:tc>
        <w:tc>
          <w:tcPr>
            <w:tcW w:w="499" w:type="pct"/>
            <w:tcBorders>
              <w:tl2br w:val="nil"/>
              <w:tr2bl w:val="nil"/>
            </w:tcBorders>
            <w:shd w:val="clear" w:color="auto" w:fill="auto"/>
            <w:noWrap/>
            <w:vAlign w:val="center"/>
          </w:tcPr>
          <w:p w14:paraId="7FBFD281">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1476E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jc w:val="center"/>
        </w:trPr>
        <w:tc>
          <w:tcPr>
            <w:tcW w:w="342" w:type="pct"/>
            <w:tcBorders>
              <w:tl2br w:val="nil"/>
              <w:tr2bl w:val="nil"/>
            </w:tcBorders>
            <w:shd w:val="clear" w:color="auto" w:fill="FFFFFF"/>
            <w:vAlign w:val="center"/>
          </w:tcPr>
          <w:p w14:paraId="6FF9732F">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7.3</w:t>
            </w:r>
          </w:p>
        </w:tc>
        <w:tc>
          <w:tcPr>
            <w:tcW w:w="556" w:type="pct"/>
            <w:tcBorders>
              <w:tl2br w:val="nil"/>
              <w:tr2bl w:val="nil"/>
            </w:tcBorders>
            <w:shd w:val="clear" w:color="auto" w:fill="FFFFFF"/>
            <w:vAlign w:val="center"/>
          </w:tcPr>
          <w:p w14:paraId="3C483E39">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系统对接与渠道策略配置</w:t>
            </w:r>
          </w:p>
        </w:tc>
        <w:tc>
          <w:tcPr>
            <w:tcW w:w="1756" w:type="pct"/>
            <w:tcBorders>
              <w:tl2br w:val="nil"/>
              <w:tr2bl w:val="nil"/>
            </w:tcBorders>
            <w:shd w:val="clear" w:color="auto" w:fill="FFFFFF"/>
            <w:vAlign w:val="center"/>
          </w:tcPr>
          <w:p w14:paraId="46BA8CFF">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消息平台对接信创短信平台渠道，并做策略配置进行各类消息不同渠道的分发服务。</w:t>
            </w:r>
          </w:p>
        </w:tc>
        <w:tc>
          <w:tcPr>
            <w:tcW w:w="560" w:type="pct"/>
            <w:tcBorders>
              <w:tl2br w:val="nil"/>
              <w:tr2bl w:val="nil"/>
            </w:tcBorders>
            <w:shd w:val="clear" w:color="auto" w:fill="auto"/>
            <w:noWrap/>
            <w:vAlign w:val="center"/>
          </w:tcPr>
          <w:p w14:paraId="6F8C9464">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16.99704</w:t>
            </w:r>
          </w:p>
        </w:tc>
        <w:tc>
          <w:tcPr>
            <w:tcW w:w="409" w:type="pct"/>
            <w:tcBorders>
              <w:tl2br w:val="nil"/>
              <w:tr2bl w:val="nil"/>
            </w:tcBorders>
            <w:shd w:val="clear" w:color="auto" w:fill="auto"/>
            <w:noWrap/>
            <w:vAlign w:val="center"/>
          </w:tcPr>
          <w:p w14:paraId="2CAA9AC8">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600E20B4">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480" w:type="pct"/>
            <w:tcBorders>
              <w:tl2br w:val="nil"/>
              <w:tr2bl w:val="nil"/>
            </w:tcBorders>
            <w:shd w:val="clear" w:color="auto" w:fill="auto"/>
            <w:noWrap/>
            <w:vAlign w:val="center"/>
          </w:tcPr>
          <w:p w14:paraId="07E4916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75D0CC60">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1584BA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8" w:hRule="atLeast"/>
          <w:jc w:val="center"/>
        </w:trPr>
        <w:tc>
          <w:tcPr>
            <w:tcW w:w="342" w:type="pct"/>
            <w:tcBorders>
              <w:tl2br w:val="nil"/>
              <w:tr2bl w:val="nil"/>
            </w:tcBorders>
            <w:shd w:val="clear" w:color="auto" w:fill="FFFFFF"/>
            <w:vAlign w:val="center"/>
          </w:tcPr>
          <w:p w14:paraId="646455CF">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7.4</w:t>
            </w:r>
          </w:p>
        </w:tc>
        <w:tc>
          <w:tcPr>
            <w:tcW w:w="556" w:type="pct"/>
            <w:tcBorders>
              <w:tl2br w:val="nil"/>
              <w:tr2bl w:val="nil"/>
            </w:tcBorders>
            <w:shd w:val="clear" w:color="auto" w:fill="auto"/>
            <w:vAlign w:val="center"/>
          </w:tcPr>
          <w:p w14:paraId="4C76F1C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支撑性服务</w:t>
            </w:r>
          </w:p>
        </w:tc>
        <w:tc>
          <w:tcPr>
            <w:tcW w:w="1756" w:type="pct"/>
            <w:tcBorders>
              <w:tl2br w:val="nil"/>
              <w:tr2bl w:val="nil"/>
            </w:tcBorders>
            <w:shd w:val="clear" w:color="auto" w:fill="FFFFFF"/>
            <w:vAlign w:val="center"/>
          </w:tcPr>
          <w:p w14:paraId="54DE3E8F">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提供运行监测、数据处理、定期巡检、故障处理等服务内容。</w:t>
            </w:r>
          </w:p>
        </w:tc>
        <w:tc>
          <w:tcPr>
            <w:tcW w:w="560" w:type="pct"/>
            <w:tcBorders>
              <w:tl2br w:val="nil"/>
              <w:tr2bl w:val="nil"/>
            </w:tcBorders>
            <w:shd w:val="clear" w:color="auto" w:fill="auto"/>
            <w:noWrap/>
            <w:vAlign w:val="center"/>
          </w:tcPr>
          <w:p w14:paraId="350B81F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13.7862</w:t>
            </w:r>
          </w:p>
        </w:tc>
        <w:tc>
          <w:tcPr>
            <w:tcW w:w="409" w:type="pct"/>
            <w:tcBorders>
              <w:tl2br w:val="nil"/>
              <w:tr2bl w:val="nil"/>
            </w:tcBorders>
            <w:shd w:val="clear" w:color="auto" w:fill="auto"/>
            <w:noWrap/>
            <w:vAlign w:val="center"/>
          </w:tcPr>
          <w:p w14:paraId="4AB1A71D">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393" w:type="pct"/>
            <w:tcBorders>
              <w:tl2br w:val="nil"/>
              <w:tr2bl w:val="nil"/>
            </w:tcBorders>
            <w:shd w:val="clear" w:color="auto" w:fill="auto"/>
            <w:noWrap/>
            <w:vAlign w:val="center"/>
          </w:tcPr>
          <w:p w14:paraId="2485A63F">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480" w:type="pct"/>
            <w:tcBorders>
              <w:tl2br w:val="nil"/>
              <w:tr2bl w:val="nil"/>
            </w:tcBorders>
            <w:shd w:val="clear" w:color="auto" w:fill="auto"/>
            <w:noWrap/>
            <w:vAlign w:val="center"/>
          </w:tcPr>
          <w:p w14:paraId="307837D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499" w:type="pct"/>
            <w:tcBorders>
              <w:tl2br w:val="nil"/>
              <w:tr2bl w:val="nil"/>
            </w:tcBorders>
            <w:shd w:val="clear" w:color="auto" w:fill="auto"/>
            <w:noWrap/>
            <w:vAlign w:val="center"/>
          </w:tcPr>
          <w:p w14:paraId="70FC5564">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p>
        </w:tc>
      </w:tr>
      <w:tr w14:paraId="089BEB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62" w:hRule="atLeast"/>
          <w:jc w:val="center"/>
        </w:trPr>
        <w:tc>
          <w:tcPr>
            <w:tcW w:w="5000" w:type="pct"/>
            <w:gridSpan w:val="8"/>
            <w:tcBorders>
              <w:tl2br w:val="nil"/>
              <w:tr2bl w:val="nil"/>
            </w:tcBorders>
            <w:shd w:val="clear" w:color="auto" w:fill="FFFFFF"/>
            <w:vAlign w:val="center"/>
          </w:tcPr>
          <w:p w14:paraId="45EE08DA">
            <w:pPr>
              <w:keepNext w:val="0"/>
              <w:keepLines w:val="0"/>
              <w:widowControl/>
              <w:suppressLineNumbers w:val="0"/>
              <w:spacing w:line="360" w:lineRule="auto"/>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投标总报价：</w:t>
            </w:r>
          </w:p>
        </w:tc>
      </w:tr>
    </w:tbl>
    <w:p w14:paraId="1185C350">
      <w:pPr>
        <w:ind w:firstLine="6840" w:firstLineChars="2850"/>
        <w:rPr>
          <w:rFonts w:hint="eastAsia" w:ascii="仿宋" w:hAnsi="仿宋" w:eastAsia="仿宋" w:cs="仿宋"/>
          <w:sz w:val="24"/>
          <w:szCs w:val="24"/>
        </w:rPr>
      </w:pPr>
    </w:p>
    <w:p w14:paraId="318EB454">
      <w:pPr>
        <w:spacing w:line="24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注：1. 如果按单价计算的结果与总价不一致，以单价</w:t>
      </w:r>
      <w:r>
        <w:rPr>
          <w:rFonts w:hint="eastAsia" w:ascii="仿宋" w:hAnsi="仿宋" w:eastAsia="仿宋" w:cs="仿宋"/>
          <w:color w:val="auto"/>
          <w:sz w:val="24"/>
          <w:szCs w:val="24"/>
          <w:lang w:eastAsia="zh-CN"/>
        </w:rPr>
        <w:t>为准修正总价，</w:t>
      </w:r>
      <w:r>
        <w:rPr>
          <w:rFonts w:hint="eastAsia" w:ascii="仿宋" w:hAnsi="仿宋" w:eastAsia="仿宋" w:cs="仿宋"/>
          <w:color w:val="auto"/>
          <w:sz w:val="24"/>
          <w:szCs w:val="24"/>
          <w:lang w:val="en-US" w:eastAsia="zh-CN"/>
        </w:rPr>
        <w:t>最终按单价据实结算</w:t>
      </w:r>
      <w:r>
        <w:rPr>
          <w:rFonts w:hint="eastAsia" w:ascii="仿宋" w:hAnsi="仿宋" w:eastAsia="仿宋" w:cs="仿宋"/>
          <w:color w:val="auto"/>
          <w:sz w:val="24"/>
          <w:szCs w:val="24"/>
          <w:lang w:eastAsia="zh-CN"/>
        </w:rPr>
        <w:t>。</w:t>
      </w:r>
    </w:p>
    <w:p w14:paraId="1F796F2C">
      <w:pPr>
        <w:spacing w:line="24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2.总报价精确到元。</w:t>
      </w:r>
    </w:p>
    <w:p w14:paraId="6F66FF22">
      <w:pPr>
        <w:spacing w:line="24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3.线上系统中附件“标的清单”中的“总价”应与附件“报价表”中“投标</w:t>
      </w:r>
      <w:r>
        <w:rPr>
          <w:rFonts w:hint="eastAsia" w:ascii="仿宋" w:hAnsi="仿宋" w:eastAsia="仿宋" w:cs="仿宋"/>
          <w:sz w:val="24"/>
          <w:szCs w:val="24"/>
        </w:rPr>
        <w:t>报价</w:t>
      </w:r>
      <w:r>
        <w:rPr>
          <w:rFonts w:hint="eastAsia" w:ascii="仿宋" w:hAnsi="仿宋" w:eastAsia="仿宋" w:cs="仿宋"/>
          <w:sz w:val="24"/>
          <w:szCs w:val="24"/>
          <w:lang w:eastAsia="zh-CN"/>
        </w:rPr>
        <w:t>”和“分项报价表”中“投标</w:t>
      </w:r>
      <w:r>
        <w:rPr>
          <w:rFonts w:hint="eastAsia" w:ascii="仿宋" w:hAnsi="仿宋" w:eastAsia="仿宋" w:cs="仿宋"/>
          <w:sz w:val="24"/>
          <w:szCs w:val="24"/>
        </w:rPr>
        <w:t>报价</w:t>
      </w:r>
      <w:r>
        <w:rPr>
          <w:rFonts w:hint="eastAsia" w:ascii="仿宋" w:hAnsi="仿宋" w:eastAsia="仿宋" w:cs="仿宋"/>
          <w:sz w:val="24"/>
          <w:szCs w:val="24"/>
          <w:lang w:eastAsia="zh-CN"/>
        </w:rPr>
        <w:t>”内容保持一致。</w:t>
      </w:r>
    </w:p>
    <w:p w14:paraId="08B305AB">
      <w:pPr>
        <w:spacing w:line="24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eastAsia="zh-CN"/>
        </w:rPr>
        <w:t>4.</w:t>
      </w:r>
      <w:r>
        <w:rPr>
          <w:rFonts w:hint="eastAsia" w:ascii="仿宋" w:hAnsi="仿宋" w:eastAsia="仿宋" w:cs="仿宋"/>
          <w:sz w:val="24"/>
          <w:szCs w:val="24"/>
          <w:lang w:val="en-US" w:eastAsia="zh-CN"/>
        </w:rPr>
        <w:t>供应商应按招标文件提供的分项报价表格式进行报价，若出现缺漏项或数量与分项报价表不一致，按无效标处理。所报单价超过最高限制单价按无效标处理。</w:t>
      </w:r>
    </w:p>
    <w:p w14:paraId="646B42A2">
      <w:pPr>
        <w:spacing w:line="24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有关本项目实施所涉及的一切费用均计入报价。采购人将以合同形式有偿取得货物或服务，不接受供应商给予的赠品、回扣或者与采购无关的其他商品、服务，不得出现“0元”“免费赠送”等形式的无偿报价，否则视为投标文件含有采购人不能接受的附加条件，投标无效。</w:t>
      </w:r>
    </w:p>
    <w:p w14:paraId="49BCC518">
      <w:pPr>
        <w:pStyle w:val="3"/>
        <w:spacing w:line="240" w:lineRule="auto"/>
        <w:rPr>
          <w:rFonts w:hint="eastAsia" w:ascii="仿宋" w:hAnsi="仿宋" w:eastAsia="仿宋" w:cs="仿宋"/>
          <w:color w:val="auto"/>
          <w:sz w:val="24"/>
          <w:szCs w:val="24"/>
          <w:lang w:eastAsia="zh-CN"/>
        </w:rPr>
      </w:pPr>
    </w:p>
    <w:p w14:paraId="24C2C6AF">
      <w:pPr>
        <w:spacing w:line="240" w:lineRule="auto"/>
        <w:ind w:right="-161" w:firstLine="6960" w:firstLineChars="2900"/>
        <w:rPr>
          <w:rFonts w:hint="eastAsia" w:ascii="仿宋" w:hAnsi="仿宋" w:eastAsia="仿宋" w:cs="仿宋"/>
          <w:kern w:val="1"/>
          <w:sz w:val="24"/>
          <w:szCs w:val="24"/>
          <w:u w:val="single"/>
        </w:rPr>
      </w:pPr>
      <w:r>
        <w:rPr>
          <w:rFonts w:hint="eastAsia" w:ascii="仿宋" w:hAnsi="仿宋" w:eastAsia="仿宋" w:cs="仿宋"/>
          <w:kern w:val="1"/>
          <w:sz w:val="24"/>
          <w:szCs w:val="24"/>
        </w:rPr>
        <w:t>法定代表人或被授权代表签字或盖章：</w:t>
      </w:r>
      <w:r>
        <w:rPr>
          <w:rFonts w:hint="eastAsia" w:ascii="仿宋" w:hAnsi="仿宋" w:eastAsia="仿宋" w:cs="仿宋"/>
          <w:kern w:val="1"/>
          <w:sz w:val="24"/>
          <w:szCs w:val="24"/>
          <w:u w:val="single"/>
        </w:rPr>
        <w:t xml:space="preserve">                  </w:t>
      </w:r>
    </w:p>
    <w:p w14:paraId="7EF6C9A2">
      <w:pPr>
        <w:spacing w:line="240" w:lineRule="auto"/>
        <w:ind w:right="-161" w:firstLine="7200" w:firstLineChars="3000"/>
        <w:rPr>
          <w:rFonts w:hint="eastAsia" w:ascii="仿宋" w:hAnsi="仿宋" w:eastAsia="仿宋" w:cs="仿宋"/>
          <w:kern w:val="1"/>
          <w:sz w:val="24"/>
          <w:szCs w:val="24"/>
        </w:rPr>
      </w:pPr>
      <w:r>
        <w:rPr>
          <w:rFonts w:hint="eastAsia" w:ascii="仿宋" w:hAnsi="仿宋" w:eastAsia="仿宋" w:cs="仿宋"/>
          <w:kern w:val="1"/>
          <w:sz w:val="24"/>
          <w:szCs w:val="24"/>
        </w:rPr>
        <w:t>供应商名称：</w:t>
      </w:r>
      <w:r>
        <w:rPr>
          <w:rFonts w:hint="eastAsia" w:ascii="仿宋" w:hAnsi="仿宋" w:eastAsia="仿宋" w:cs="仿宋"/>
          <w:kern w:val="1"/>
          <w:sz w:val="24"/>
          <w:szCs w:val="24"/>
          <w:u w:val="single"/>
        </w:rPr>
        <w:t xml:space="preserve">                              （公章）</w:t>
      </w:r>
    </w:p>
    <w:p w14:paraId="6CF89E35">
      <w:pPr>
        <w:spacing w:line="240" w:lineRule="auto"/>
        <w:ind w:firstLine="5409" w:firstLineChars="2254"/>
        <w:jc w:val="center"/>
        <w:rPr>
          <w:rFonts w:hint="eastAsia" w:ascii="仿宋" w:hAnsi="仿宋" w:eastAsia="仿宋" w:cs="仿宋"/>
          <w:sz w:val="24"/>
          <w:szCs w:val="24"/>
        </w:rPr>
      </w:pPr>
      <w:r>
        <w:rPr>
          <w:rFonts w:hint="eastAsia" w:ascii="仿宋" w:hAnsi="仿宋" w:eastAsia="仿宋" w:cs="仿宋"/>
          <w:kern w:val="1"/>
          <w:sz w:val="24"/>
          <w:szCs w:val="24"/>
        </w:rPr>
        <w:t xml:space="preserve">  日期： </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年</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月</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日</w:t>
      </w: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056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3"/>
    <w:basedOn w:val="1"/>
    <w:next w:val="1"/>
    <w:semiHidden/>
    <w:unhideWhenUsed/>
    <w:qFormat/>
    <w:uiPriority w:val="0"/>
    <w:pPr>
      <w:keepNext/>
      <w:keepLines/>
      <w:spacing w:before="260" w:after="260" w:line="413" w:lineRule="auto"/>
      <w:outlineLvl w:val="2"/>
    </w:pPr>
    <w:rPr>
      <w:b/>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character" w:customStyle="1" w:styleId="6">
    <w:name w:val="font81"/>
    <w:basedOn w:val="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3</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2025-12-26T11:34:09Z</dcterms:created>
  <dc:creator>Administrator</dc:creator>
  <cp:lastModifiedBy>夏日微凉</cp:lastModifiedBy>
  <dcterms:modified xsi:type="dcterms:W3CDTF">2025-12-26T11:37:42Z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737EEF1ECD4F4B6CA0CF8DC2698B4C38_12</vt:lpwstr>
  </property>
</Properties>
</file>