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5787F5">
      <w:pPr>
        <w:pStyle w:val="2"/>
        <w:adjustRightInd w:val="0"/>
        <w:spacing w:line="360" w:lineRule="auto"/>
        <w:textAlignment w:val="baseline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报价</w:t>
      </w:r>
      <w:r>
        <w:rPr>
          <w:rFonts w:hint="eastAsia" w:ascii="仿宋" w:hAnsi="仿宋" w:eastAsia="仿宋" w:cs="仿宋"/>
          <w:bCs/>
          <w:sz w:val="32"/>
          <w:szCs w:val="32"/>
        </w:rPr>
        <w:t>表</w:t>
      </w:r>
    </w:p>
    <w:p w14:paraId="1C53583E">
      <w:pPr>
        <w:rPr>
          <w:rFonts w:hint="eastAsia" w:ascii="仿宋" w:hAnsi="仿宋" w:eastAsia="仿宋" w:cs="仿宋"/>
          <w:b/>
          <w:sz w:val="24"/>
          <w:szCs w:val="24"/>
        </w:rPr>
      </w:pPr>
    </w:p>
    <w:tbl>
      <w:tblPr>
        <w:tblStyle w:val="4"/>
        <w:tblW w:w="8946" w:type="dxa"/>
        <w:tblInd w:w="0" w:type="dxa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8"/>
        <w:gridCol w:w="6988"/>
      </w:tblGrid>
      <w:tr w14:paraId="045FCA10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958" w:type="dxa"/>
            <w:tcBorders>
              <w:bottom w:val="single" w:color="auto" w:sz="4" w:space="0"/>
            </w:tcBorders>
            <w:vAlign w:val="center"/>
          </w:tcPr>
          <w:p w14:paraId="4265F5CA">
            <w:pPr>
              <w:jc w:val="center"/>
              <w:rPr>
                <w:rFonts w:hint="eastAsia" w:ascii="仿宋" w:hAnsi="仿宋" w:eastAsia="仿宋" w:cs="仿宋"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项目名称</w:t>
            </w:r>
          </w:p>
        </w:tc>
        <w:tc>
          <w:tcPr>
            <w:tcW w:w="6988" w:type="dxa"/>
            <w:vAlign w:val="center"/>
          </w:tcPr>
          <w:p w14:paraId="2BD10611">
            <w:pPr>
              <w:jc w:val="center"/>
              <w:rPr>
                <w:rFonts w:hint="eastAsia" w:ascii="仿宋" w:hAnsi="仿宋" w:eastAsia="仿宋" w:cs="仿宋"/>
                <w:caps/>
                <w:sz w:val="24"/>
                <w:szCs w:val="24"/>
              </w:rPr>
            </w:pPr>
          </w:p>
        </w:tc>
      </w:tr>
      <w:tr w14:paraId="4ECAA019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958" w:type="dxa"/>
            <w:tcBorders>
              <w:bottom w:val="single" w:color="auto" w:sz="4" w:space="0"/>
            </w:tcBorders>
            <w:vAlign w:val="center"/>
          </w:tcPr>
          <w:p w14:paraId="3B9BD07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项目编号</w:t>
            </w:r>
          </w:p>
        </w:tc>
        <w:tc>
          <w:tcPr>
            <w:tcW w:w="6988" w:type="dxa"/>
            <w:tcBorders>
              <w:bottom w:val="single" w:color="auto" w:sz="4" w:space="0"/>
            </w:tcBorders>
            <w:vAlign w:val="center"/>
          </w:tcPr>
          <w:p w14:paraId="77EFF22E">
            <w:pPr>
              <w:jc w:val="center"/>
              <w:rPr>
                <w:rFonts w:hint="eastAsia" w:ascii="仿宋" w:hAnsi="仿宋" w:eastAsia="仿宋" w:cs="仿宋"/>
                <w:caps/>
                <w:sz w:val="24"/>
                <w:szCs w:val="24"/>
              </w:rPr>
            </w:pPr>
          </w:p>
        </w:tc>
      </w:tr>
      <w:tr w14:paraId="669E134A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958" w:type="dxa"/>
            <w:vAlign w:val="center"/>
          </w:tcPr>
          <w:p w14:paraId="43A13FB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供 应 商</w:t>
            </w:r>
          </w:p>
        </w:tc>
        <w:tc>
          <w:tcPr>
            <w:tcW w:w="6988" w:type="dxa"/>
            <w:vAlign w:val="center"/>
          </w:tcPr>
          <w:p w14:paraId="2F6CAA3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BA76355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</w:trPr>
        <w:tc>
          <w:tcPr>
            <w:tcW w:w="1958" w:type="dxa"/>
            <w:vAlign w:val="center"/>
          </w:tcPr>
          <w:p w14:paraId="118EF56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投标总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报价</w:t>
            </w:r>
          </w:p>
          <w:p w14:paraId="1C5C8D4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（人民币）</w:t>
            </w:r>
          </w:p>
        </w:tc>
        <w:tc>
          <w:tcPr>
            <w:tcW w:w="6988" w:type="dxa"/>
            <w:vAlign w:val="center"/>
          </w:tcPr>
          <w:p w14:paraId="3DF8AEF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小写金额：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  <w:lang w:eastAsia="zh-CN"/>
              </w:rPr>
              <w:t xml:space="preserve">¥                  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。</w:t>
            </w:r>
          </w:p>
          <w:p w14:paraId="58092AD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大写金额：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  <w:lang w:eastAsia="zh-CN"/>
              </w:rPr>
              <w:t xml:space="preserve">                   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元。</w:t>
            </w:r>
          </w:p>
        </w:tc>
      </w:tr>
      <w:tr w14:paraId="14460425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57" w:hRule="atLeast"/>
        </w:trPr>
        <w:tc>
          <w:tcPr>
            <w:tcW w:w="8946" w:type="dxa"/>
            <w:gridSpan w:val="2"/>
            <w:vAlign w:val="center"/>
          </w:tcPr>
          <w:p w14:paraId="36A084F7">
            <w:pP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服务期限是否响应：是/否</w:t>
            </w:r>
          </w:p>
        </w:tc>
      </w:tr>
      <w:tr w14:paraId="29186E20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3" w:hRule="atLeast"/>
        </w:trPr>
        <w:tc>
          <w:tcPr>
            <w:tcW w:w="8946" w:type="dxa"/>
            <w:gridSpan w:val="2"/>
            <w:vAlign w:val="center"/>
          </w:tcPr>
          <w:p w14:paraId="30CDF444">
            <w:pP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付款方式是否响应：是/否</w:t>
            </w:r>
          </w:p>
        </w:tc>
      </w:tr>
    </w:tbl>
    <w:p w14:paraId="43C10B73">
      <w:pPr>
        <w:ind w:right="480"/>
        <w:rPr>
          <w:rFonts w:hint="eastAsia" w:ascii="仿宋" w:hAnsi="仿宋" w:eastAsia="仿宋" w:cs="仿宋"/>
          <w:sz w:val="24"/>
          <w:szCs w:val="24"/>
          <w:lang w:eastAsia="zh-CN"/>
        </w:rPr>
      </w:pPr>
    </w:p>
    <w:p w14:paraId="766D0BBB">
      <w:pPr>
        <w:ind w:right="180"/>
        <w:rPr>
          <w:rFonts w:hint="eastAsia" w:ascii="仿宋" w:hAnsi="仿宋" w:eastAsia="仿宋" w:cs="仿宋"/>
          <w:sz w:val="24"/>
          <w:szCs w:val="24"/>
          <w:u w:val="single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u w:val="single"/>
          <w:lang w:eastAsia="zh-CN"/>
        </w:rPr>
        <w:t>注:请根据响应情况选填“是”与“否”</w:t>
      </w:r>
    </w:p>
    <w:p w14:paraId="2CD4A465">
      <w:pPr>
        <w:ind w:right="180"/>
        <w:rPr>
          <w:rFonts w:hint="eastAsia" w:ascii="仿宋" w:hAnsi="仿宋" w:eastAsia="仿宋" w:cs="仿宋"/>
          <w:sz w:val="24"/>
          <w:szCs w:val="24"/>
          <w:u w:val="single"/>
          <w:lang w:eastAsia="zh-CN"/>
        </w:rPr>
      </w:pPr>
    </w:p>
    <w:p w14:paraId="601E3752">
      <w:pPr>
        <w:spacing w:line="480" w:lineRule="auto"/>
        <w:ind w:right="-161" w:firstLine="2640"/>
        <w:rPr>
          <w:rFonts w:hint="eastAsia" w:ascii="仿宋" w:hAnsi="仿宋" w:eastAsia="仿宋" w:cs="仿宋"/>
          <w:kern w:val="1"/>
          <w:sz w:val="24"/>
          <w:szCs w:val="24"/>
          <w:u w:val="single"/>
        </w:rPr>
      </w:pPr>
      <w:r>
        <w:rPr>
          <w:rFonts w:hint="eastAsia" w:ascii="仿宋" w:hAnsi="仿宋" w:eastAsia="仿宋" w:cs="仿宋"/>
          <w:kern w:val="1"/>
          <w:sz w:val="24"/>
          <w:szCs w:val="24"/>
        </w:rPr>
        <w:t>法定代表人或被授权代表签字或盖章：</w:t>
      </w:r>
      <w:r>
        <w:rPr>
          <w:rFonts w:hint="eastAsia" w:ascii="仿宋" w:hAnsi="仿宋" w:eastAsia="仿宋" w:cs="仿宋"/>
          <w:kern w:val="1"/>
          <w:sz w:val="24"/>
          <w:szCs w:val="24"/>
          <w:u w:val="single"/>
        </w:rPr>
        <w:t xml:space="preserve">                  </w:t>
      </w:r>
    </w:p>
    <w:p w14:paraId="21B6843C">
      <w:pPr>
        <w:spacing w:line="480" w:lineRule="auto"/>
        <w:ind w:right="-161" w:firstLine="2640"/>
        <w:rPr>
          <w:rFonts w:hint="eastAsia" w:ascii="仿宋" w:hAnsi="仿宋" w:eastAsia="仿宋" w:cs="仿宋"/>
          <w:kern w:val="1"/>
          <w:sz w:val="24"/>
          <w:szCs w:val="24"/>
        </w:rPr>
      </w:pPr>
      <w:r>
        <w:rPr>
          <w:rFonts w:hint="eastAsia" w:ascii="仿宋" w:hAnsi="仿宋" w:eastAsia="仿宋" w:cs="仿宋"/>
          <w:kern w:val="1"/>
          <w:sz w:val="24"/>
          <w:szCs w:val="24"/>
        </w:rPr>
        <w:t>供应商名称：</w:t>
      </w:r>
      <w:r>
        <w:rPr>
          <w:rFonts w:hint="eastAsia" w:ascii="仿宋" w:hAnsi="仿宋" w:eastAsia="仿宋" w:cs="仿宋"/>
          <w:kern w:val="1"/>
          <w:sz w:val="24"/>
          <w:szCs w:val="24"/>
          <w:u w:val="single"/>
        </w:rPr>
        <w:t xml:space="preserve">                              （公章）</w:t>
      </w:r>
    </w:p>
    <w:p w14:paraId="21644CAC">
      <w:pPr>
        <w:ind w:firstLine="5409" w:firstLineChars="2254"/>
        <w:jc w:val="center"/>
        <w:rPr>
          <w:rFonts w:hint="eastAsia" w:ascii="仿宋" w:hAnsi="仿宋" w:eastAsia="仿宋" w:cs="仿宋"/>
          <w:kern w:val="1"/>
          <w:sz w:val="24"/>
          <w:szCs w:val="24"/>
          <w:u w:val="single"/>
        </w:rPr>
      </w:pPr>
      <w:r>
        <w:rPr>
          <w:rFonts w:hint="eastAsia" w:ascii="仿宋" w:hAnsi="仿宋" w:eastAsia="仿宋" w:cs="仿宋"/>
          <w:kern w:val="1"/>
          <w:sz w:val="24"/>
          <w:szCs w:val="24"/>
        </w:rPr>
        <w:t xml:space="preserve">  日期： </w:t>
      </w:r>
      <w:r>
        <w:rPr>
          <w:rFonts w:hint="eastAsia" w:ascii="仿宋" w:hAnsi="仿宋" w:eastAsia="仿宋" w:cs="仿宋"/>
          <w:kern w:val="1"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kern w:val="1"/>
          <w:sz w:val="24"/>
          <w:szCs w:val="24"/>
        </w:rPr>
        <w:t>年</w:t>
      </w:r>
      <w:r>
        <w:rPr>
          <w:rFonts w:hint="eastAsia" w:ascii="仿宋" w:hAnsi="仿宋" w:eastAsia="仿宋" w:cs="仿宋"/>
          <w:kern w:val="1"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kern w:val="1"/>
          <w:sz w:val="24"/>
          <w:szCs w:val="24"/>
        </w:rPr>
        <w:t>月</w:t>
      </w:r>
      <w:r>
        <w:rPr>
          <w:rFonts w:hint="eastAsia" w:ascii="仿宋" w:hAnsi="仿宋" w:eastAsia="仿宋" w:cs="仿宋"/>
          <w:kern w:val="1"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kern w:val="1"/>
          <w:sz w:val="24"/>
          <w:szCs w:val="24"/>
        </w:rPr>
        <w:t>日</w:t>
      </w:r>
    </w:p>
    <w:p w14:paraId="478A099C">
      <w:pPr>
        <w:ind w:right="180" w:firstLine="2640" w:firstLineChars="1100"/>
        <w:rPr>
          <w:rFonts w:hint="eastAsia" w:ascii="仿宋" w:hAnsi="仿宋" w:eastAsia="仿宋" w:cs="仿宋"/>
          <w:sz w:val="24"/>
          <w:szCs w:val="24"/>
          <w:u w:val="single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u w:val="single"/>
          <w:lang w:eastAsia="zh-CN"/>
        </w:rPr>
        <w:t xml:space="preserve"> </w:t>
      </w:r>
    </w:p>
    <w:p w14:paraId="56224E90">
      <w:pPr>
        <w:ind w:right="180"/>
        <w:rPr>
          <w:rFonts w:hint="eastAsia" w:ascii="仿宋" w:hAnsi="仿宋" w:eastAsia="仿宋" w:cs="仿宋"/>
          <w:sz w:val="24"/>
          <w:szCs w:val="24"/>
          <w:u w:val="single"/>
          <w:lang w:eastAsia="zh-CN"/>
        </w:rPr>
      </w:pPr>
    </w:p>
    <w:p w14:paraId="1EA4317C">
      <w:pPr>
        <w:ind w:right="180"/>
        <w:rPr>
          <w:rFonts w:hint="eastAsia" w:ascii="仿宋" w:hAnsi="仿宋" w:eastAsia="仿宋" w:cs="仿宋"/>
          <w:sz w:val="24"/>
          <w:szCs w:val="24"/>
          <w:u w:val="single"/>
          <w:lang w:eastAsia="zh-CN"/>
        </w:rPr>
      </w:pPr>
    </w:p>
    <w:p w14:paraId="201C0623">
      <w:pPr>
        <w:pStyle w:val="2"/>
        <w:adjustRightInd w:val="0"/>
        <w:spacing w:line="360" w:lineRule="auto"/>
        <w:textAlignment w:val="baseline"/>
        <w:rPr>
          <w:rFonts w:hint="eastAsia" w:ascii="仿宋" w:hAnsi="仿宋" w:eastAsia="仿宋" w:cs="仿宋"/>
          <w:bCs/>
          <w:sz w:val="24"/>
          <w:szCs w:val="24"/>
          <w:lang w:eastAsia="zh-CN"/>
        </w:r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425" w:num="1"/>
          <w:docGrid w:type="lines" w:linePitch="312" w:charSpace="0"/>
        </w:sectPr>
      </w:pPr>
    </w:p>
    <w:p w14:paraId="1CB9721B">
      <w:pPr>
        <w:pStyle w:val="2"/>
        <w:adjustRightInd w:val="0"/>
        <w:spacing w:line="360" w:lineRule="auto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分项报价表</w:t>
      </w:r>
    </w:p>
    <w:p w14:paraId="4C69620F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包2：基础设施运营服务</w:t>
      </w:r>
    </w:p>
    <w:tbl>
      <w:tblPr>
        <w:tblStyle w:val="4"/>
        <w:tblW w:w="4998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2"/>
        <w:gridCol w:w="1581"/>
        <w:gridCol w:w="4423"/>
        <w:gridCol w:w="1814"/>
        <w:gridCol w:w="1425"/>
        <w:gridCol w:w="1425"/>
        <w:gridCol w:w="1289"/>
        <w:gridCol w:w="1299"/>
      </w:tblGrid>
      <w:tr w14:paraId="58D071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FF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3A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1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1D2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技术参数</w:t>
            </w:r>
          </w:p>
        </w:tc>
        <w:tc>
          <w:tcPr>
            <w:tcW w:w="6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551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单项最高限价（万元）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B00D3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</w:t>
            </w:r>
          </w:p>
          <w:p w14:paraId="2A5FD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9B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数量（卡数\GB）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7E37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服务期（月）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F988E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总价</w:t>
            </w:r>
          </w:p>
          <w:p w14:paraId="746F0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</w:tr>
      <w:tr w14:paraId="39F562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689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D4D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高性能推理算力服务</w:t>
            </w:r>
          </w:p>
        </w:tc>
        <w:tc>
          <w:tcPr>
            <w:tcW w:w="1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B8F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提供≥313TFLOPS的算力服务，配套相关的网络、安全和管理设施，保障大模型算力供给服务。</w:t>
            </w:r>
          </w:p>
        </w:tc>
        <w:tc>
          <w:tcPr>
            <w:tcW w:w="6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8AA6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0.64560 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FB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B76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6A2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8E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26D3B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29E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2DF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普通推理算力服务</w:t>
            </w:r>
          </w:p>
        </w:tc>
        <w:tc>
          <w:tcPr>
            <w:tcW w:w="1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53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提供≥140TFLOPS的算力服务；配套相关的网络、安全和管理设施，保障大模型算力供给服务。</w:t>
            </w:r>
          </w:p>
        </w:tc>
        <w:tc>
          <w:tcPr>
            <w:tcW w:w="6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EA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0.29085 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0F8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CE5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D0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BE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18B4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CB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EF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存储SSD</w:t>
            </w:r>
          </w:p>
        </w:tc>
        <w:tc>
          <w:tcPr>
            <w:tcW w:w="1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DA9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提供高性能存储服务</w:t>
            </w:r>
          </w:p>
        </w:tc>
        <w:tc>
          <w:tcPr>
            <w:tcW w:w="6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131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0.000027 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4EF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723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512000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54B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2AB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91BF8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B8C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C01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算力运营</w:t>
            </w:r>
          </w:p>
        </w:tc>
        <w:tc>
          <w:tcPr>
            <w:tcW w:w="1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E27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提供算力资源池规划服务、算力扩容服务、算力使用分析服务及算力资源调度服务</w:t>
            </w:r>
          </w:p>
        </w:tc>
        <w:tc>
          <w:tcPr>
            <w:tcW w:w="6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FA97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1.620000 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3E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B6F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\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1B9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FB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7176C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000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D844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投标总报价：</w:t>
            </w:r>
          </w:p>
        </w:tc>
      </w:tr>
    </w:tbl>
    <w:p w14:paraId="4DD5FFAE">
      <w:pPr>
        <w:ind w:firstLine="6840" w:firstLineChars="2850"/>
        <w:rPr>
          <w:rFonts w:hint="eastAsia" w:ascii="仿宋" w:hAnsi="仿宋" w:eastAsia="仿宋" w:cs="仿宋"/>
          <w:sz w:val="24"/>
          <w:szCs w:val="24"/>
        </w:rPr>
      </w:pPr>
    </w:p>
    <w:p w14:paraId="318EB454">
      <w:pPr>
        <w:spacing w:line="240" w:lineRule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注：1. 如果按单价计算的结果与总价不一致，以单价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为准修正总价，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最终按单价据实结算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。</w:t>
      </w:r>
    </w:p>
    <w:p w14:paraId="1F796F2C">
      <w:pPr>
        <w:spacing w:line="240" w:lineRule="auto"/>
        <w:ind w:firstLine="480" w:firstLineChars="200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2.总报价精确到元。</w:t>
      </w:r>
    </w:p>
    <w:p w14:paraId="6F66FF22">
      <w:pPr>
        <w:spacing w:line="240" w:lineRule="auto"/>
        <w:ind w:firstLine="480" w:firstLineChars="200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3.线上系统中附件“标的清单”中的“总价”应与附件“报价表”中“投标</w:t>
      </w:r>
      <w:r>
        <w:rPr>
          <w:rFonts w:hint="eastAsia" w:ascii="仿宋" w:hAnsi="仿宋" w:eastAsia="仿宋" w:cs="仿宋"/>
          <w:sz w:val="24"/>
          <w:szCs w:val="24"/>
        </w:rPr>
        <w:t>报价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”和“分项报价表”中“投标</w:t>
      </w:r>
      <w:r>
        <w:rPr>
          <w:rFonts w:hint="eastAsia" w:ascii="仿宋" w:hAnsi="仿宋" w:eastAsia="仿宋" w:cs="仿宋"/>
          <w:sz w:val="24"/>
          <w:szCs w:val="24"/>
        </w:rPr>
        <w:t>报价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”内容保持一致。</w:t>
      </w:r>
    </w:p>
    <w:p w14:paraId="08B305AB">
      <w:pPr>
        <w:spacing w:line="240" w:lineRule="auto"/>
        <w:ind w:firstLine="480" w:firstLineChars="2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4.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供应商应按招标文件提供的分项报价表格式进行报价，若出现缺漏项或数量与分项报价表不一致，按无效标处理。所报单价超过最高限制单价按无效标处理。</w:t>
      </w:r>
      <w:bookmarkStart w:id="0" w:name="_GoBack"/>
      <w:bookmarkEnd w:id="0"/>
    </w:p>
    <w:p w14:paraId="646B42A2">
      <w:pPr>
        <w:spacing w:line="240" w:lineRule="auto"/>
        <w:ind w:firstLine="480" w:firstLineChars="200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5.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有关本项目实施所涉及的一切费用均计入报价。采购人将以合同形式有偿取得货物或服务，不接受供应商给予的赠品、回扣或者与采购无关的其他商品、服务，不得出现“0元”“免费赠送”等形式的无偿报价，否则视为投标文件含有采购人不能接受的附加条件，投标无效。</w:t>
      </w:r>
    </w:p>
    <w:p w14:paraId="49BCC518">
      <w:pPr>
        <w:pStyle w:val="3"/>
        <w:spacing w:line="240" w:lineRule="auto"/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</w:pPr>
    </w:p>
    <w:p w14:paraId="24C2C6AF">
      <w:pPr>
        <w:spacing w:line="240" w:lineRule="auto"/>
        <w:ind w:right="-161" w:firstLine="6960" w:firstLineChars="2900"/>
        <w:rPr>
          <w:rFonts w:hint="eastAsia" w:ascii="仿宋" w:hAnsi="仿宋" w:eastAsia="仿宋" w:cs="仿宋"/>
          <w:kern w:val="1"/>
          <w:sz w:val="24"/>
          <w:szCs w:val="24"/>
          <w:u w:val="single"/>
        </w:rPr>
      </w:pPr>
      <w:r>
        <w:rPr>
          <w:rFonts w:hint="eastAsia" w:ascii="仿宋" w:hAnsi="仿宋" w:eastAsia="仿宋" w:cs="仿宋"/>
          <w:kern w:val="1"/>
          <w:sz w:val="24"/>
          <w:szCs w:val="24"/>
        </w:rPr>
        <w:t>法定代表人或被授权代表签字或盖章：</w:t>
      </w:r>
      <w:r>
        <w:rPr>
          <w:rFonts w:hint="eastAsia" w:ascii="仿宋" w:hAnsi="仿宋" w:eastAsia="仿宋" w:cs="仿宋"/>
          <w:kern w:val="1"/>
          <w:sz w:val="24"/>
          <w:szCs w:val="24"/>
          <w:u w:val="single"/>
        </w:rPr>
        <w:t xml:space="preserve">                  </w:t>
      </w:r>
    </w:p>
    <w:p w14:paraId="7EF6C9A2">
      <w:pPr>
        <w:spacing w:line="240" w:lineRule="auto"/>
        <w:ind w:right="-161" w:firstLine="7200" w:firstLineChars="3000"/>
        <w:rPr>
          <w:rFonts w:hint="eastAsia" w:ascii="仿宋" w:hAnsi="仿宋" w:eastAsia="仿宋" w:cs="仿宋"/>
          <w:kern w:val="1"/>
          <w:sz w:val="24"/>
          <w:szCs w:val="24"/>
        </w:rPr>
      </w:pPr>
      <w:r>
        <w:rPr>
          <w:rFonts w:hint="eastAsia" w:ascii="仿宋" w:hAnsi="仿宋" w:eastAsia="仿宋" w:cs="仿宋"/>
          <w:kern w:val="1"/>
          <w:sz w:val="24"/>
          <w:szCs w:val="24"/>
        </w:rPr>
        <w:t>供应商名称：</w:t>
      </w:r>
      <w:r>
        <w:rPr>
          <w:rFonts w:hint="eastAsia" w:ascii="仿宋" w:hAnsi="仿宋" w:eastAsia="仿宋" w:cs="仿宋"/>
          <w:kern w:val="1"/>
          <w:sz w:val="24"/>
          <w:szCs w:val="24"/>
          <w:u w:val="single"/>
        </w:rPr>
        <w:t xml:space="preserve">                              （公章）</w:t>
      </w:r>
    </w:p>
    <w:p w14:paraId="6CF89E35">
      <w:pPr>
        <w:spacing w:line="240" w:lineRule="auto"/>
        <w:ind w:firstLine="5409" w:firstLineChars="2254"/>
        <w:jc w:val="center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kern w:val="1"/>
          <w:sz w:val="24"/>
          <w:szCs w:val="24"/>
        </w:rPr>
        <w:t xml:space="preserve">  日期： </w:t>
      </w:r>
      <w:r>
        <w:rPr>
          <w:rFonts w:hint="eastAsia" w:ascii="仿宋" w:hAnsi="仿宋" w:eastAsia="仿宋" w:cs="仿宋"/>
          <w:kern w:val="1"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kern w:val="1"/>
          <w:sz w:val="24"/>
          <w:szCs w:val="24"/>
        </w:rPr>
        <w:t>年</w:t>
      </w:r>
      <w:r>
        <w:rPr>
          <w:rFonts w:hint="eastAsia" w:ascii="仿宋" w:hAnsi="仿宋" w:eastAsia="仿宋" w:cs="仿宋"/>
          <w:kern w:val="1"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kern w:val="1"/>
          <w:sz w:val="24"/>
          <w:szCs w:val="24"/>
        </w:rPr>
        <w:t>月</w:t>
      </w:r>
      <w:r>
        <w:rPr>
          <w:rFonts w:hint="eastAsia" w:ascii="仿宋" w:hAnsi="仿宋" w:eastAsia="仿宋" w:cs="仿宋"/>
          <w:kern w:val="1"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kern w:val="1"/>
          <w:sz w:val="24"/>
          <w:szCs w:val="24"/>
        </w:rPr>
        <w:t>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A056970"/>
    <w:rsid w:val="62686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rPr>
      <w:color w:val="993300"/>
      <w:sz w:val="24"/>
    </w:rPr>
  </w:style>
  <w:style w:type="character" w:customStyle="1" w:styleId="6">
    <w:name w:val="font81"/>
    <w:basedOn w:val="5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177</Words>
  <Characters>177</Characters>
  <Lines>0</Lines>
  <Paragraphs>0</Paragraphs>
  <TotalTime>0</TotalTime>
  <ScaleCrop>false</ScaleCrop>
  <LinksUpToDate>false</LinksUpToDate>
  <CharactersWithSpaces>278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2025-12-26T11:34:00Z</dcterms:created>
  <dc:creator>Administrator</dc:creator>
  <cp:lastModifiedBy>夏日微凉</cp:lastModifiedBy>
  <dcterms:modified xsi:type="dcterms:W3CDTF">2025-12-26T11:39:11Z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eyJoZGlkIjoiNjc0ZjhjMTdhMzRiZWE0ZWJlYzdmZjM1NmIxYzE0OTMiLCJ1c2VySWQiOiIyNTE3NDAxMDAifQ==</vt:lpwstr>
  </property>
  <property fmtid="{D5CDD505-2E9C-101B-9397-08002B2CF9AE}" pid="4" name="ICV">
    <vt:lpwstr>737EEF1ECD4F4B6CA0CF8DC2698B4C38_12</vt:lpwstr>
  </property>
</Properties>
</file>